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F55799" w14:textId="6467AEA3" w:rsidR="00B6026D" w:rsidRPr="000D44EC" w:rsidRDefault="00B6026D" w:rsidP="00B6026D">
      <w:pPr>
        <w:jc w:val="center"/>
        <w:rPr>
          <w:rFonts w:ascii="Times New Roman" w:hAnsi="Times New Roman" w:cs="Times New Roman"/>
          <w:sz w:val="36"/>
        </w:rPr>
      </w:pPr>
      <w:r>
        <w:rPr>
          <w:rFonts w:ascii="Times New Roman" w:hAnsi="Times New Roman" w:cs="Times New Roman"/>
          <w:sz w:val="36"/>
        </w:rPr>
        <w:t>M</w:t>
      </w:r>
      <w:bookmarkStart w:id="0" w:name="_GoBack"/>
      <w:bookmarkEnd w:id="0"/>
      <w:r w:rsidR="008F105D" w:rsidRPr="000D44EC">
        <w:rPr>
          <w:rFonts w:ascii="Times New Roman" w:hAnsi="Times New Roman" w:cs="Times New Roman"/>
          <w:sz w:val="36"/>
        </w:rPr>
        <w:t xml:space="preserve">obile banking </w:t>
      </w:r>
      <w:r>
        <w:rPr>
          <w:rFonts w:ascii="Times New Roman" w:hAnsi="Times New Roman" w:cs="Times New Roman"/>
          <w:sz w:val="36"/>
        </w:rPr>
        <w:t xml:space="preserve">usage </w:t>
      </w:r>
      <w:r w:rsidR="008F105D" w:rsidRPr="000D44EC">
        <w:rPr>
          <w:rFonts w:ascii="Times New Roman" w:hAnsi="Times New Roman" w:cs="Times New Roman"/>
          <w:sz w:val="36"/>
        </w:rPr>
        <w:t>and g</w:t>
      </w:r>
      <w:r w:rsidR="003E4EC9" w:rsidRPr="000D44EC">
        <w:rPr>
          <w:rFonts w:ascii="Times New Roman" w:hAnsi="Times New Roman" w:cs="Times New Roman"/>
          <w:sz w:val="36"/>
        </w:rPr>
        <w:t xml:space="preserve">amification: </w:t>
      </w:r>
      <w:r w:rsidR="00841BB1" w:rsidRPr="000D44EC">
        <w:rPr>
          <w:rFonts w:ascii="Times New Roman" w:hAnsi="Times New Roman" w:cs="Times New Roman"/>
          <w:sz w:val="36"/>
        </w:rPr>
        <w:t xml:space="preserve">the </w:t>
      </w:r>
      <w:r w:rsidR="00A177A1" w:rsidRPr="000D44EC">
        <w:rPr>
          <w:rFonts w:ascii="Times New Roman" w:hAnsi="Times New Roman" w:cs="Times New Roman"/>
          <w:sz w:val="36"/>
        </w:rPr>
        <w:t>moderating effect of generational cohorts</w:t>
      </w:r>
    </w:p>
    <w:p w14:paraId="2BAFBC3B" w14:textId="77777777" w:rsidR="00077483" w:rsidRPr="000D44EC" w:rsidRDefault="00077483" w:rsidP="00077483">
      <w:pPr>
        <w:rPr>
          <w:rFonts w:ascii="Times New Roman" w:hAnsi="Times New Roman" w:cs="Times New Roman"/>
        </w:rPr>
      </w:pPr>
    </w:p>
    <w:p w14:paraId="645A4372" w14:textId="4A806ABE" w:rsidR="0056686A" w:rsidRPr="0056686A" w:rsidRDefault="00B154FE" w:rsidP="0056686A">
      <w:pPr>
        <w:jc w:val="center"/>
        <w:rPr>
          <w:rFonts w:ascii="Times New Roman" w:hAnsi="Times New Roman" w:cs="Times New Roman"/>
          <w:bCs/>
          <w:lang w:val="en-US"/>
        </w:rPr>
      </w:pPr>
      <w:r>
        <w:rPr>
          <w:rFonts w:ascii="Times New Roman" w:hAnsi="Times New Roman" w:cs="Times New Roman"/>
          <w:bCs/>
          <w:lang w:val="en-US"/>
        </w:rPr>
        <w:t>Gentjan Çera,</w:t>
      </w:r>
      <w:r w:rsidR="0056686A">
        <w:rPr>
          <w:rFonts w:ascii="Times New Roman" w:hAnsi="Times New Roman" w:cs="Times New Roman"/>
          <w:bCs/>
          <w:vertAlign w:val="superscript"/>
          <w:lang w:val="en-US"/>
        </w:rPr>
        <w:t>1,2</w:t>
      </w:r>
      <w:r>
        <w:rPr>
          <w:rFonts w:ascii="Times New Roman" w:hAnsi="Times New Roman" w:cs="Times New Roman"/>
          <w:bCs/>
          <w:lang w:val="en-US"/>
        </w:rPr>
        <w:t xml:space="preserve"> Ina Pagria,</w:t>
      </w:r>
      <w:r w:rsidR="0056686A">
        <w:rPr>
          <w:rFonts w:ascii="Times New Roman" w:hAnsi="Times New Roman" w:cs="Times New Roman"/>
          <w:bCs/>
          <w:vertAlign w:val="superscript"/>
          <w:lang w:val="en-US"/>
        </w:rPr>
        <w:t>2</w:t>
      </w:r>
      <w:r>
        <w:rPr>
          <w:rFonts w:ascii="Times New Roman" w:hAnsi="Times New Roman" w:cs="Times New Roman"/>
          <w:bCs/>
          <w:lang w:val="en-US"/>
        </w:rPr>
        <w:t xml:space="preserve"> </w:t>
      </w:r>
      <w:r w:rsidR="007960F1" w:rsidRPr="007960F1">
        <w:rPr>
          <w:rFonts w:ascii="Times New Roman" w:hAnsi="Times New Roman" w:cs="Times New Roman"/>
          <w:bCs/>
          <w:lang w:val="en-US"/>
        </w:rPr>
        <w:t>Khurram Ajaz Khan</w:t>
      </w:r>
      <w:r w:rsidR="007960F1">
        <w:rPr>
          <w:rFonts w:ascii="Times New Roman" w:hAnsi="Times New Roman" w:cs="Times New Roman"/>
          <w:bCs/>
          <w:lang w:val="en-US"/>
        </w:rPr>
        <w:t>,</w:t>
      </w:r>
      <w:r w:rsidR="0056686A">
        <w:rPr>
          <w:rFonts w:ascii="Times New Roman" w:hAnsi="Times New Roman" w:cs="Times New Roman"/>
          <w:bCs/>
          <w:vertAlign w:val="superscript"/>
          <w:lang w:val="en-US"/>
        </w:rPr>
        <w:t>1</w:t>
      </w:r>
      <w:r w:rsidR="007960F1">
        <w:rPr>
          <w:rFonts w:ascii="Times New Roman" w:hAnsi="Times New Roman" w:cs="Times New Roman"/>
          <w:bCs/>
          <w:lang w:val="en-US"/>
        </w:rPr>
        <w:t xml:space="preserve"> </w:t>
      </w:r>
      <w:r w:rsidR="0056686A" w:rsidRPr="0056686A">
        <w:rPr>
          <w:rFonts w:ascii="Times New Roman" w:hAnsi="Times New Roman" w:cs="Times New Roman"/>
          <w:bCs/>
          <w:lang w:val="en-US"/>
        </w:rPr>
        <w:t>Lindita Muaremi</w:t>
      </w:r>
      <w:r w:rsidR="0056686A">
        <w:rPr>
          <w:rFonts w:ascii="Times New Roman" w:hAnsi="Times New Roman" w:cs="Times New Roman"/>
          <w:bCs/>
          <w:vertAlign w:val="superscript"/>
          <w:lang w:val="en-US"/>
        </w:rPr>
        <w:t>3</w:t>
      </w:r>
      <w:r w:rsidR="0056686A" w:rsidRPr="0056686A">
        <w:rPr>
          <w:rFonts w:ascii="Times New Roman" w:hAnsi="Times New Roman" w:cs="Times New Roman"/>
          <w:bCs/>
          <w:lang w:val="en-US"/>
        </w:rPr>
        <w:t xml:space="preserve"> </w:t>
      </w:r>
    </w:p>
    <w:p w14:paraId="56C1B05B" w14:textId="0646B3E1" w:rsidR="0056686A" w:rsidRDefault="0056686A" w:rsidP="0056686A">
      <w:pPr>
        <w:jc w:val="center"/>
        <w:rPr>
          <w:rFonts w:ascii="Times New Roman" w:hAnsi="Times New Roman" w:cs="Times New Roman"/>
          <w:bCs/>
          <w:lang w:val="en-US"/>
        </w:rPr>
      </w:pPr>
      <w:r w:rsidRPr="0056686A">
        <w:rPr>
          <w:rFonts w:ascii="Times New Roman" w:hAnsi="Times New Roman" w:cs="Times New Roman"/>
          <w:bCs/>
          <w:vertAlign w:val="superscript"/>
          <w:lang w:val="en-US"/>
        </w:rPr>
        <w:t>1</w:t>
      </w:r>
      <w:r w:rsidRPr="0056686A">
        <w:rPr>
          <w:rFonts w:ascii="Times New Roman" w:hAnsi="Times New Roman" w:cs="Times New Roman"/>
          <w:bCs/>
          <w:lang w:val="en-US"/>
        </w:rPr>
        <w:t>Tomas Bata University in Zlin, Faculty of Management and Economics, Czech Republic, cera@utb.cz</w:t>
      </w:r>
      <w:r>
        <w:rPr>
          <w:rFonts w:ascii="Times New Roman" w:hAnsi="Times New Roman" w:cs="Times New Roman"/>
          <w:bCs/>
          <w:lang w:val="en-US"/>
        </w:rPr>
        <w:t>, khan@utb.cz</w:t>
      </w:r>
    </w:p>
    <w:p w14:paraId="0C5C903E" w14:textId="1BD20F64" w:rsidR="0056686A" w:rsidRPr="0056686A" w:rsidRDefault="0056686A" w:rsidP="0056686A">
      <w:pPr>
        <w:jc w:val="center"/>
        <w:rPr>
          <w:rFonts w:ascii="Times New Roman" w:hAnsi="Times New Roman" w:cs="Times New Roman"/>
          <w:bCs/>
          <w:lang w:val="en-US"/>
        </w:rPr>
      </w:pPr>
      <w:r w:rsidRPr="0056686A">
        <w:rPr>
          <w:rFonts w:ascii="Times New Roman" w:hAnsi="Times New Roman" w:cs="Times New Roman"/>
          <w:bCs/>
          <w:vertAlign w:val="superscript"/>
          <w:lang w:val="en-US"/>
        </w:rPr>
        <w:t>2</w:t>
      </w:r>
      <w:r w:rsidRPr="0056686A">
        <w:rPr>
          <w:rFonts w:ascii="Times New Roman" w:hAnsi="Times New Roman" w:cs="Times New Roman"/>
          <w:bCs/>
          <w:lang w:val="en-US"/>
        </w:rPr>
        <w:t xml:space="preserve">Agricultural University of Tirana, Faculty of Economics and Agribusiness, Albania, </w:t>
      </w:r>
      <w:r>
        <w:rPr>
          <w:rFonts w:ascii="Times New Roman" w:hAnsi="Times New Roman" w:cs="Times New Roman"/>
          <w:bCs/>
          <w:lang w:val="en-US"/>
        </w:rPr>
        <w:t>ipagria</w:t>
      </w:r>
      <w:r w:rsidRPr="0056686A">
        <w:rPr>
          <w:rFonts w:ascii="Times New Roman" w:hAnsi="Times New Roman" w:cs="Times New Roman"/>
          <w:bCs/>
          <w:lang w:val="en-US"/>
        </w:rPr>
        <w:t>@ubt.edu.al</w:t>
      </w:r>
    </w:p>
    <w:p w14:paraId="75DA4833" w14:textId="3B8BCB92" w:rsidR="0056686A" w:rsidRPr="0056686A" w:rsidRDefault="0056686A" w:rsidP="0056686A">
      <w:pPr>
        <w:jc w:val="center"/>
        <w:rPr>
          <w:rFonts w:ascii="Times New Roman" w:hAnsi="Times New Roman" w:cs="Times New Roman"/>
          <w:bCs/>
          <w:lang w:val="en-US"/>
        </w:rPr>
      </w:pPr>
      <w:r>
        <w:rPr>
          <w:rFonts w:ascii="Times New Roman" w:hAnsi="Times New Roman" w:cs="Times New Roman"/>
          <w:bCs/>
          <w:vertAlign w:val="superscript"/>
          <w:lang w:val="en-US"/>
        </w:rPr>
        <w:t>3</w:t>
      </w:r>
      <w:r w:rsidRPr="0056686A">
        <w:rPr>
          <w:rFonts w:ascii="Times New Roman" w:hAnsi="Times New Roman" w:cs="Times New Roman"/>
          <w:bCs/>
          <w:lang w:val="en-US"/>
        </w:rPr>
        <w:t>State University of Tetova, Faculty of Economics, North Macedonia</w:t>
      </w:r>
    </w:p>
    <w:p w14:paraId="0FD4EF30" w14:textId="5210B9EC" w:rsidR="0020677A" w:rsidRPr="000D44EC" w:rsidRDefault="0056686A" w:rsidP="0056686A">
      <w:pPr>
        <w:jc w:val="center"/>
        <w:rPr>
          <w:rFonts w:ascii="Times New Roman" w:hAnsi="Times New Roman" w:cs="Times New Roman"/>
          <w:bCs/>
          <w:lang w:val="en-US"/>
        </w:rPr>
      </w:pPr>
      <w:r w:rsidRPr="0056686A">
        <w:rPr>
          <w:rFonts w:ascii="Times New Roman" w:hAnsi="Times New Roman" w:cs="Times New Roman"/>
          <w:bCs/>
          <w:lang w:val="en-US"/>
        </w:rPr>
        <w:t>lindita.muaremi@unite.edu.mk</w:t>
      </w:r>
      <w:r w:rsidR="00077483" w:rsidRPr="000D44EC">
        <w:rPr>
          <w:rFonts w:ascii="Times New Roman" w:hAnsi="Times New Roman" w:cs="Times New Roman"/>
          <w:bCs/>
          <w:lang w:val="en-US"/>
        </w:rPr>
        <w:br/>
      </w:r>
    </w:p>
    <w:p w14:paraId="76E8D069" w14:textId="29CB5B00" w:rsidR="00A90950" w:rsidRPr="000D44EC" w:rsidRDefault="00C0665C" w:rsidP="00175E21">
      <w:pPr>
        <w:rPr>
          <w:rFonts w:ascii="Times New Roman" w:hAnsi="Times New Roman" w:cs="Times New Roman"/>
          <w:bCs/>
        </w:rPr>
      </w:pPr>
      <w:r w:rsidRPr="000D44EC">
        <w:rPr>
          <w:rFonts w:ascii="Times New Roman" w:hAnsi="Times New Roman" w:cs="Times New Roman"/>
          <w:b/>
          <w:bCs/>
        </w:rPr>
        <w:t>Abstract</w:t>
      </w:r>
    </w:p>
    <w:p w14:paraId="796EE70A" w14:textId="73A68824" w:rsidR="00C0665C" w:rsidRPr="0056686A" w:rsidRDefault="008910C6" w:rsidP="00175E21">
      <w:pPr>
        <w:rPr>
          <w:rFonts w:ascii="Times New Roman" w:hAnsi="Times New Roman" w:cs="Times New Roman"/>
          <w:bCs/>
        </w:rPr>
      </w:pPr>
      <w:r>
        <w:rPr>
          <w:rFonts w:ascii="Times New Roman" w:hAnsi="Times New Roman" w:cs="Times New Roman"/>
          <w:bCs/>
        </w:rPr>
        <w:t>The</w:t>
      </w:r>
      <w:r w:rsidR="00101C2F">
        <w:rPr>
          <w:rFonts w:ascii="Times New Roman" w:hAnsi="Times New Roman" w:cs="Times New Roman"/>
          <w:bCs/>
        </w:rPr>
        <w:t xml:space="preserve"> extended</w:t>
      </w:r>
      <w:r>
        <w:rPr>
          <w:rFonts w:ascii="Times New Roman" w:hAnsi="Times New Roman" w:cs="Times New Roman"/>
          <w:bCs/>
        </w:rPr>
        <w:t xml:space="preserve"> </w:t>
      </w:r>
      <w:r w:rsidRPr="008910C6">
        <w:rPr>
          <w:rFonts w:ascii="Times New Roman" w:hAnsi="Times New Roman" w:cs="Times New Roman"/>
          <w:bCs/>
        </w:rPr>
        <w:t>unified theory of acceptance and use of technology</w:t>
      </w:r>
      <w:r w:rsidR="00B154FE">
        <w:rPr>
          <w:rFonts w:ascii="Times New Roman" w:hAnsi="Times New Roman" w:cs="Times New Roman"/>
          <w:bCs/>
        </w:rPr>
        <w:t xml:space="preserve"> (UTAUT2)</w:t>
      </w:r>
      <w:r>
        <w:rPr>
          <w:rFonts w:ascii="Times New Roman" w:hAnsi="Times New Roman" w:cs="Times New Roman"/>
          <w:bCs/>
        </w:rPr>
        <w:t xml:space="preserve"> model</w:t>
      </w:r>
      <w:r w:rsidR="00101C2F">
        <w:rPr>
          <w:rFonts w:ascii="Times New Roman" w:hAnsi="Times New Roman" w:cs="Times New Roman"/>
          <w:bCs/>
        </w:rPr>
        <w:t xml:space="preserve"> to gain insight regarding mobile banking</w:t>
      </w:r>
      <w:r w:rsidR="00825563">
        <w:rPr>
          <w:rFonts w:ascii="Times New Roman" w:hAnsi="Times New Roman" w:cs="Times New Roman"/>
          <w:bCs/>
        </w:rPr>
        <w:t xml:space="preserve"> </w:t>
      </w:r>
      <w:r w:rsidR="00B154FE">
        <w:rPr>
          <w:rFonts w:ascii="Times New Roman" w:hAnsi="Times New Roman" w:cs="Times New Roman"/>
          <w:bCs/>
        </w:rPr>
        <w:t>(m-banking)</w:t>
      </w:r>
      <w:r w:rsidR="00101C2F">
        <w:rPr>
          <w:rFonts w:ascii="Times New Roman" w:hAnsi="Times New Roman" w:cs="Times New Roman"/>
          <w:bCs/>
        </w:rPr>
        <w:t xml:space="preserve"> usage has been developed. </w:t>
      </w:r>
      <w:r w:rsidR="00D56311" w:rsidRPr="000D44EC">
        <w:rPr>
          <w:rFonts w:ascii="Times New Roman" w:hAnsi="Times New Roman" w:cs="Times New Roman"/>
          <w:bCs/>
        </w:rPr>
        <w:t>By combining three perspectives</w:t>
      </w:r>
      <w:r w:rsidR="000E3707">
        <w:rPr>
          <w:rFonts w:ascii="Times New Roman" w:hAnsi="Times New Roman" w:cs="Times New Roman"/>
          <w:bCs/>
        </w:rPr>
        <w:t xml:space="preserve">, </w:t>
      </w:r>
      <w:r w:rsidR="00D56311" w:rsidRPr="000D44EC">
        <w:rPr>
          <w:rFonts w:ascii="Times New Roman" w:hAnsi="Times New Roman" w:cs="Times New Roman"/>
          <w:bCs/>
        </w:rPr>
        <w:t>UTAUT2, gamification</w:t>
      </w:r>
      <w:r w:rsidR="00496363" w:rsidRPr="000D44EC">
        <w:rPr>
          <w:rFonts w:ascii="Times New Roman" w:hAnsi="Times New Roman" w:cs="Times New Roman"/>
          <w:bCs/>
        </w:rPr>
        <w:t xml:space="preserve"> </w:t>
      </w:r>
      <w:r w:rsidR="00D56311" w:rsidRPr="000D44EC">
        <w:rPr>
          <w:rFonts w:ascii="Times New Roman" w:hAnsi="Times New Roman" w:cs="Times New Roman"/>
          <w:bCs/>
        </w:rPr>
        <w:t>and generational cohort</w:t>
      </w:r>
      <w:r w:rsidR="000B1CD1" w:rsidRPr="000D44EC">
        <w:rPr>
          <w:rFonts w:ascii="Times New Roman" w:hAnsi="Times New Roman" w:cs="Times New Roman"/>
          <w:bCs/>
        </w:rPr>
        <w:t xml:space="preserve"> theory</w:t>
      </w:r>
      <w:r w:rsidR="00D56311" w:rsidRPr="000D44EC">
        <w:rPr>
          <w:rFonts w:ascii="Times New Roman" w:hAnsi="Times New Roman" w:cs="Times New Roman"/>
          <w:bCs/>
        </w:rPr>
        <w:t>, this study seeks to investigate the</w:t>
      </w:r>
      <w:r w:rsidR="000E3707">
        <w:rPr>
          <w:rFonts w:ascii="Times New Roman" w:hAnsi="Times New Roman" w:cs="Times New Roman"/>
          <w:bCs/>
        </w:rPr>
        <w:t xml:space="preserve"> factors which impact </w:t>
      </w:r>
      <w:r w:rsidR="003418EE">
        <w:rPr>
          <w:rFonts w:ascii="Times New Roman" w:hAnsi="Times New Roman" w:cs="Times New Roman"/>
          <w:bCs/>
        </w:rPr>
        <w:t>m-banking</w:t>
      </w:r>
      <w:r w:rsidR="000E3707">
        <w:rPr>
          <w:rFonts w:ascii="Times New Roman" w:hAnsi="Times New Roman" w:cs="Times New Roman"/>
          <w:bCs/>
        </w:rPr>
        <w:t xml:space="preserve"> usage and to examine the</w:t>
      </w:r>
      <w:r w:rsidR="00D56311" w:rsidRPr="000D44EC">
        <w:rPr>
          <w:rFonts w:ascii="Times New Roman" w:hAnsi="Times New Roman" w:cs="Times New Roman"/>
          <w:bCs/>
        </w:rPr>
        <w:t xml:space="preserve"> moderating effect of </w:t>
      </w:r>
      <w:r w:rsidR="000E3707">
        <w:rPr>
          <w:rFonts w:ascii="Times New Roman" w:hAnsi="Times New Roman" w:cs="Times New Roman"/>
          <w:bCs/>
        </w:rPr>
        <w:t>g</w:t>
      </w:r>
      <w:r w:rsidR="00D56311" w:rsidRPr="000D44EC">
        <w:rPr>
          <w:rFonts w:ascii="Times New Roman" w:hAnsi="Times New Roman" w:cs="Times New Roman"/>
          <w:bCs/>
        </w:rPr>
        <w:t>eneration</w:t>
      </w:r>
      <w:r w:rsidR="000B1CD1" w:rsidRPr="000D44EC">
        <w:rPr>
          <w:rFonts w:ascii="Times New Roman" w:hAnsi="Times New Roman" w:cs="Times New Roman"/>
          <w:bCs/>
        </w:rPr>
        <w:t>s Y and Z</w:t>
      </w:r>
      <w:r w:rsidR="00D56311" w:rsidRPr="000D44EC">
        <w:rPr>
          <w:rFonts w:ascii="Times New Roman" w:hAnsi="Times New Roman" w:cs="Times New Roman"/>
          <w:bCs/>
        </w:rPr>
        <w:t xml:space="preserve"> </w:t>
      </w:r>
      <w:r w:rsidR="00101C2F">
        <w:rPr>
          <w:rFonts w:ascii="Times New Roman" w:hAnsi="Times New Roman" w:cs="Times New Roman"/>
          <w:bCs/>
        </w:rPr>
        <w:t>into</w:t>
      </w:r>
      <w:r w:rsidR="00D56311" w:rsidRPr="000D44EC">
        <w:rPr>
          <w:rFonts w:ascii="Times New Roman" w:hAnsi="Times New Roman" w:cs="Times New Roman"/>
          <w:bCs/>
        </w:rPr>
        <w:t xml:space="preserve"> the relationship between </w:t>
      </w:r>
      <w:r w:rsidR="00101C2F">
        <w:rPr>
          <w:rFonts w:ascii="Times New Roman" w:hAnsi="Times New Roman" w:cs="Times New Roman"/>
          <w:bCs/>
        </w:rPr>
        <w:t>gamification</w:t>
      </w:r>
      <w:r w:rsidR="00D56311" w:rsidRPr="000D44EC">
        <w:rPr>
          <w:rFonts w:ascii="Times New Roman" w:hAnsi="Times New Roman" w:cs="Times New Roman"/>
          <w:bCs/>
        </w:rPr>
        <w:t xml:space="preserve"> and intention to use </w:t>
      </w:r>
      <w:r w:rsidR="003418EE">
        <w:rPr>
          <w:rFonts w:ascii="Times New Roman" w:hAnsi="Times New Roman" w:cs="Times New Roman"/>
          <w:bCs/>
        </w:rPr>
        <w:t>m-banking</w:t>
      </w:r>
      <w:r w:rsidR="00D56311" w:rsidRPr="000D44EC">
        <w:rPr>
          <w:rFonts w:ascii="Times New Roman" w:hAnsi="Times New Roman" w:cs="Times New Roman"/>
          <w:bCs/>
        </w:rPr>
        <w:t xml:space="preserve">. The </w:t>
      </w:r>
      <w:r w:rsidR="00496363" w:rsidRPr="000D44EC">
        <w:rPr>
          <w:rFonts w:ascii="Times New Roman" w:hAnsi="Times New Roman" w:cs="Times New Roman"/>
          <w:bCs/>
        </w:rPr>
        <w:t>adopted</w:t>
      </w:r>
      <w:r w:rsidR="00D56311" w:rsidRPr="000D44EC">
        <w:rPr>
          <w:rFonts w:ascii="Times New Roman" w:hAnsi="Times New Roman" w:cs="Times New Roman"/>
          <w:bCs/>
        </w:rPr>
        <w:t xml:space="preserve"> model was tested in a quantitative study </w:t>
      </w:r>
      <w:r w:rsidR="00101C2F">
        <w:rPr>
          <w:rFonts w:ascii="Times New Roman" w:hAnsi="Times New Roman" w:cs="Times New Roman"/>
          <w:bCs/>
        </w:rPr>
        <w:t xml:space="preserve">by </w:t>
      </w:r>
      <w:r w:rsidR="00496363" w:rsidRPr="000D44EC">
        <w:rPr>
          <w:rFonts w:ascii="Times New Roman" w:hAnsi="Times New Roman" w:cs="Times New Roman"/>
          <w:bCs/>
        </w:rPr>
        <w:t>employing</w:t>
      </w:r>
      <w:r w:rsidR="00D56311" w:rsidRPr="000D44EC">
        <w:rPr>
          <w:rFonts w:ascii="Times New Roman" w:hAnsi="Times New Roman" w:cs="Times New Roman"/>
          <w:bCs/>
        </w:rPr>
        <w:t xml:space="preserve"> </w:t>
      </w:r>
      <w:r w:rsidR="00496363" w:rsidRPr="000D44EC">
        <w:rPr>
          <w:rFonts w:ascii="Times New Roman" w:hAnsi="Times New Roman" w:cs="Times New Roman"/>
          <w:bCs/>
        </w:rPr>
        <w:t xml:space="preserve">partial least square </w:t>
      </w:r>
      <w:r w:rsidR="00D56311" w:rsidRPr="000D44EC">
        <w:rPr>
          <w:rFonts w:ascii="Times New Roman" w:hAnsi="Times New Roman" w:cs="Times New Roman"/>
          <w:bCs/>
        </w:rPr>
        <w:t>structural equation modelling</w:t>
      </w:r>
      <w:r w:rsidR="00101C2F">
        <w:rPr>
          <w:rFonts w:ascii="Times New Roman" w:hAnsi="Times New Roman" w:cs="Times New Roman"/>
          <w:bCs/>
        </w:rPr>
        <w:t>. To carry out the data analyse 380</w:t>
      </w:r>
      <w:r w:rsidR="003714BE">
        <w:rPr>
          <w:rFonts w:ascii="Times New Roman" w:hAnsi="Times New Roman" w:cs="Times New Roman"/>
          <w:bCs/>
        </w:rPr>
        <w:t xml:space="preserve"> </w:t>
      </w:r>
      <w:r w:rsidR="00101C2F">
        <w:rPr>
          <w:rFonts w:ascii="Times New Roman" w:hAnsi="Times New Roman" w:cs="Times New Roman"/>
          <w:bCs/>
        </w:rPr>
        <w:t>valid questionnaire has been proceed</w:t>
      </w:r>
      <w:r w:rsidR="00D56311" w:rsidRPr="000D44EC">
        <w:rPr>
          <w:rFonts w:ascii="Times New Roman" w:hAnsi="Times New Roman" w:cs="Times New Roman"/>
          <w:bCs/>
        </w:rPr>
        <w:t>.</w:t>
      </w:r>
      <w:r w:rsidR="00496363" w:rsidRPr="000D44EC">
        <w:rPr>
          <w:rFonts w:ascii="Times New Roman" w:hAnsi="Times New Roman" w:cs="Times New Roman"/>
          <w:bCs/>
        </w:rPr>
        <w:t xml:space="preserve"> </w:t>
      </w:r>
      <w:r w:rsidR="00101C2F">
        <w:rPr>
          <w:rFonts w:ascii="Times New Roman" w:hAnsi="Times New Roman" w:cs="Times New Roman"/>
          <w:bCs/>
        </w:rPr>
        <w:t xml:space="preserve">Within the study are provided scientific evidences concerning </w:t>
      </w:r>
      <w:r w:rsidR="00496363" w:rsidRPr="000D44EC">
        <w:rPr>
          <w:rFonts w:ascii="Times New Roman" w:hAnsi="Times New Roman" w:cs="Times New Roman"/>
          <w:bCs/>
        </w:rPr>
        <w:t xml:space="preserve">the UTAUT2 </w:t>
      </w:r>
      <w:r w:rsidR="008D660E">
        <w:rPr>
          <w:rFonts w:ascii="Times New Roman" w:hAnsi="Times New Roman" w:cs="Times New Roman"/>
          <w:bCs/>
        </w:rPr>
        <w:t xml:space="preserve">model </w:t>
      </w:r>
      <w:r w:rsidR="00496363" w:rsidRPr="000D44EC">
        <w:rPr>
          <w:rFonts w:ascii="Times New Roman" w:hAnsi="Times New Roman" w:cs="Times New Roman"/>
          <w:bCs/>
        </w:rPr>
        <w:t xml:space="preserve">and </w:t>
      </w:r>
      <w:r w:rsidR="00101C2F">
        <w:rPr>
          <w:rFonts w:ascii="Times New Roman" w:hAnsi="Times New Roman" w:cs="Times New Roman"/>
          <w:bCs/>
        </w:rPr>
        <w:t>gamification</w:t>
      </w:r>
      <w:r w:rsidR="00437B50">
        <w:rPr>
          <w:rFonts w:ascii="Times New Roman" w:hAnsi="Times New Roman" w:cs="Times New Roman"/>
          <w:bCs/>
        </w:rPr>
        <w:t xml:space="preserve"> elements.</w:t>
      </w:r>
      <w:r w:rsidR="008D660E">
        <w:rPr>
          <w:rFonts w:ascii="Times New Roman" w:hAnsi="Times New Roman" w:cs="Times New Roman"/>
          <w:bCs/>
        </w:rPr>
        <w:t xml:space="preserve"> The results revealed that the age significantly moderate the relationship between gamification and behavioural intention. </w:t>
      </w:r>
      <w:r w:rsidR="00D2495D">
        <w:rPr>
          <w:rFonts w:ascii="Times New Roman" w:hAnsi="Times New Roman" w:cs="Times New Roman"/>
          <w:bCs/>
        </w:rPr>
        <w:t xml:space="preserve">Compare to generation Z, </w:t>
      </w:r>
      <w:r>
        <w:rPr>
          <w:rFonts w:ascii="Times New Roman" w:hAnsi="Times New Roman" w:cs="Times New Roman"/>
          <w:bCs/>
        </w:rPr>
        <w:t>individuals</w:t>
      </w:r>
      <w:r w:rsidR="00D2495D">
        <w:rPr>
          <w:rFonts w:ascii="Times New Roman" w:hAnsi="Times New Roman" w:cs="Times New Roman"/>
          <w:bCs/>
        </w:rPr>
        <w:t xml:space="preserve"> in</w:t>
      </w:r>
      <w:r w:rsidR="00D2495D" w:rsidRPr="00D2495D">
        <w:rPr>
          <w:rFonts w:ascii="Times New Roman" w:hAnsi="Times New Roman" w:cs="Times New Roman"/>
          <w:bCs/>
        </w:rPr>
        <w:t>born before 1996 (</w:t>
      </w:r>
      <w:r w:rsidR="00D2495D">
        <w:rPr>
          <w:rFonts w:ascii="Times New Roman" w:hAnsi="Times New Roman" w:cs="Times New Roman"/>
          <w:bCs/>
        </w:rPr>
        <w:t>generation</w:t>
      </w:r>
      <w:r w:rsidR="00D2495D" w:rsidRPr="00D2495D">
        <w:rPr>
          <w:rFonts w:ascii="Times New Roman" w:hAnsi="Times New Roman" w:cs="Times New Roman"/>
          <w:bCs/>
        </w:rPr>
        <w:t xml:space="preserve"> Y) score</w:t>
      </w:r>
      <w:r>
        <w:rPr>
          <w:rFonts w:ascii="Times New Roman" w:hAnsi="Times New Roman" w:cs="Times New Roman"/>
          <w:bCs/>
        </w:rPr>
        <w:t>d</w:t>
      </w:r>
      <w:r w:rsidR="00D2495D" w:rsidRPr="00D2495D">
        <w:rPr>
          <w:rFonts w:ascii="Times New Roman" w:hAnsi="Times New Roman" w:cs="Times New Roman"/>
          <w:bCs/>
        </w:rPr>
        <w:t xml:space="preserve"> </w:t>
      </w:r>
      <w:r w:rsidR="00D2495D">
        <w:rPr>
          <w:rFonts w:ascii="Times New Roman" w:hAnsi="Times New Roman" w:cs="Times New Roman"/>
          <w:bCs/>
        </w:rPr>
        <w:t>low</w:t>
      </w:r>
      <w:r>
        <w:rPr>
          <w:rFonts w:ascii="Times New Roman" w:hAnsi="Times New Roman" w:cs="Times New Roman"/>
          <w:bCs/>
        </w:rPr>
        <w:t>er</w:t>
      </w:r>
      <w:r w:rsidR="00D2495D" w:rsidRPr="00D2495D">
        <w:rPr>
          <w:rFonts w:ascii="Times New Roman" w:hAnsi="Times New Roman" w:cs="Times New Roman"/>
          <w:bCs/>
        </w:rPr>
        <w:t xml:space="preserve"> on </w:t>
      </w:r>
      <w:r w:rsidR="005716EF">
        <w:rPr>
          <w:rFonts w:ascii="Times New Roman" w:hAnsi="Times New Roman" w:cs="Times New Roman"/>
          <w:bCs/>
        </w:rPr>
        <w:t>gamification,</w:t>
      </w:r>
      <w:r w:rsidR="00D2495D" w:rsidRPr="00D2495D">
        <w:rPr>
          <w:rFonts w:ascii="Times New Roman" w:hAnsi="Times New Roman" w:cs="Times New Roman"/>
          <w:bCs/>
        </w:rPr>
        <w:t xml:space="preserve"> </w:t>
      </w:r>
      <w:r w:rsidR="00D2495D">
        <w:rPr>
          <w:rFonts w:ascii="Times New Roman" w:hAnsi="Times New Roman" w:cs="Times New Roman"/>
          <w:bCs/>
        </w:rPr>
        <w:t>manifest</w:t>
      </w:r>
      <w:r w:rsidR="00D2495D" w:rsidRPr="00D2495D">
        <w:rPr>
          <w:rFonts w:ascii="Times New Roman" w:hAnsi="Times New Roman" w:cs="Times New Roman"/>
          <w:bCs/>
        </w:rPr>
        <w:t xml:space="preserve"> </w:t>
      </w:r>
      <w:r w:rsidR="005716EF">
        <w:rPr>
          <w:rFonts w:ascii="Times New Roman" w:hAnsi="Times New Roman" w:cs="Times New Roman"/>
          <w:bCs/>
        </w:rPr>
        <w:t>lower</w:t>
      </w:r>
      <w:r w:rsidR="00D2495D" w:rsidRPr="00D2495D">
        <w:rPr>
          <w:rFonts w:ascii="Times New Roman" w:hAnsi="Times New Roman" w:cs="Times New Roman"/>
          <w:bCs/>
        </w:rPr>
        <w:t xml:space="preserve"> intention to use m-banking, </w:t>
      </w:r>
      <w:r>
        <w:rPr>
          <w:rFonts w:ascii="Times New Roman" w:hAnsi="Times New Roman" w:cs="Times New Roman"/>
          <w:bCs/>
        </w:rPr>
        <w:t>whereas m-banking users score</w:t>
      </w:r>
      <w:r w:rsidR="00D2495D" w:rsidRPr="00D2495D">
        <w:rPr>
          <w:rFonts w:ascii="Times New Roman" w:hAnsi="Times New Roman" w:cs="Times New Roman"/>
          <w:bCs/>
        </w:rPr>
        <w:t xml:space="preserve"> </w:t>
      </w:r>
      <w:r w:rsidR="00D2495D">
        <w:rPr>
          <w:rFonts w:ascii="Times New Roman" w:hAnsi="Times New Roman" w:cs="Times New Roman"/>
          <w:bCs/>
        </w:rPr>
        <w:t>high</w:t>
      </w:r>
      <w:r>
        <w:rPr>
          <w:rFonts w:ascii="Times New Roman" w:hAnsi="Times New Roman" w:cs="Times New Roman"/>
          <w:bCs/>
        </w:rPr>
        <w:t>er</w:t>
      </w:r>
      <w:r w:rsidR="00D2495D" w:rsidRPr="00D2495D">
        <w:rPr>
          <w:rFonts w:ascii="Times New Roman" w:hAnsi="Times New Roman" w:cs="Times New Roman"/>
          <w:bCs/>
        </w:rPr>
        <w:t xml:space="preserve"> </w:t>
      </w:r>
      <w:r w:rsidR="005716EF">
        <w:rPr>
          <w:rFonts w:ascii="Times New Roman" w:hAnsi="Times New Roman" w:cs="Times New Roman"/>
          <w:bCs/>
        </w:rPr>
        <w:t>gamification</w:t>
      </w:r>
      <w:r>
        <w:rPr>
          <w:rFonts w:ascii="Times New Roman" w:hAnsi="Times New Roman" w:cs="Times New Roman"/>
          <w:bCs/>
        </w:rPr>
        <w:t xml:space="preserve"> indicated higher behavioural intention</w:t>
      </w:r>
      <w:r w:rsidR="00D2495D">
        <w:rPr>
          <w:rFonts w:ascii="Times New Roman" w:hAnsi="Times New Roman" w:cs="Times New Roman"/>
          <w:bCs/>
        </w:rPr>
        <w:t xml:space="preserve">. </w:t>
      </w:r>
      <w:r w:rsidR="008D660E">
        <w:rPr>
          <w:rFonts w:ascii="Times New Roman" w:hAnsi="Times New Roman" w:cs="Times New Roman"/>
          <w:bCs/>
        </w:rPr>
        <w:t>Besides identifying</w:t>
      </w:r>
      <w:r w:rsidR="00825563">
        <w:rPr>
          <w:rFonts w:ascii="Times New Roman" w:hAnsi="Times New Roman" w:cs="Times New Roman"/>
          <w:bCs/>
        </w:rPr>
        <w:t xml:space="preserve"> the</w:t>
      </w:r>
      <w:r w:rsidR="008D660E">
        <w:rPr>
          <w:rFonts w:ascii="Times New Roman" w:hAnsi="Times New Roman" w:cs="Times New Roman"/>
          <w:bCs/>
        </w:rPr>
        <w:t xml:space="preserve"> </w:t>
      </w:r>
      <w:r w:rsidR="00825563">
        <w:rPr>
          <w:rFonts w:ascii="Times New Roman" w:hAnsi="Times New Roman" w:cs="Times New Roman"/>
          <w:bCs/>
        </w:rPr>
        <w:t xml:space="preserve">determinants of </w:t>
      </w:r>
      <w:r w:rsidR="003418EE">
        <w:rPr>
          <w:rFonts w:ascii="Times New Roman" w:hAnsi="Times New Roman" w:cs="Times New Roman"/>
          <w:bCs/>
        </w:rPr>
        <w:t>m-banking</w:t>
      </w:r>
      <w:r w:rsidR="008D660E">
        <w:rPr>
          <w:rFonts w:ascii="Times New Roman" w:hAnsi="Times New Roman" w:cs="Times New Roman"/>
          <w:bCs/>
        </w:rPr>
        <w:t xml:space="preserve"> usage</w:t>
      </w:r>
      <w:r w:rsidR="00825563">
        <w:rPr>
          <w:rFonts w:ascii="Times New Roman" w:hAnsi="Times New Roman" w:cs="Times New Roman"/>
          <w:bCs/>
        </w:rPr>
        <w:t xml:space="preserve">, </w:t>
      </w:r>
      <w:r w:rsidR="0005236D">
        <w:rPr>
          <w:rFonts w:ascii="Times New Roman" w:hAnsi="Times New Roman" w:cs="Times New Roman"/>
          <w:bCs/>
        </w:rPr>
        <w:t xml:space="preserve">this study </w:t>
      </w:r>
      <w:r w:rsidR="007C7771" w:rsidRPr="008910C6">
        <w:rPr>
          <w:rFonts w:ascii="Times New Roman" w:hAnsi="Times New Roman" w:cs="Times New Roman"/>
          <w:bCs/>
        </w:rPr>
        <w:t>nota</w:t>
      </w:r>
      <w:r w:rsidR="008D660E" w:rsidRPr="008910C6">
        <w:rPr>
          <w:rFonts w:ascii="Times New Roman" w:hAnsi="Times New Roman" w:cs="Times New Roman"/>
          <w:bCs/>
        </w:rPr>
        <w:t>bly</w:t>
      </w:r>
      <w:r w:rsidR="008D660E">
        <w:rPr>
          <w:rFonts w:ascii="Times New Roman" w:hAnsi="Times New Roman" w:cs="Times New Roman"/>
          <w:bCs/>
        </w:rPr>
        <w:t xml:space="preserve"> reveal the importance of </w:t>
      </w:r>
      <w:r w:rsidR="008D660E" w:rsidRPr="008D660E">
        <w:rPr>
          <w:rFonts w:ascii="Times New Roman" w:hAnsi="Times New Roman" w:cs="Times New Roman"/>
          <w:bCs/>
        </w:rPr>
        <w:t>generational cohorts</w:t>
      </w:r>
      <w:r w:rsidR="0005236D">
        <w:rPr>
          <w:rFonts w:ascii="Times New Roman" w:hAnsi="Times New Roman" w:cs="Times New Roman"/>
          <w:bCs/>
        </w:rPr>
        <w:t xml:space="preserve"> </w:t>
      </w:r>
      <w:r w:rsidR="0056686A">
        <w:rPr>
          <w:rFonts w:ascii="Times New Roman" w:hAnsi="Times New Roman" w:cs="Times New Roman"/>
          <w:bCs/>
        </w:rPr>
        <w:t>as moderators</w:t>
      </w:r>
      <w:r w:rsidR="00825563">
        <w:rPr>
          <w:rFonts w:ascii="Times New Roman" w:hAnsi="Times New Roman" w:cs="Times New Roman"/>
          <w:bCs/>
        </w:rPr>
        <w:t xml:space="preserve"> effect of gamification on </w:t>
      </w:r>
      <w:r w:rsidR="003418EE">
        <w:rPr>
          <w:rFonts w:ascii="Times New Roman" w:hAnsi="Times New Roman" w:cs="Times New Roman"/>
          <w:bCs/>
        </w:rPr>
        <w:t>m-banking</w:t>
      </w:r>
      <w:r w:rsidR="0005236D">
        <w:rPr>
          <w:rFonts w:ascii="Times New Roman" w:hAnsi="Times New Roman" w:cs="Times New Roman"/>
          <w:bCs/>
        </w:rPr>
        <w:t xml:space="preserve"> behavioural intention</w:t>
      </w:r>
      <w:r w:rsidR="008D660E">
        <w:rPr>
          <w:rFonts w:ascii="Times New Roman" w:hAnsi="Times New Roman" w:cs="Times New Roman"/>
          <w:bCs/>
        </w:rPr>
        <w:t>.</w:t>
      </w:r>
    </w:p>
    <w:p w14:paraId="5833A378" w14:textId="6FCFF98E" w:rsidR="008F105D" w:rsidRPr="000D44EC" w:rsidRDefault="00E437E3" w:rsidP="009873C8">
      <w:pPr>
        <w:rPr>
          <w:rFonts w:ascii="Times New Roman" w:hAnsi="Times New Roman" w:cs="Times New Roman"/>
          <w:b/>
          <w:bCs/>
        </w:rPr>
      </w:pPr>
      <w:r>
        <w:rPr>
          <w:rFonts w:ascii="Times New Roman" w:hAnsi="Times New Roman" w:cs="Times New Roman"/>
          <w:b/>
          <w:bCs/>
        </w:rPr>
        <w:t>Key</w:t>
      </w:r>
      <w:r w:rsidR="008F105D" w:rsidRPr="000D44EC">
        <w:rPr>
          <w:rFonts w:ascii="Times New Roman" w:hAnsi="Times New Roman" w:cs="Times New Roman"/>
          <w:b/>
          <w:bCs/>
        </w:rPr>
        <w:t>words</w:t>
      </w:r>
    </w:p>
    <w:p w14:paraId="5C905364" w14:textId="232E3A3D" w:rsidR="00077483" w:rsidRPr="000D44EC" w:rsidRDefault="0097245D" w:rsidP="009873C8">
      <w:pPr>
        <w:rPr>
          <w:rFonts w:ascii="Times New Roman" w:hAnsi="Times New Roman" w:cs="Times New Roman"/>
        </w:rPr>
      </w:pPr>
      <w:r>
        <w:rPr>
          <w:rFonts w:ascii="Times New Roman" w:hAnsi="Times New Roman" w:cs="Times New Roman"/>
        </w:rPr>
        <w:t>M</w:t>
      </w:r>
      <w:r w:rsidR="0043115A" w:rsidRPr="000D44EC">
        <w:rPr>
          <w:rFonts w:ascii="Times New Roman" w:hAnsi="Times New Roman" w:cs="Times New Roman"/>
        </w:rPr>
        <w:t xml:space="preserve">obile banking, </w:t>
      </w:r>
      <w:r w:rsidR="003C0E8E" w:rsidRPr="000D44EC">
        <w:rPr>
          <w:rFonts w:ascii="Times New Roman" w:hAnsi="Times New Roman" w:cs="Times New Roman"/>
        </w:rPr>
        <w:t xml:space="preserve">UTAUT2, gamification, </w:t>
      </w:r>
      <w:r w:rsidR="00DE4F21" w:rsidRPr="000D44EC">
        <w:rPr>
          <w:rFonts w:ascii="Times New Roman" w:hAnsi="Times New Roman" w:cs="Times New Roman"/>
        </w:rPr>
        <w:t xml:space="preserve">transition </w:t>
      </w:r>
      <w:r w:rsidR="003C0E8E" w:rsidRPr="000D44EC">
        <w:rPr>
          <w:rFonts w:ascii="Times New Roman" w:hAnsi="Times New Roman" w:cs="Times New Roman"/>
        </w:rPr>
        <w:t xml:space="preserve">country, </w:t>
      </w:r>
      <w:r w:rsidR="008F105D" w:rsidRPr="000D44EC">
        <w:rPr>
          <w:rFonts w:ascii="Times New Roman" w:hAnsi="Times New Roman" w:cs="Times New Roman"/>
        </w:rPr>
        <w:t>Generation Y</w:t>
      </w:r>
      <w:r w:rsidR="00D2495D">
        <w:rPr>
          <w:rFonts w:ascii="Times New Roman" w:hAnsi="Times New Roman" w:cs="Times New Roman"/>
        </w:rPr>
        <w:t xml:space="preserve"> and </w:t>
      </w:r>
      <w:r>
        <w:rPr>
          <w:rFonts w:ascii="Times New Roman" w:hAnsi="Times New Roman" w:cs="Times New Roman"/>
        </w:rPr>
        <w:t>Z,</w:t>
      </w:r>
      <w:r w:rsidR="009873C8" w:rsidRPr="000D44EC">
        <w:rPr>
          <w:rFonts w:ascii="Times New Roman" w:hAnsi="Times New Roman" w:cs="Times New Roman"/>
        </w:rPr>
        <w:t xml:space="preserve"> </w:t>
      </w:r>
      <w:r w:rsidR="00E87E81" w:rsidRPr="000D44EC">
        <w:rPr>
          <w:rFonts w:ascii="Times New Roman" w:hAnsi="Times New Roman" w:cs="Times New Roman"/>
        </w:rPr>
        <w:t>PSL-SEM</w:t>
      </w:r>
      <w:r w:rsidR="003C0E8E" w:rsidRPr="000D44EC">
        <w:rPr>
          <w:rFonts w:ascii="Times New Roman" w:hAnsi="Times New Roman" w:cs="Times New Roman"/>
        </w:rPr>
        <w:t xml:space="preserve"> </w:t>
      </w:r>
    </w:p>
    <w:p w14:paraId="27DBF7ED" w14:textId="6D918770" w:rsidR="00077483" w:rsidRPr="000D44EC" w:rsidRDefault="00077483" w:rsidP="009A62E6">
      <w:pPr>
        <w:pStyle w:val="Nadpis1"/>
        <w:rPr>
          <w:rFonts w:cs="Times New Roman"/>
        </w:rPr>
      </w:pPr>
      <w:r w:rsidRPr="000D44EC">
        <w:rPr>
          <w:rFonts w:cs="Times New Roman"/>
        </w:rPr>
        <w:t>Introduction</w:t>
      </w:r>
    </w:p>
    <w:p w14:paraId="46CB28A9" w14:textId="3E094C51" w:rsidR="0056686A" w:rsidRPr="0056686A" w:rsidRDefault="0056686A" w:rsidP="0056686A">
      <w:pPr>
        <w:rPr>
          <w:rFonts w:ascii="Times New Roman" w:hAnsi="Times New Roman" w:cs="Times New Roman"/>
        </w:rPr>
      </w:pPr>
      <w:bookmarkStart w:id="1" w:name="_Hlk28596245"/>
      <w:r w:rsidRPr="0056686A">
        <w:rPr>
          <w:rFonts w:ascii="Times New Roman" w:hAnsi="Times New Roman" w:cs="Times New Roman"/>
          <w:lang w:val="en"/>
        </w:rPr>
        <w:t>Emerging communication technologies have been evolving in the world over the last few decades</w:t>
      </w:r>
      <w:r w:rsidRPr="0056686A">
        <w:rPr>
          <w:rFonts w:ascii="Times New Roman" w:hAnsi="Times New Roman" w:cs="Times New Roman"/>
          <w:lang w:val="en-US"/>
        </w:rPr>
        <w:t xml:space="preserve">. Internet based applications and wireless phones are empowering continuously individuals to execute financial or non-financial transactions at any corner of the world just from a finger touch. Peeping into the past, one of the first commercial applications of the mobile internet was mobile banking, which came out as an innovative extension of telephone banking and online banking </w:t>
      </w:r>
      <w:r w:rsidRPr="0056686A">
        <w:rPr>
          <w:rFonts w:ascii="Times New Roman" w:hAnsi="Times New Roman" w:cs="Times New Roman"/>
          <w:lang w:val="en-US"/>
        </w:rPr>
        <w:fldChar w:fldCharType="begin" w:fldLock="1"/>
      </w:r>
      <w:r w:rsidR="008F28C8">
        <w:rPr>
          <w:rFonts w:ascii="Times New Roman" w:hAnsi="Times New Roman" w:cs="Times New Roman"/>
          <w:lang w:val="en-US"/>
        </w:rPr>
        <w:instrText>ADDIN CSL_CITATION {"citationItems":[{"id":"ITEM-1","itemData":{"DOI":"10.1504/IJMC.2003.003494","ISBN":"6444635446","ISSN":"17415217","abstract":"The internet and the mobile phone – two technological advancements that have profoundly affected human behaviour in the last decade – have started to converge. The products of this association are mobile data services. Using a variety of platforms, services are being created to enable mobile devices to perform many activities of the traditional internet, albeit in a reduced format for mobile devices. One area of activity is mobile (m-) banking (one of the first areas of commercial transaction on the wireless internet). Banking is an area that has extended in many different ways in recent years, including telephone and online banking. M-banking provides yet another channel for banking services, and in emerging markets, provides some possibility for becoming a primary channel. This paper examines the strategic implications of m-banking and the strategic positioning of m-banking services in different markets. The paper concludes with a discussion of the future for m-banking services. © 2003 Inderscience Enterprises Ltd.","author":[{"dropping-particle":"","family":"Barnes","given":"Stuart J.","non-dropping-particle":"","parse-names":false,"suffix":""},{"dropping-particle":"","family":"Corbitt","given":"Brian","non-dropping-particle":"","parse-names":false,"suffix":""}],"container-title":"International Journal of Mobile Communications","id":"ITEM-1","issue":"3","issued":{"date-parts":[["2003"]]},"page":"273-288","title":"Mobile banking: concept and potential","type":"article-journal","volume":"1"},"uris":["http://www.mendeley.com/documents/?uuid=9c219692-2464-49a5-b29d-0156480470d1","http://www.mendeley.com/documents/?uuid=8616417e-becd-4dcc-9122-2632a80119ec"]}],"mendeley":{"formattedCitation":"(Barnes &amp; Corbitt, 2003)","plainTextFormattedCitation":"(Barnes &amp; Corbitt, 2003)","previouslyFormattedCitation":"(Barnes &amp; Corbitt, 2003)"},"properties":{"noteIndex":0},"schema":"https://github.com/citation-style-language/schema/raw/master/csl-citation.json"}</w:instrText>
      </w:r>
      <w:r w:rsidRPr="0056686A">
        <w:rPr>
          <w:rFonts w:ascii="Times New Roman" w:hAnsi="Times New Roman" w:cs="Times New Roman"/>
          <w:lang w:val="en-US"/>
        </w:rPr>
        <w:fldChar w:fldCharType="separate"/>
      </w:r>
      <w:r w:rsidRPr="0056686A">
        <w:rPr>
          <w:rFonts w:ascii="Times New Roman" w:hAnsi="Times New Roman" w:cs="Times New Roman"/>
          <w:noProof/>
          <w:lang w:val="en-US"/>
        </w:rPr>
        <w:t>(Barnes &amp; Corbitt, 2003)</w:t>
      </w:r>
      <w:r w:rsidRPr="0056686A">
        <w:rPr>
          <w:rFonts w:ascii="Times New Roman" w:hAnsi="Times New Roman" w:cs="Times New Roman"/>
        </w:rPr>
        <w:fldChar w:fldCharType="end"/>
      </w:r>
      <w:r w:rsidRPr="0056686A">
        <w:rPr>
          <w:rFonts w:ascii="Times New Roman" w:hAnsi="Times New Roman" w:cs="Times New Roman"/>
          <w:lang w:val="en-US"/>
        </w:rPr>
        <w:t xml:space="preserve">. Since the 1990s banking system in Europe has stretched rapidly much faster than many other banking systems </w:t>
      </w:r>
      <w:r w:rsidRPr="0056686A">
        <w:rPr>
          <w:rFonts w:ascii="Times New Roman" w:hAnsi="Times New Roman" w:cs="Times New Roman"/>
          <w:lang w:val="en-US"/>
        </w:rPr>
        <w:fldChar w:fldCharType="begin" w:fldLock="1"/>
      </w:r>
      <w:r w:rsidR="008F28C8">
        <w:rPr>
          <w:rFonts w:ascii="Times New Roman" w:hAnsi="Times New Roman" w:cs="Times New Roman"/>
          <w:lang w:val="en-US"/>
        </w:rPr>
        <w:instrText>ADDIN CSL_CITATION {"citationItems":[{"id":"ITEM-1","itemData":{"author":[{"dropping-particle":"","family":"Langfield","given":"Sam","non-dropping-particle":"","parse-names":false,"suffix":""},{"dropping-particle":"","family":"Pagano","given":"Marco","non-dropping-particle":"","parse-names":false,"suffix":""}],"container-title":"ECB Working Paper Series","id":"ITEM-1","issued":{"date-parts":[["2015"]]},"number":"1797","number-of-pages":"01-60","publisher-place":"Frankfurt","title":"Bank bias in Europe: effects on systemic risk and growth","type":"report"},"uris":["http://www.mendeley.com/documents/?uuid=699a9e7a-385c-4c24-9f72-491a95ac308e","http://www.mendeley.com/documents/?uuid=14a8b12e-9fb8-4fbd-b435-23372223c1b0"]}],"mendeley":{"formattedCitation":"(Langfield &amp; Pagano, 2015)","plainTextFormattedCitation":"(Langfield &amp; Pagano, 2015)","previouslyFormattedCitation":"(Langfield &amp; Pagano, 2015)"},"properties":{"noteIndex":0},"schema":"https://github.com/citation-style-language/schema/raw/master/csl-citation.json"}</w:instrText>
      </w:r>
      <w:r w:rsidRPr="0056686A">
        <w:rPr>
          <w:rFonts w:ascii="Times New Roman" w:hAnsi="Times New Roman" w:cs="Times New Roman"/>
          <w:lang w:val="en-US"/>
        </w:rPr>
        <w:fldChar w:fldCharType="separate"/>
      </w:r>
      <w:r w:rsidRPr="0056686A">
        <w:rPr>
          <w:rFonts w:ascii="Times New Roman" w:hAnsi="Times New Roman" w:cs="Times New Roman"/>
          <w:noProof/>
          <w:lang w:val="en-US"/>
        </w:rPr>
        <w:t>(Langfield &amp; Pagano, 2015)</w:t>
      </w:r>
      <w:r w:rsidRPr="0056686A">
        <w:rPr>
          <w:rFonts w:ascii="Times New Roman" w:hAnsi="Times New Roman" w:cs="Times New Roman"/>
        </w:rPr>
        <w:fldChar w:fldCharType="end"/>
      </w:r>
      <w:r w:rsidRPr="0056686A">
        <w:rPr>
          <w:rFonts w:ascii="Times New Roman" w:hAnsi="Times New Roman" w:cs="Times New Roman"/>
          <w:lang w:val="en-US"/>
        </w:rPr>
        <w:t xml:space="preserve">. Therefore, this simultaneous expansion of banking system, internet, and wireless mobile, gave a strong tool in the hands of the banking services providers to take the banking services in the pockets of the consumers and empower them to access from anywhere at any time </w:t>
      </w:r>
      <w:r w:rsidRPr="0056686A">
        <w:rPr>
          <w:rFonts w:ascii="Times New Roman" w:hAnsi="Times New Roman" w:cs="Times New Roman"/>
          <w:lang w:val="en-US"/>
        </w:rPr>
        <w:fldChar w:fldCharType="begin" w:fldLock="1"/>
      </w:r>
      <w:r w:rsidR="008F28C8">
        <w:rPr>
          <w:rFonts w:ascii="Times New Roman" w:hAnsi="Times New Roman" w:cs="Times New Roman"/>
          <w:lang w:val="en-US"/>
        </w:rPr>
        <w:instrText>ADDIN CSL_CITATION {"citationItems":[{"id":"ITEM-1","itemData":{"DOI":"10.1057/palgrave.fsm.4760077","abstract":"The rapid pace of technological development has created opportunities for financial service providers to offer their services via multiple electronic channels. The mobile phone is one of the most promising but so far marginally adopted channel for using financial services by consumers. Earlier literature on innovation adoption argued that those among the first to adopt new innovations possess unique characteristics compared to the majority of consumers. This paper aims to study how mobile banking innovators and early adopters differ from other users of online banking services. An internet survey was conducted among customers of a large Scandinavian bank in Finland yielding 2,675 responses. Logistic regression was used to identify variables differentiating between users of mobile banking and other online banking services. Somewhat contradictory to earlier findings the results indicate that only age (p&lt;0.0005) and gender (p=0.010) differentiate these two groups of customers, while education (p=0.957), income (p=0.624), occupation (p=0.596) and size of the household (p=0.151) were found to be insignificant in differentiating the groups. The results offer service providers better knowledge of the typical mobile banking user thus adding value to their marketing actions in the field of electronic banking.","author":[{"dropping-particle":"","family":"Laukkanen","given":"Tommi","non-dropping-particle":"","parse-names":false,"suffix":""},{"dropping-particle":"","family":"Pasanen","given":"Mika","non-dropping-particle":"","parse-names":false,"suffix":""}],"container-title":"Journal of Financial Services Marketing","id":"ITEM-1","issue":"2","issued":{"date-parts":[["2008","9"]]},"page":"86-94","publisher":"Palgrave Macmillan UK","title":"Mobile banking innovators and early adopters: How they differ from other online users?","type":"article-journal","volume":"13"},"uris":["http://www.mendeley.com/documents/?uuid=4311159b-095f-44e4-969f-3e7aa288442c"]}],"mendeley":{"formattedCitation":"(Laukkanen &amp; Pasanen, 2008)","plainTextFormattedCitation":"(Laukkanen &amp; Pasanen, 2008)","previouslyFormattedCitation":"(Laukkanen &amp; Pasanen, 2008)"},"properties":{"noteIndex":0},"schema":"https://github.com/citation-style-language/schema/raw/master/csl-citation.json"}</w:instrText>
      </w:r>
      <w:r w:rsidRPr="0056686A">
        <w:rPr>
          <w:rFonts w:ascii="Times New Roman" w:hAnsi="Times New Roman" w:cs="Times New Roman"/>
          <w:lang w:val="en-US"/>
        </w:rPr>
        <w:fldChar w:fldCharType="separate"/>
      </w:r>
      <w:r w:rsidRPr="0056686A">
        <w:rPr>
          <w:rFonts w:ascii="Times New Roman" w:hAnsi="Times New Roman" w:cs="Times New Roman"/>
          <w:noProof/>
          <w:lang w:val="en-US"/>
        </w:rPr>
        <w:t>(Laukkanen &amp; Pasanen, 2008)</w:t>
      </w:r>
      <w:r w:rsidRPr="0056686A">
        <w:rPr>
          <w:rFonts w:ascii="Times New Roman" w:hAnsi="Times New Roman" w:cs="Times New Roman"/>
        </w:rPr>
        <w:fldChar w:fldCharType="end"/>
      </w:r>
      <w:r w:rsidRPr="0056686A">
        <w:rPr>
          <w:rFonts w:ascii="Times New Roman" w:hAnsi="Times New Roman" w:cs="Times New Roman"/>
        </w:rPr>
        <w:t xml:space="preserve"> and this easiness delight individuals</w:t>
      </w:r>
      <w:r w:rsidRPr="0056686A">
        <w:rPr>
          <w:rFonts w:ascii="Times New Roman" w:hAnsi="Times New Roman" w:cs="Times New Roman"/>
          <w:lang w:val="en-US"/>
        </w:rPr>
        <w:t xml:space="preserve">. </w:t>
      </w:r>
    </w:p>
    <w:p w14:paraId="7AE3AB31" w14:textId="55FB4527" w:rsidR="0056686A" w:rsidRPr="0056686A" w:rsidRDefault="0056686A" w:rsidP="0056686A">
      <w:pPr>
        <w:rPr>
          <w:rFonts w:ascii="Times New Roman" w:hAnsi="Times New Roman" w:cs="Times New Roman"/>
        </w:rPr>
      </w:pPr>
      <w:r w:rsidRPr="0056686A">
        <w:rPr>
          <w:rFonts w:ascii="Times New Roman" w:hAnsi="Times New Roman" w:cs="Times New Roman"/>
        </w:rPr>
        <w:t xml:space="preserve">Mobile banking services are about complete accessibility to banking services and easy transactions from bank accounts, instalment payments, fund transfer and other related banking services </w:t>
      </w:r>
      <w:r w:rsidRPr="0056686A">
        <w:rPr>
          <w:rFonts w:ascii="Times New Roman" w:hAnsi="Times New Roman" w:cs="Times New Roman"/>
        </w:rPr>
        <w:fldChar w:fldCharType="begin" w:fldLock="1"/>
      </w:r>
      <w:r w:rsidR="008F28C8">
        <w:rPr>
          <w:rFonts w:ascii="Times New Roman" w:hAnsi="Times New Roman" w:cs="Times New Roman"/>
        </w:rPr>
        <w:instrText>ADDIN CSL_CITATION {"citationItems":[{"id":"ITEM-1","itemData":{"ISSN":"19389027","abstract":"Many banks in Saudi Arabia are starting to offer banking services through mobile phones. However, not many studies investigate the factors that may help the bankers to design mobile services, which are suitable for and adoptable by bank customers. This study fills this gap and examines a number of factors affecting the mobile banking adoption. Using Diffusion of Innovation as a baseline theory, data are obtained from 330 actual mobile banking users. It is found that relative advantage, compatibility, and observability have positive impact on adoption. Contrary to the findings in extant literature, trialability and complexity have no significant effect on adoption. Perceived risk has a negative impact on adoption. The findings of this study will have practical implications for banking industry in Saudi Arabia.","author":[{"dropping-particle":"","family":"Al-Jabri","given":"Brahim M.","non-dropping-particle":"","parse-names":false,"suffix":""},{"dropping-particle":"","family":"Sohail","given":"M. Sadiq","non-dropping-particle":"","parse-names":false,"suffix":""}],"container-title":"Journal of Electronic Commerce Research","id":"ITEM-1","issue":"4","issued":{"date-parts":[["2012"]]},"page":"379-391","title":"Mobile banking adoption: Application of diffusion of innovation theory","type":"article-journal","volume":"13"},"uris":["http://www.mendeley.com/documents/?uuid=1c197cb5-fad2-4bab-8b67-208a15aa7c81","http://www.mendeley.com/documents/?uuid=23bdb96d-b904-4ecc-9834-565f701e9c12"]}],"mendeley":{"formattedCitation":"(Al-Jabri &amp; Sohail, 2012)","plainTextFormattedCitation":"(Al-Jabri &amp; Sohail, 2012)","previouslyFormattedCitation":"(Al-Jabri &amp; Sohail, 2012)"},"properties":{"noteIndex":0},"schema":"https://github.com/citation-style-language/schema/raw/master/csl-citation.json"}</w:instrText>
      </w:r>
      <w:r w:rsidRPr="0056686A">
        <w:rPr>
          <w:rFonts w:ascii="Times New Roman" w:hAnsi="Times New Roman" w:cs="Times New Roman"/>
        </w:rPr>
        <w:fldChar w:fldCharType="separate"/>
      </w:r>
      <w:r w:rsidRPr="0056686A">
        <w:rPr>
          <w:rFonts w:ascii="Times New Roman" w:hAnsi="Times New Roman" w:cs="Times New Roman"/>
          <w:noProof/>
        </w:rPr>
        <w:t>(Al-Jabri &amp; Sohail, 2012)</w:t>
      </w:r>
      <w:r w:rsidRPr="0056686A">
        <w:rPr>
          <w:rFonts w:ascii="Times New Roman" w:hAnsi="Times New Roman" w:cs="Times New Roman"/>
        </w:rPr>
        <w:fldChar w:fldCharType="end"/>
      </w:r>
      <w:r w:rsidRPr="0056686A">
        <w:rPr>
          <w:rFonts w:ascii="Times New Roman" w:hAnsi="Times New Roman" w:cs="Times New Roman"/>
        </w:rPr>
        <w:t xml:space="preserve">. According to Shaikh, Karjaluoto, and Chinje </w:t>
      </w:r>
      <w:r w:rsidRPr="0056686A">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{"citationItems":[{"id":"ITEM-1","itemData":{"DOI":"10.1504/IJEF.2015.070528","ISSN":"17460077","abstract":"This study examines continuous usage behaviour related to mobile banking (m-banking) among consumers living in Finland (FI) and South Africa (ZA). The study investigates three post-adoption behavioural consequences - namely, trust, satisfaction and word of mouth. Using purposeful sampling techniques, we found that trust plays a significant role in promoting continuous usage of m-banking. In general, the respondents reported high levels of trust in m-banking technology and were satisfied with the m-banking application and services. In addition, convenience, user friendliness and speed emerged as the main sub-topics related to satisfaction. In most cases, the convenience of using m-banking dominated the recommendation criteria. However, users, especially those in ZA, generally do not promote m-banking services to others. This study shows that for the majority of users, m-banking usage is related to increased satisfaction with the bank, implying that m-banking services should be a vital part of banks' strategy to retain customers.","author":[{"dropping-particle":"","family":"Shaikh","given":"Aijaz A.","non-dropping-particle":"","parse-names":false,"suffix":""},{"dropping-particle":"","family":"Karjaluoto","given":"Heikki","non-dropping-particle":"","parse-names":false,"suffix":""},{"dropping-particle":"","family":"Chinje","given":"Nathalie Beatrice","non-dropping-particle":"","parse-names":false,"suffix":""}],"container-title":"International Journal of Electronic Finance","id":"ITEM-1","issue":"2-4","issued":{"date-parts":[["2015"]]},"page":"149-168","title":"Consumers' perceptions of mobile banking continuous usage in Finland and South Africa","type":"article-journal","volume":"8"},"suppress-author":1,"uris":["http://www.mendeley.com/documents/?uuid=eff532fc-4a94-4a5c-9710-5be9585696a0","http://www.mendeley.com/documents/?uuid=0a157528-fd58-49f6-a751-584aac02f54e"]}],"mendeley":{"formattedCitation":"(2015a)","plainTextFormattedCitation":"(2015a)","previouslyFormattedCitation":"(2015a)"},"properties":{"noteIndex":0},"schema":"https://github.com/citation-style-language/schema/raw/master/csl-citation.json"}</w:instrText>
      </w:r>
      <w:r w:rsidRPr="0056686A">
        <w:rPr>
          <w:rFonts w:ascii="Times New Roman" w:hAnsi="Times New Roman" w:cs="Times New Roman"/>
        </w:rPr>
        <w:fldChar w:fldCharType="separate"/>
      </w:r>
      <w:r w:rsidRPr="0056686A">
        <w:rPr>
          <w:rFonts w:ascii="Times New Roman" w:hAnsi="Times New Roman" w:cs="Times New Roman"/>
          <w:noProof/>
        </w:rPr>
        <w:t>(2015a)</w:t>
      </w:r>
      <w:r w:rsidRPr="0056686A">
        <w:rPr>
          <w:rFonts w:ascii="Times New Roman" w:hAnsi="Times New Roman" w:cs="Times New Roman"/>
        </w:rPr>
        <w:fldChar w:fldCharType="end"/>
      </w:r>
      <w:r w:rsidRPr="0056686A">
        <w:rPr>
          <w:rFonts w:ascii="Times New Roman" w:hAnsi="Times New Roman" w:cs="Times New Roman"/>
        </w:rPr>
        <w:t xml:space="preserve">. M-banking services just need an electronic device such as smartphones or tablets, to execute financial and non-financial transactions. This easiness of service usage is behind its acceptance and adaptability around the world. This explains itself why m-banking is expanding rapidly, bankers want to grab this as an opportunity to improve their competitiveness, </w:t>
      </w:r>
      <w:r w:rsidRPr="0056686A">
        <w:rPr>
          <w:rFonts w:ascii="Times New Roman" w:hAnsi="Times New Roman" w:cs="Times New Roman"/>
        </w:rPr>
        <w:lastRenderedPageBreak/>
        <w:t xml:space="preserve">expand their banking services, and to enhance customer loyalty and satisfaction </w:t>
      </w:r>
      <w:r w:rsidRPr="0056686A">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{"citationItems":[{"id":"ITEM-1","itemData":{"DOI":"10.1057/fsm.2015.5","abstract":"Despite the rapid growth of Internet banking (IB), customers in developing countries still hesitate to adopt this technology and its use in the Middle East remains low. This study aims to identify and examine the factors that predict behavioural intention and adoption of IB in Jordan. Four factors – hedonic motivation, habit, self-efficacy and trust – are proposed in a conceptual model. Data was collected by means of a survey with bank customers in Jordan. Structural equation modelling (SEM) was used to analyse the data. The results strongly supported the conceptual model. Further, hedonic motivation, habit, self-efficacy and trust were all confirmed to have a significant influence on behavioural intention. Trust was found to be strongly predicted by both hedonic motivation and self-efficacy. This study provides both academics and practitioners with an insight into the factors that can be used to encourage customer adoption of IB specifically in a Middle East context.","author":[{"dropping-particle":"","family":"Alalwan","given":"Ali A","non-dropping-particle":"","parse-names":false,"suffix":""},{"dropping-particle":"","family":"Dwivedi","given":"Yogesh K","non-dropping-particle":"","parse-names":false,"suffix":""},{"dropping-particle":"","family":"Rana","given":"Nripendra P","non-dropping-particle":"","parse-names":false,"suffix":""},{"dropping-particle":"","family":"Lal","given":"Banita","non-dropping-particle":"","parse-names":false,"suffix":""},{"dropping-particle":"","family":"Williams","given":"Michael D","non-dropping-particle":"","parse-names":false,"suffix":""}],"container-title":"Journal of Financial Services Marketing","id":"ITEM-1","issue":"2","issued":{"date-parts":[["2015","6"]]},"page":"145-157","publisher":"Palgrave Macmillan UK","title":"Consumer adoption of Internet banking in Jordan: Examining the role of hedonic motivation, habit, self-efficacy and trust","type":"article-journal","volume":"20"},"uris":["http://www.mendeley.com/documents/?uuid=517857dd-105b-4e67-8fa7-a2ada2efee55"]}],"mendeley":{"formattedCitation":"(Alalwan, Dwivedi, Rana, Lal, &amp; Williams, 2015)","plainTextFormattedCitation":"(Alalwan, Dwivedi, Rana, Lal, &amp; Williams, 2015)","previouslyFormattedCitation":"(Alalwan, Dwivedi, Rana, Lal, &amp; Williams, 2015)"},"properties":{"noteIndex":0},"schema":"https://github.com/citation-style-language/schema/raw/master/csl-citation.json"}</w:instrText>
      </w:r>
      <w:r w:rsidRPr="0056686A">
        <w:rPr>
          <w:rFonts w:ascii="Times New Roman" w:hAnsi="Times New Roman" w:cs="Times New Roman"/>
        </w:rPr>
        <w:fldChar w:fldCharType="separate"/>
      </w:r>
      <w:r w:rsidRPr="0056686A">
        <w:rPr>
          <w:rFonts w:ascii="Times New Roman" w:hAnsi="Times New Roman" w:cs="Times New Roman"/>
          <w:noProof/>
        </w:rPr>
        <w:t>(Alalwan, Dwivedi, Rana, Lal, &amp; Williams, 2015)</w:t>
      </w:r>
      <w:r w:rsidRPr="0056686A">
        <w:rPr>
          <w:rFonts w:ascii="Times New Roman" w:hAnsi="Times New Roman" w:cs="Times New Roman"/>
        </w:rPr>
        <w:fldChar w:fldCharType="end"/>
      </w:r>
      <w:r w:rsidRPr="0056686A">
        <w:rPr>
          <w:rFonts w:ascii="Times New Roman" w:hAnsi="Times New Roman" w:cs="Times New Roman"/>
        </w:rPr>
        <w:t xml:space="preserve">. M-banking can help in the customer’s base expansion, operational efficiency, cost-effective, and can enhance revenue, and for consumers, it facilitates easy, cost-effective and anywhere banking </w:t>
      </w:r>
      <w:r w:rsidRPr="0056686A">
        <w:rPr>
          <w:rFonts w:ascii="Times New Roman" w:hAnsi="Times New Roman" w:cs="Times New Roman"/>
        </w:rPr>
        <w:fldChar w:fldCharType="begin" w:fldLock="1"/>
      </w:r>
      <w:r w:rsidR="008F28C8">
        <w:rPr>
          <w:rFonts w:ascii="Times New Roman" w:hAnsi="Times New Roman" w:cs="Times New Roman"/>
        </w:rPr>
        <w:instrText>ADDIN CSL_CITATION {"citationItems":[{"id":"ITEM-1","itemData":{"ISSN":"19389027","abstract":"Many banks in Saudi Arabia are starting to offer banking services through mobile phones. However, not many studies investigate the factors that may help the bankers to design mobile services, which are suitable for and adoptable by bank customers. This study fills this gap and examines a number of factors affecting the mobile banking adoption. Using Diffusion of Innovation as a baseline theory, data are obtained from 330 actual mobile banking users. It is found that relative advantage, compatibility, and observability have positive impact on adoption. Contrary to the findings in extant literature, trialability and complexity have no significant effect on adoption. Perceived risk has a negative impact on adoption. The findings of this study will have practical implications for banking industry in Saudi Arabia.","author":[{"dropping-particle":"","family":"Al-Jabri","given":"Brahim M.","non-dropping-particle":"","parse-names":false,"suffix":""},{"dropping-particle":"","family":"Sohail","given":"M. Sadiq","non-dropping-particle":"","parse-names":false,"suffix":""}],"container-title":"Journal of Electronic Commerce Research","id":"ITEM-1","issue":"4","issued":{"date-parts":[["2012"]]},"page":"379-391","title":"Mobile banking adoption: Application of diffusion of innovation theory","type":"article-journal","volume":"13"},"uris":["http://www.mendeley.com/documents/?uuid=23bdb96d-b904-4ecc-9834-565f701e9c12","http://www.mendeley.com/documents/?uuid=1c197cb5-fad2-4bab-8b67-208a15aa7c81"]}],"mendeley":{"formattedCitation":"(Al-Jabri &amp; Sohail, 2012)","plainTextFormattedCitation":"(Al-Jabri &amp; Sohail, 2012)","previouslyFormattedCitation":"(Al-Jabri &amp; Sohail, 2012)"},"properties":{"noteIndex":0},"schema":"https://github.com/citation-style-language/schema/raw/master/csl-citation.json"}</w:instrText>
      </w:r>
      <w:r w:rsidRPr="0056686A">
        <w:rPr>
          <w:rFonts w:ascii="Times New Roman" w:hAnsi="Times New Roman" w:cs="Times New Roman"/>
        </w:rPr>
        <w:fldChar w:fldCharType="separate"/>
      </w:r>
      <w:r w:rsidRPr="0056686A">
        <w:rPr>
          <w:rFonts w:ascii="Times New Roman" w:hAnsi="Times New Roman" w:cs="Times New Roman"/>
          <w:noProof/>
        </w:rPr>
        <w:t>(Al-Jabri &amp; Sohail, 2012)</w:t>
      </w:r>
      <w:r w:rsidRPr="0056686A">
        <w:rPr>
          <w:rFonts w:ascii="Times New Roman" w:hAnsi="Times New Roman" w:cs="Times New Roman"/>
        </w:rPr>
        <w:fldChar w:fldCharType="end"/>
      </w:r>
      <w:r w:rsidRPr="0056686A">
        <w:rPr>
          <w:rFonts w:ascii="Times New Roman" w:hAnsi="Times New Roman" w:cs="Times New Roman"/>
        </w:rPr>
        <w:t xml:space="preserve">. </w:t>
      </w:r>
    </w:p>
    <w:p w14:paraId="0B2B61CD" w14:textId="2F5B56CB" w:rsidR="0056686A" w:rsidRPr="0056686A" w:rsidRDefault="0056686A" w:rsidP="0056686A">
      <w:pPr>
        <w:rPr>
          <w:rFonts w:ascii="Times New Roman" w:hAnsi="Times New Roman" w:cs="Times New Roman"/>
        </w:rPr>
      </w:pPr>
      <w:r w:rsidRPr="0056686A">
        <w:rPr>
          <w:rFonts w:ascii="Times New Roman" w:hAnsi="Times New Roman" w:cs="Times New Roman"/>
        </w:rPr>
        <w:t xml:space="preserve">Banking services are rapidly expanding, including offering the service remotely </w:t>
      </w:r>
      <w:r w:rsidRPr="0056686A">
        <w:rPr>
          <w:rFonts w:ascii="Times New Roman" w:hAnsi="Times New Roman" w:cs="Times New Roman"/>
        </w:rPr>
        <w:fldChar w:fldCharType="begin" w:fldLock="1"/>
      </w:r>
      <w:r w:rsidR="008F28C8">
        <w:rPr>
          <w:rFonts w:ascii="Times New Roman" w:hAnsi="Times New Roman" w:cs="Times New Roman"/>
        </w:rPr>
        <w:instrText>ADDIN CSL_CITATION {"citationItems":[{"id":"ITEM-1","itemData":{"author":[{"dropping-particle":"","family":"Langfield","given":"Sam","non-dropping-particle":"","parse-names":false,"suffix":""},{"dropping-particle":"","family":"Pagano","given":"Marco","non-dropping-particle":"","parse-names":false,"suffix":""}],"container-title":"ECB Working Paper Series","id":"ITEM-1","issued":{"date-parts":[["2015"]]},"number":"1797","number-of-pages":"01-60","publisher-place":"Frankfurt","title":"Bank bias in Europe: effects on systemic risk and growth","type":"report"},"uris":["http://www.mendeley.com/documents/?uuid=14a8b12e-9fb8-4fbd-b435-23372223c1b0","http://www.mendeley.com/documents/?uuid=699a9e7a-385c-4c24-9f72-491a95ac308e"]}],"mendeley":{"formattedCitation":"(Langfield &amp; Pagano, 2015)","plainTextFormattedCitation":"(Langfield &amp; Pagano, 2015)","previouslyFormattedCitation":"(Langfield &amp; Pagano, 2015)"},"properties":{"noteIndex":0},"schema":"https://github.com/citation-style-language/schema/raw/master/csl-citation.json"}</w:instrText>
      </w:r>
      <w:r w:rsidRPr="0056686A">
        <w:rPr>
          <w:rFonts w:ascii="Times New Roman" w:hAnsi="Times New Roman" w:cs="Times New Roman"/>
        </w:rPr>
        <w:fldChar w:fldCharType="separate"/>
      </w:r>
      <w:r w:rsidRPr="0056686A">
        <w:rPr>
          <w:rFonts w:ascii="Times New Roman" w:hAnsi="Times New Roman" w:cs="Times New Roman"/>
          <w:noProof/>
        </w:rPr>
        <w:t>(Langfield &amp; Pagano, 2015)</w:t>
      </w:r>
      <w:r w:rsidRPr="0056686A">
        <w:rPr>
          <w:rFonts w:ascii="Times New Roman" w:hAnsi="Times New Roman" w:cs="Times New Roman"/>
        </w:rPr>
        <w:fldChar w:fldCharType="end"/>
      </w:r>
      <w:r w:rsidRPr="0056686A">
        <w:rPr>
          <w:rFonts w:ascii="Times New Roman" w:hAnsi="Times New Roman" w:cs="Times New Roman"/>
        </w:rPr>
        <w:t xml:space="preserve">. Therefore, it is predicted that m-banking will continue gaining its popularity, particularly among banks as it has potential to upsurge their market share </w:t>
      </w:r>
      <w:r w:rsidRPr="0056686A">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{"citationItems":[{"id":"ITEM-1","itemData":{"DOI":"10.1057/s41264-017-0031-8","abstract":"Internet as we know it, has entered a spiral of decline while mobile Apps are gradually taking over and are steadily changing the way we go about our individual daily lives. This study examines the fact that certain financial services Apps are far more successful than others, specifically by looking at what makes a user think that an App may be great, and give it a favorable review, or that it is rather ghastly, and give it an unfavorable review. Next, we describe a study of six of the most popular financial services Apps on the iTunes App Store, for which reviews were analyzed using DICTION software. Employing Diction variables, ambivalence and temporal terms were prevalent in negative reviews while accomplishment, motion, optimism and certainty, were predominantly expressed in positive reviews. Human interest, on the other hand, seemed to be uniformly distributed between both types of reviews.","author":[{"dropping-particle":"","family":"Vella","given":"Joseph","non-dropping-particle":"","parse-names":false,"suffix":""},{"dropping-particle":"","family":"Wallström","given":"Åsa","non-dropping-particle":"","parse-names":false,"suffix":""},{"dropping-particle":"","family":"Farshid","given":"Mana","non-dropping-particle":"","parse-names":false,"suffix":""}],"container-title":"Journal of Financial Services Marketing","id":"ITEM-1","issue":"3","issued":{"date-parts":[["2017","9"]]},"page":"132-138","publisher":"Palgrave Macmillan UK","title":"Financial services Apps: What makes the difference between a great and a ghastly review?","type":"article-journal","volume":"22"},"uris":["http://www.mendeley.com/documents/?uuid=02b640cc-86f6-408e-98ed-639da19a568d"]}],"mendeley":{"formattedCitation":"(Vella, Wallström, &amp; Farshid, 2017)","plainTextFormattedCitation":"(Vella, Wallström, &amp; Farshid, 2017)","previouslyFormattedCitation":"(Vella, Wallström, &amp; Farshid, 2017)"},"properties":{"noteIndex":0},"schema":"https://github.com/citation-style-language/schema/raw/master/csl-citation.json"}</w:instrText>
      </w:r>
      <w:r w:rsidRPr="0056686A">
        <w:rPr>
          <w:rFonts w:ascii="Times New Roman" w:hAnsi="Times New Roman" w:cs="Times New Roman"/>
        </w:rPr>
        <w:fldChar w:fldCharType="separate"/>
      </w:r>
      <w:r w:rsidRPr="0056686A">
        <w:rPr>
          <w:rFonts w:ascii="Times New Roman" w:hAnsi="Times New Roman" w:cs="Times New Roman"/>
          <w:noProof/>
        </w:rPr>
        <w:t>(Vella, Wallström, &amp; Farshid, 2017)</w:t>
      </w:r>
      <w:r w:rsidRPr="0056686A">
        <w:rPr>
          <w:rFonts w:ascii="Times New Roman" w:hAnsi="Times New Roman" w:cs="Times New Roman"/>
        </w:rPr>
        <w:fldChar w:fldCharType="end"/>
      </w:r>
      <w:r w:rsidRPr="0056686A">
        <w:rPr>
          <w:rFonts w:ascii="Times New Roman" w:hAnsi="Times New Roman" w:cs="Times New Roman"/>
        </w:rPr>
        <w:t xml:space="preserve">. Based on the same reasons, expansion of electronic devices, applications and internet are the causes behind the advent of gamification also, which are consist of group of activities which brings fun, excitement, motivation and joyful experience in usage, as well as an improved gamification stage, can help service providers to learn about their consumers which can be very helpful to design their online experience grounded on the users activities and liking </w:t>
      </w:r>
      <w:r w:rsidRPr="0056686A">
        <w:rPr>
          <w:rFonts w:ascii="Times New Roman" w:hAnsi="Times New Roman" w:cs="Times New Roman"/>
        </w:rPr>
        <w:fldChar w:fldCharType="begin" w:fldLock="1"/>
      </w:r>
      <w:r w:rsidR="008F28C8">
        <w:rPr>
          <w:rFonts w:ascii="Times New Roman" w:hAnsi="Times New Roman" w:cs="Times New Roman"/>
        </w:rPr>
        <w:instrText>ADDIN CSL_CITATION {"citationItems":[{"id":"ITEM-1","itemData":{"ISBN":"9781449397678","abstract":"What do Foursquare, Zynga, Nike+, and Groupon have in common? These and many other brands use gamification to deliver a sticky, viral, and engaging experience to their customers. This book provides the design strategy and tactics you need to integrate game mechanics into any kind of consumer-facing website or mobile app. Learn how to use core game concepts, design patterns, and meaningful code samples to a create fun and captivating social environment.","author":[{"dropping-particle":"","family":"Zichermann","given":"Gabe","non-dropping-particle":"","parse-names":false,"suffix":""},{"dropping-particle":"","family":"Cunningham","given":"Christopher","non-dropping-particle":"","parse-names":false,"suffix":""}],"id":"ITEM-1","issued":{"date-parts":[["2011"]]},"number-of-pages":"208","publisher":"O'Reilly Media","publisher-place":"Sebastopol","title":"Gamification by Design: Implementing Game Mechanics in Web and Mobile Apps","type":"book"},"uris":["http://www.mendeley.com/documents/?uuid=86b94d68-96c0-4201-a8d7-367384acaae9","http://www.mendeley.com/documents/?uuid=ab0abd82-aa78-430a-a6dd-2714bfe0e4ea"]}],"mendeley":{"formattedCitation":"(Zichermann &amp; Cunningham, 2011)","plainTextFormattedCitation":"(Zichermann &amp; Cunningham, 2011)","previouslyFormattedCitation":"(Zichermann &amp; Cunningham, 2011)"},"properties":{"noteIndex":0},"schema":"https://github.com/citation-style-language/schema/raw/master/csl-citation.json"}</w:instrText>
      </w:r>
      <w:r w:rsidRPr="0056686A">
        <w:rPr>
          <w:rFonts w:ascii="Times New Roman" w:hAnsi="Times New Roman" w:cs="Times New Roman"/>
        </w:rPr>
        <w:fldChar w:fldCharType="separate"/>
      </w:r>
      <w:r w:rsidRPr="0056686A">
        <w:rPr>
          <w:rFonts w:ascii="Times New Roman" w:hAnsi="Times New Roman" w:cs="Times New Roman"/>
          <w:noProof/>
        </w:rPr>
        <w:t>(Zichermann &amp; Cunningham, 2011)</w:t>
      </w:r>
      <w:r w:rsidRPr="0056686A">
        <w:rPr>
          <w:rFonts w:ascii="Times New Roman" w:hAnsi="Times New Roman" w:cs="Times New Roman"/>
        </w:rPr>
        <w:fldChar w:fldCharType="end"/>
      </w:r>
      <w:r w:rsidRPr="0056686A">
        <w:rPr>
          <w:rFonts w:ascii="Times New Roman" w:hAnsi="Times New Roman" w:cs="Times New Roman"/>
        </w:rPr>
        <w:t xml:space="preserve">. Game-based applications are useful in improving learning and performances </w:t>
      </w:r>
      <w:r w:rsidRPr="0056686A">
        <w:rPr>
          <w:rFonts w:ascii="Times New Roman" w:hAnsi="Times New Roman" w:cs="Times New Roman"/>
        </w:rPr>
        <w:fldChar w:fldCharType="begin" w:fldLock="1"/>
      </w:r>
      <w:r w:rsidRPr="0056686A">
        <w:rPr>
          <w:rFonts w:ascii="Times New Roman" w:hAnsi="Times New Roman" w:cs="Times New Roman"/>
        </w:rPr>
        <w:instrText>ADDIN CSL_CITATION {"citationItems":[{"id":"ITEM-1","itemData":{"DOI":"10.13140/RG","author":[{"dropping-particle":"","family":"Galetta","given":"Giuseppe","non-dropping-particle":"","parse-names":false,"suffix":""}],"container-title":"Creativity and Innovation in Education","id":"ITEM-1","issued":{"date-parts":[["2013"]]},"page":"1-10","title":"The Gamification: Applications and Developments for Creativity and Education","type":"paper-conference","volume":"2"},"uris":["http://www.mendeley.com/documents/?uuid=3b350799-c108-4154-9309-dc6cf34a0519","http://www.mendeley.com/documents/?uuid=b9052703-e849-4221-ab3b-cb57472e8ea1"]}],"mendeley":{"formattedCitation":"(Galetta, 2013)","plainTextFormattedCitation":"(Galetta, 2013)","previouslyFormattedCitation":"(Galetta, 2013)"},"properties":{"noteIndex":0},"schema":"https://github.com/citation-style-language/schema/raw/master/csl-citation.json"}</w:instrText>
      </w:r>
      <w:r w:rsidRPr="0056686A">
        <w:rPr>
          <w:rFonts w:ascii="Times New Roman" w:hAnsi="Times New Roman" w:cs="Times New Roman"/>
        </w:rPr>
        <w:fldChar w:fldCharType="separate"/>
      </w:r>
      <w:r w:rsidRPr="0056686A">
        <w:rPr>
          <w:rFonts w:ascii="Times New Roman" w:hAnsi="Times New Roman" w:cs="Times New Roman"/>
          <w:noProof/>
        </w:rPr>
        <w:t>(Galetta, 2013)</w:t>
      </w:r>
      <w:r w:rsidRPr="0056686A">
        <w:rPr>
          <w:rFonts w:ascii="Times New Roman" w:hAnsi="Times New Roman" w:cs="Times New Roman"/>
        </w:rPr>
        <w:fldChar w:fldCharType="end"/>
      </w:r>
      <w:r w:rsidRPr="0056686A">
        <w:rPr>
          <w:rFonts w:ascii="Times New Roman" w:hAnsi="Times New Roman" w:cs="Times New Roman"/>
        </w:rPr>
        <w:t xml:space="preserve">. Therefore, it can be assumed that gamification might subsidize to improve m-banking usage. </w:t>
      </w:r>
    </w:p>
    <w:p w14:paraId="1A53B7A3" w14:textId="77777777" w:rsidR="0056686A" w:rsidRPr="0056686A" w:rsidRDefault="0056686A" w:rsidP="0056686A">
      <w:pPr>
        <w:rPr>
          <w:rFonts w:ascii="Times New Roman" w:hAnsi="Times New Roman" w:cs="Times New Roman"/>
        </w:rPr>
      </w:pPr>
      <w:r w:rsidRPr="0056686A">
        <w:rPr>
          <w:rFonts w:ascii="Times New Roman" w:hAnsi="Times New Roman" w:cs="Times New Roman"/>
        </w:rPr>
        <w:t>The whole structure of this system is based on four aspects, human behaviour, banking application, internet, and mobile phone. Continuous improvement in communication technologies, are making software (application and internet) and hardware (electronic device) easy and smooth to use, and the only unrelated, much studied and most dynamic aspect is to understand human behaviour. Therefore, it has to be studied separately on how and what influences consumer behaviour, what drives users’ behaviour, and how it can be improved to enhance m-banking adaptability and make it more user-friendly. Therefore, service providers and researchers are continuously trying to understand the factors affecting behaviour intention and usage behaviour. Specifically, the region where the present study is conducted i.e. Albania a country in the transition phase.</w:t>
      </w:r>
    </w:p>
    <w:p w14:paraId="18B8AA9B" w14:textId="77777777" w:rsidR="0056686A" w:rsidRPr="0056686A" w:rsidRDefault="0056686A" w:rsidP="0056686A">
      <w:pPr>
        <w:rPr>
          <w:rFonts w:ascii="Times New Roman" w:hAnsi="Times New Roman" w:cs="Times New Roman"/>
        </w:rPr>
      </w:pPr>
      <w:r w:rsidRPr="0056686A">
        <w:rPr>
          <w:rFonts w:ascii="Times New Roman" w:hAnsi="Times New Roman" w:cs="Times New Roman"/>
        </w:rPr>
        <w:t xml:space="preserve">Looking into the few facts regarding communication technology expansion and acceptance, along with financial services limitations in Albania. Still, more than ninety percent of the transaction witness cash transaction and a big chunk of the population does not have a bank account. Technological advancement through electronic and m-banking can be useful to remove cash and paper-based transactions and can reduce the cost significantly and can help banking services expansion in Albania. Moreover, initiatives on access and usage will complement the other initiatives such as to enhance financial literacy among Albanians </w:t>
      </w:r>
      <w:r w:rsidRPr="0056686A">
        <w:rPr>
          <w:rFonts w:ascii="Times New Roman" w:hAnsi="Times New Roman" w:cs="Times New Roman"/>
        </w:rPr>
        <w:fldChar w:fldCharType="begin" w:fldLock="1"/>
      </w:r>
      <w:r w:rsidRPr="0056686A">
        <w:rPr>
          <w:rFonts w:ascii="Times New Roman" w:hAnsi="Times New Roman" w:cs="Times New Roman"/>
        </w:rPr>
        <w:instrText>ADDIN CSL_CITATION {"citationItems":[{"id":"ITEM-1","itemData":{"author":[{"dropping-particle":"","family":"Bank of Albania","given":"","non-dropping-particle":"","parse-names":false,"suffix":""}],"id":"ITEM-1","issued":{"date-parts":[["2018"]]},"number-of-pages":"1-42","publisher-place":"Tiranë","title":"The Retail Payment Costs and Savings in Albania","type":"report"},"uris":["http://www.mendeley.com/documents/?uuid=76526550-c81c-4d62-9dd2-863985baf915"]}],"mendeley":{"formattedCitation":"(Bank of Albania, 2018)","plainTextFormattedCitation":"(Bank of Albania, 2018)","previouslyFormattedCitation":"(Bank of Albania, 2018)"},"properties":{"noteIndex":0},"schema":"https://github.com/citation-style-language/schema/raw/master/csl-citation.json"}</w:instrText>
      </w:r>
      <w:r w:rsidRPr="0056686A">
        <w:rPr>
          <w:rFonts w:ascii="Times New Roman" w:hAnsi="Times New Roman" w:cs="Times New Roman"/>
        </w:rPr>
        <w:fldChar w:fldCharType="separate"/>
      </w:r>
      <w:r w:rsidRPr="0056686A">
        <w:rPr>
          <w:rFonts w:ascii="Times New Roman" w:hAnsi="Times New Roman" w:cs="Times New Roman"/>
          <w:noProof/>
        </w:rPr>
        <w:t>(Bank of Albania, 2018)</w:t>
      </w:r>
      <w:r w:rsidRPr="0056686A">
        <w:rPr>
          <w:rFonts w:ascii="Times New Roman" w:hAnsi="Times New Roman" w:cs="Times New Roman"/>
        </w:rPr>
        <w:fldChar w:fldCharType="end"/>
      </w:r>
      <w:r w:rsidRPr="0056686A">
        <w:rPr>
          <w:rFonts w:ascii="Times New Roman" w:hAnsi="Times New Roman" w:cs="Times New Roman"/>
        </w:rPr>
        <w:t xml:space="preserve">. But the studies on m-banking usage and acceptance in the context of a transition country like Albania is still limited and emerging studies can contribute theoretically for its practical implication and improvement. Apparently, this is one of the reasons to conduct this study in the premises of Albania. Recently, considerable progress has been observed regarding the number of home-banking transactions amplified substantially during 2018 </w:t>
      </w:r>
      <w:r w:rsidRPr="0056686A">
        <w:rPr>
          <w:rFonts w:ascii="Times New Roman" w:hAnsi="Times New Roman" w:cs="Times New Roman"/>
        </w:rPr>
        <w:fldChar w:fldCharType="begin" w:fldLock="1"/>
      </w:r>
      <w:r w:rsidRPr="0056686A">
        <w:rPr>
          <w:rFonts w:ascii="Times New Roman" w:hAnsi="Times New Roman" w:cs="Times New Roman"/>
        </w:rPr>
        <w:instrText>ADDIN CSL_CITATION {"citationItems":[{"id":"ITEM-1","itemData":{"abstract":"Homebanking transactions excel database including information about February 2019.","author":[{"dropping-particle":"","family":"Bank of Albania","given":"","non-dropping-particle":"","parse-names":false,"suffix":""}],"id":"ITEM-1","issued":{"date-parts":[["2019"]]},"number-of-pages":"1","publisher-place":"Tirana","title":"Homebanking transactions 2005-2019","type":"report"},"uris":["http://www.mendeley.com/documents/?uuid=a305e041-470b-3a9f-9a72-48ba90dbd6c7","http://www.mendeley.com/documents/?uuid=57fc13bb-77ad-40e6-95e1-f6d815476b70","http://www.mendeley.com/documents/?uuid=1df4ff95-c888-4b62-a4d6-4b10d78a8165"]}],"mendeley":{"formattedCitation":"(Bank of Albania, 2019)","plainTextFormattedCitation":"(Bank of Albania, 2019)","previouslyFormattedCitation":"(Bank of Albania, 2019)"},"properties":{"noteIndex":0},"schema":"https://github.com/citation-style-language/schema/raw/master/csl-citation.json"}</w:instrText>
      </w:r>
      <w:r w:rsidRPr="0056686A">
        <w:rPr>
          <w:rFonts w:ascii="Times New Roman" w:hAnsi="Times New Roman" w:cs="Times New Roman"/>
        </w:rPr>
        <w:fldChar w:fldCharType="separate"/>
      </w:r>
      <w:r w:rsidRPr="0056686A">
        <w:rPr>
          <w:rFonts w:ascii="Times New Roman" w:hAnsi="Times New Roman" w:cs="Times New Roman"/>
          <w:noProof/>
        </w:rPr>
        <w:t>(Bank of Albania, 2019)</w:t>
      </w:r>
      <w:r w:rsidRPr="0056686A">
        <w:rPr>
          <w:rFonts w:ascii="Times New Roman" w:hAnsi="Times New Roman" w:cs="Times New Roman"/>
        </w:rPr>
        <w:fldChar w:fldCharType="end"/>
      </w:r>
      <w:r w:rsidRPr="0056686A">
        <w:rPr>
          <w:rFonts w:ascii="Times New Roman" w:hAnsi="Times New Roman" w:cs="Times New Roman"/>
        </w:rPr>
        <w:t xml:space="preserve"> and it an obvious motivation of study. To sum up, all indications of the fast development trend of technology acceptance and usage in Albania, m-banking seems a burgeoning area to be researched and recommend.</w:t>
      </w:r>
    </w:p>
    <w:p w14:paraId="7F75AD3C" w14:textId="72AFDCD7" w:rsidR="0056686A" w:rsidRPr="0056686A" w:rsidRDefault="0056686A" w:rsidP="0056686A">
      <w:pPr>
        <w:rPr>
          <w:rFonts w:ascii="Times New Roman" w:hAnsi="Times New Roman" w:cs="Times New Roman"/>
        </w:rPr>
      </w:pPr>
      <w:r w:rsidRPr="0056686A">
        <w:rPr>
          <w:rFonts w:ascii="Times New Roman" w:hAnsi="Times New Roman" w:cs="Times New Roman"/>
        </w:rPr>
        <w:t xml:space="preserve">In nutshell, the present study espoused the UTAUT (Unified Theory of Acceptance and Use of Technology) advanced by Venkatesh et al. </w:t>
      </w:r>
      <w:r w:rsidRPr="0056686A">
        <w:rPr>
          <w:rFonts w:ascii="Times New Roman" w:hAnsi="Times New Roman" w:cs="Times New Roman"/>
        </w:rPr>
        <w:fldChar w:fldCharType="begin" w:fldLock="1"/>
      </w:r>
      <w:r>
        <w:rPr>
          <w:rFonts w:ascii="Times New Roman" w:hAnsi="Times New Roman" w:cs="Times New Roman"/>
        </w:rPr>
        <w:instrText>ADDIN CSL_CITATION {"citationItems":[{"id":"ITEM-1","itemData":{"DOI":"10.2307/30036540","abstract":"Information technology (IT) acceptance research has yielded many competing models, each with different sets of acceptance determinants. In this paper, we (1) review user acceptance literature and discuss eight prominent models, (2) empirically compare the eight models and their extensions, (3) formulate a unified model that integrates elements across the eight models, and (4) empirically validate the unified model. The eight models reviewed are the theory of reasoned action, the technology acceptance model, the motivational model, the theory of planned behavior, a model combining the technology acceptance model and the theory of planned behavior, the model of PC utilization, the innovation diffusion theory, and the social cognitive theory. Using data from four organizations over a six-month period with three points of measurement, the eight models explained between 17 percent and 53 percent of the variance in user intentions to use information technology. Next, a unified model, called the Unified Theory of Acceptance and Use of Technology (UTAUT), was formulated, with four core determinants of intention and usage, and up to four moderators of key relationships. UTAUT was then tested using the original data and found to outperform the eight individual models (adjusted R of 69 percent). UTAUT was then confirmed with data from two new organizations with similar results (adjusted R of 70 percent). UTAUT thus provides a useful tool for managers needing to assess the likelihood of success for new technology introductions and helps them understand the drivers of acceptance in order to proactively design interventions (including training, marketing, etc.) targeted at populations of users that may be less inclined to adopt and use new systems. The paper also makes several recommendations for future research including developing a deeper understanding of the dynamic influences studied here, refining measurement of the core constructs used in UTAUT, and understanding the organizational outcomes associated with new technology use.","author":[{"dropping-particle":"","family":"Venkatesh","given":"Viswanath","non-dropping-particle":"","parse-names":false,"suffix":""},{"dropping-particle":"","family":"Morris","given":"Michael G.","non-dropping-particle":"","parse-names":false,"suffix":""},{"dropping-particle":"","family":"Davis","given":"Gordon B.","non-dropping-particle":"","parse-names":false,"suffix":""},{"dropping-particle":"","family":"Davis","given":"Fred D.","non-dropping-particle":"","parse-names":false,"suffix":""}],"container-title":"MIS Quarterly","id":"ITEM-1","issue":"3","issued":{"date-parts":[["2003"]]},"page":"425","publisher":"Management Information Systems Research Center, University of Minnesota","title":"User Acceptance of Information Technology: Toward a Unified View","type":"article-journal","volume":"27"},"suppress-author":1,"uris":["http://www.mendeley.com/documents/?uuid=07f868c3-3adf-4f1e-91bf-d93a91d07210"]}],"mendeley":{"formattedCitation":"(2003)","plainTextFormattedCitation":"(2003)","previouslyFormattedCitation":"(2003)"},"properties":{"noteIndex":0},"schema":"https://github.com/citation-style-language/schema/raw/master/csl-citation.json"}</w:instrText>
      </w:r>
      <w:r w:rsidRPr="0056686A">
        <w:rPr>
          <w:rFonts w:ascii="Times New Roman" w:hAnsi="Times New Roman" w:cs="Times New Roman"/>
        </w:rPr>
        <w:fldChar w:fldCharType="separate"/>
      </w:r>
      <w:r w:rsidRPr="0056686A">
        <w:rPr>
          <w:rFonts w:ascii="Times New Roman" w:hAnsi="Times New Roman" w:cs="Times New Roman"/>
          <w:noProof/>
        </w:rPr>
        <w:t>(2003)</w:t>
      </w:r>
      <w:r w:rsidRPr="0056686A">
        <w:rPr>
          <w:rFonts w:ascii="Times New Roman" w:hAnsi="Times New Roman" w:cs="Times New Roman"/>
        </w:rPr>
        <w:fldChar w:fldCharType="end"/>
      </w:r>
      <w:r w:rsidRPr="0056686A">
        <w:rPr>
          <w:rFonts w:ascii="Times New Roman" w:hAnsi="Times New Roman" w:cs="Times New Roman"/>
        </w:rPr>
        <w:t xml:space="preserve"> and the extended UTAUT2 by Venkatesh, Thong, and Xu </w:t>
      </w:r>
      <w:r w:rsidRPr="0056686A">
        <w:rPr>
          <w:rFonts w:ascii="Times New Roman" w:hAnsi="Times New Roman" w:cs="Times New Roman"/>
        </w:rPr>
        <w:fldChar w:fldCharType="begin" w:fldLock="1"/>
      </w:r>
      <w:r w:rsidRPr="0056686A">
        <w:rPr>
          <w:rFonts w:ascii="Times New Roman" w:hAnsi="Times New Roman" w:cs="Times New Roman"/>
        </w:rPr>
        <w:instrText>ADDIN CSL_CITATION {"citationItems":[{"id":"ITEM-1","itemData":{"abstract":"This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quarterly","id":"ITEM-1","issued":{"date-parts":[["2012"]]},"page":"157-178","title":"Consumer acceptance and use of information technology: Extending the unified theory of acceptance and use of technology","type":"article-journal","volume":"36"},"suppress-author":1,"uris":["http://www.mendeley.com/documents/?uuid=47aaf082-83a2-46f0-b062-9c6987a306c3"]}],"mendeley":{"formattedCitation":"(2012)","plainTextFormattedCitation":"(2012)","previouslyFormattedCitation":"(2012)"},"properties":{"noteIndex":0},"schema":"https://github.com/citation-style-language/schema/raw/master/csl-citation.json"}</w:instrText>
      </w:r>
      <w:r w:rsidRPr="0056686A">
        <w:rPr>
          <w:rFonts w:ascii="Times New Roman" w:hAnsi="Times New Roman" w:cs="Times New Roman"/>
        </w:rPr>
        <w:fldChar w:fldCharType="separate"/>
      </w:r>
      <w:r w:rsidRPr="0056686A">
        <w:rPr>
          <w:rFonts w:ascii="Times New Roman" w:hAnsi="Times New Roman" w:cs="Times New Roman"/>
          <w:noProof/>
        </w:rPr>
        <w:t>(2012)</w:t>
      </w:r>
      <w:r w:rsidRPr="0056686A">
        <w:rPr>
          <w:rFonts w:ascii="Times New Roman" w:hAnsi="Times New Roman" w:cs="Times New Roman"/>
        </w:rPr>
        <w:fldChar w:fldCharType="end"/>
      </w:r>
      <w:r w:rsidRPr="0056686A">
        <w:rPr>
          <w:rFonts w:ascii="Times New Roman" w:hAnsi="Times New Roman" w:cs="Times New Roman"/>
        </w:rPr>
        <w:t xml:space="preserve">. Based on these models, the current study assumes that this extended UTAUT2 model can be useful to explain how Albanian consumers embracing the mobile banking because UTAUT has been considered the most well-known and comprehensive model related with communication technology acceptance </w:t>
      </w:r>
      <w:r w:rsidRPr="0056686A">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{"citationItems":[{"id":"ITEM-1","itemData":{"DOI":"10.1.1.92.2520","ISBN":"15266133","ISSN":"15266133","abstract":"When it comes to mobile communication technology, China is the largest market in the world. However, due to its rapidly changing economic environment causing disparities between geographical regions, it presents unique marketing problems. In order to attain a better understanding of China as a potentially highly valuable mobile communication technology market, we conducted a survey of 221 Chinese nationals and tested a proposed conceptual framework based on UTAUT with moderating variables. The results from SEM multi-group analysis indicate that gender and education level are significant moderating factors while internet usage experience does not register as significant. The results of this research suggest the necessity to take cultural background and disposition into consideration for the UTAUT. [PUBLICATION ABSTRACT]","author":[{"dropping-particle":"","family":"Park","given":"JungKun","non-dropping-particle":"","parse-names":false,"suffix":""},{"dropping-particle":"","family":"Yang","given":"SuJin","non-dropping-particle":"","parse-names":false,"suffix":""},{"dropping-particle":"","family":"Lehto","given":"Xinran","non-dropping-particle":"","parse-names":false,"suffix":""}],"container-title":"Journal of Electronic Commerce Research","id":"ITEM-1","issue":"3","issued":{"date-parts":[["2007"]]},"page":"196-206","title":"Adoption of Mobile Technologies for Chinese Consumers","type":"article-journal","volume":"8"},"uris":["http://www.mendeley.com/documents/?uuid=8724a831-ad2d-44a8-919f-eea9dc4855ac","http://www.mendeley.com/documents/?uuid=2cf87e96-8557-4dcb-9743-056fbd0526ab"]}],"mendeley":{"formattedCitation":"(Park, Yang, &amp; Lehto, 2007)","plainTextFormattedCitation":"(Park, Yang, &amp; Lehto, 2007)","previouslyFormattedCitation":"(Park, Yang, &amp; Lehto, 2007)"},"properties":{"noteIndex":0},"schema":"https://github.com/citation-style-language/schema/raw/master/csl-citation.json"}</w:instrText>
      </w:r>
      <w:r w:rsidRPr="0056686A">
        <w:rPr>
          <w:rFonts w:ascii="Times New Roman" w:hAnsi="Times New Roman" w:cs="Times New Roman"/>
        </w:rPr>
        <w:fldChar w:fldCharType="separate"/>
      </w:r>
      <w:r w:rsidRPr="0056686A">
        <w:rPr>
          <w:rFonts w:ascii="Times New Roman" w:hAnsi="Times New Roman" w:cs="Times New Roman"/>
          <w:noProof/>
        </w:rPr>
        <w:t>(Park, Yang, &amp; Lehto, 2007)</w:t>
      </w:r>
      <w:r w:rsidRPr="0056686A">
        <w:rPr>
          <w:rFonts w:ascii="Times New Roman" w:hAnsi="Times New Roman" w:cs="Times New Roman"/>
        </w:rPr>
        <w:fldChar w:fldCharType="end"/>
      </w:r>
      <w:r w:rsidRPr="0056686A">
        <w:rPr>
          <w:rFonts w:ascii="Times New Roman" w:hAnsi="Times New Roman" w:cs="Times New Roman"/>
        </w:rPr>
        <w:t xml:space="preserve">. Later, Baptista and Oliveira </w:t>
      </w:r>
      <w:r w:rsidRPr="0056686A">
        <w:rPr>
          <w:rFonts w:ascii="Times New Roman" w:hAnsi="Times New Roman" w:cs="Times New Roman"/>
        </w:rPr>
        <w:fldChar w:fldCharType="begin" w:fldLock="1"/>
      </w:r>
      <w:r w:rsidRPr="0056686A">
        <w:rPr>
          <w:rFonts w:ascii="Times New Roman" w:hAnsi="Times New Roman" w:cs="Times New Roman"/>
        </w:rPr>
        <w:instrText>ADDIN CSL_CITATION {"citationItems":[{"id":"ITEM-1","itemData":{"DOI":"10.1108/IntR-10-2015-0295","ISSN":"1066-2243","abstract":"Purpose The purpose of this paper is to identify the potential impact of the utilization of game mechanics and game design techniques in the acceptance of mobile banking services. Design/methodology/approach The theoretical model was tested in a quantitative study using structural equation modelling, conducted in Brazil, with actual local banking customers. Findings The findings show that there is a direct and strong relationship between gamification and intention to use mobile banking services, supporting that, when used and designed properly, gamification can help make banking activities more exciting, more interesting and more enjoyable, and in turn increase customer acceptance, engagement and satisfaction. Research limitations/implications The research extends the unified theory of acceptance and use of technology (UTAUT2), and prior research to include gamification impact. The result is a more descriptive model that better explains consumers’ decision to use mobile banking services. Practical implica...","author":[{"dropping-particle":"","family":"Baptista","given":"Goncalo","non-dropping-particle":"","parse-names":false,"suffix":""},{"dropping-particle":"","family":"Oliveira","given":"Tiago","non-dropping-particle":"","parse-names":false,"suffix":""}],"container-title":"Internet Research","id":"ITEM-1","issue":"1","issued":{"date-parts":[["2017","2"]]},"page":"118-139","publisher":"Emerald Publishing Limited","title":"Why so serious? Gamification impact in the acceptance of mobile banking services","type":"article-journal","volume":"27"},"suppress-author":1,"uris":["http://www.mendeley.com/documents/?uuid=0b3f374e-8b77-42e6-bc77-b7919247f6cf"]}],"mendeley":{"formattedCitation":"(2017)","plainTextFormattedCitation":"(2017)","previouslyFormattedCitation":"(2017)"},"properties":{"noteIndex":0},"schema":"https://github.com/citation-style-language/schema/raw/master/csl-citation.json"}</w:instrText>
      </w:r>
      <w:r w:rsidRPr="0056686A">
        <w:rPr>
          <w:rFonts w:ascii="Times New Roman" w:hAnsi="Times New Roman" w:cs="Times New Roman"/>
        </w:rPr>
        <w:fldChar w:fldCharType="separate"/>
      </w:r>
      <w:r w:rsidRPr="0056686A">
        <w:rPr>
          <w:rFonts w:ascii="Times New Roman" w:hAnsi="Times New Roman" w:cs="Times New Roman"/>
          <w:noProof/>
        </w:rPr>
        <w:t>(2017)</w:t>
      </w:r>
      <w:r w:rsidRPr="0056686A">
        <w:rPr>
          <w:rFonts w:ascii="Times New Roman" w:hAnsi="Times New Roman" w:cs="Times New Roman"/>
        </w:rPr>
        <w:fldChar w:fldCharType="end"/>
      </w:r>
      <w:r w:rsidRPr="0056686A">
        <w:rPr>
          <w:rFonts w:ascii="Times New Roman" w:hAnsi="Times New Roman" w:cs="Times New Roman"/>
        </w:rPr>
        <w:t xml:space="preserve"> studied the combined effect of gamification first time with UTAUT2 theory in the construct to determine the possible impact of the application of game design techniques and game mechanics in the acceptance of m-banking services and found some interesting results. Motivated by the results, the present study covered a further step to assess the relationship between gamification and behavioural intention, identify the generational differences to bring out clearly who and how accepts m-banking. This can help marketers and law-makers to understand and serve specifically Albanian consumers better as well as to generalize it to similar economies. </w:t>
      </w:r>
    </w:p>
    <w:p w14:paraId="6083C816" w14:textId="77777777" w:rsidR="0056686A" w:rsidRPr="0056686A" w:rsidRDefault="0056686A" w:rsidP="0056686A">
      <w:pPr>
        <w:rPr>
          <w:rFonts w:ascii="Times New Roman" w:hAnsi="Times New Roman" w:cs="Times New Roman"/>
        </w:rPr>
      </w:pPr>
      <w:r w:rsidRPr="0056686A">
        <w:rPr>
          <w:rFonts w:ascii="Times New Roman" w:hAnsi="Times New Roman" w:cs="Times New Roman"/>
        </w:rPr>
        <w:lastRenderedPageBreak/>
        <w:t xml:space="preserve">The present study is motivated by the discussed model and emerging factors, investigate the further impact of gamification on behavioural intention and the influence of generational difference (Gen Y and Z) on the relationship of gamification and behavioural intention. The present study has identified the key variables such as performance expectancy (PE), effort expectancy (EE), social influence (SI), facilitating conditions (FC), habit (HB), hedonic motivation (HM) on behavioural intention (BI), use behaviour (UB), intention to recommend (IR) and gamification (GM) and a moderator, generation cohort (Gen Y and Z) using the extended UTAUT2 model given by Venkatesh et al. </w:t>
      </w:r>
      <w:r w:rsidRPr="0056686A">
        <w:rPr>
          <w:rFonts w:ascii="Times New Roman" w:hAnsi="Times New Roman" w:cs="Times New Roman"/>
        </w:rPr>
        <w:fldChar w:fldCharType="begin" w:fldLock="1"/>
      </w:r>
      <w:r w:rsidRPr="0056686A">
        <w:rPr>
          <w:rFonts w:ascii="Times New Roman" w:hAnsi="Times New Roman" w:cs="Times New Roman"/>
        </w:rPr>
        <w:instrText>ADDIN CSL_CITATION {"citationItems":[{"id":"ITEM-1","itemData":{"abstract":"This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quarterly","id":"ITEM-1","issued":{"date-parts":[["2012"]]},"page":"157-178","title":"Consumer acceptance and use of information technology: Extending the unified theory of acceptance and use of technology","type":"article-journal","volume":"36"},"suppress-author":1,"uris":["http://www.mendeley.com/documents/?uuid=47aaf082-83a2-46f0-b062-9c6987a306c3"]}],"mendeley":{"formattedCitation":"(2012)","plainTextFormattedCitation":"(2012)","previouslyFormattedCitation":"(2012)"},"properties":{"noteIndex":0},"schema":"https://github.com/citation-style-language/schema/raw/master/csl-citation.json"}</w:instrText>
      </w:r>
      <w:r w:rsidRPr="0056686A">
        <w:rPr>
          <w:rFonts w:ascii="Times New Roman" w:hAnsi="Times New Roman" w:cs="Times New Roman"/>
        </w:rPr>
        <w:fldChar w:fldCharType="separate"/>
      </w:r>
      <w:r w:rsidRPr="0056686A">
        <w:rPr>
          <w:rFonts w:ascii="Times New Roman" w:hAnsi="Times New Roman" w:cs="Times New Roman"/>
          <w:noProof/>
        </w:rPr>
        <w:t>(2012)</w:t>
      </w:r>
      <w:r w:rsidRPr="0056686A">
        <w:rPr>
          <w:rFonts w:ascii="Times New Roman" w:hAnsi="Times New Roman" w:cs="Times New Roman"/>
        </w:rPr>
        <w:fldChar w:fldCharType="end"/>
      </w:r>
      <w:r w:rsidRPr="0056686A">
        <w:rPr>
          <w:rFonts w:ascii="Times New Roman" w:hAnsi="Times New Roman" w:cs="Times New Roman"/>
        </w:rPr>
        <w:t>, to investigate the significant factors influence m-banking acceptance and usage under the chosen theory in the context of Albanian consumers’ m-banking adaptability and acceptance.</w:t>
      </w:r>
    </w:p>
    <w:p w14:paraId="3A9FE669" w14:textId="77777777" w:rsidR="0056686A" w:rsidRPr="0056686A" w:rsidRDefault="0056686A" w:rsidP="0056686A">
      <w:pPr>
        <w:rPr>
          <w:rFonts w:ascii="Times New Roman" w:hAnsi="Times New Roman" w:cs="Times New Roman"/>
        </w:rPr>
      </w:pPr>
      <w:r w:rsidRPr="0056686A">
        <w:rPr>
          <w:rFonts w:ascii="Times New Roman" w:hAnsi="Times New Roman" w:cs="Times New Roman"/>
        </w:rPr>
        <w:t xml:space="preserve">To the best of the authors’ knowledge, no other study has covered gamification extensively, how gamification can affect behavioural intention, and comparison of the relationship between gamification and behavioural intention between generation Y and Z, which represent the core originality of the present study. From the managerial point of view, the moderating effect of generational cohorts into the relationship between GM and BI provides useful insights. The study offers an extended model based on the UTAUT2 of Venkatesh et al. </w:t>
      </w:r>
      <w:r w:rsidRPr="0056686A">
        <w:rPr>
          <w:rFonts w:ascii="Times New Roman" w:hAnsi="Times New Roman" w:cs="Times New Roman"/>
        </w:rPr>
        <w:fldChar w:fldCharType="begin" w:fldLock="1"/>
      </w:r>
      <w:r w:rsidRPr="0056686A">
        <w:rPr>
          <w:rFonts w:ascii="Times New Roman" w:hAnsi="Times New Roman" w:cs="Times New Roman"/>
        </w:rPr>
        <w:instrText>ADDIN CSL_CITATION {"citationItems":[{"id":"ITEM-1","itemData":{"abstract":"This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quarterly","id":"ITEM-1","issued":{"date-parts":[["2012"]]},"page":"157-178","title":"Consumer acceptance and use of information technology: Extending the unified theory of acceptance and use of technology","type":"article-journal","volume":"36"},"suppress-author":1,"uris":["http://www.mendeley.com/documents/?uuid=47aaf082-83a2-46f0-b062-9c6987a306c3"]}],"mendeley":{"formattedCitation":"(2012)","plainTextFormattedCitation":"(2012)","previouslyFormattedCitation":"(2012)"},"properties":{"noteIndex":0},"schema":"https://github.com/citation-style-language/schema/raw/master/csl-citation.json"}</w:instrText>
      </w:r>
      <w:r w:rsidRPr="0056686A">
        <w:rPr>
          <w:rFonts w:ascii="Times New Roman" w:hAnsi="Times New Roman" w:cs="Times New Roman"/>
        </w:rPr>
        <w:fldChar w:fldCharType="separate"/>
      </w:r>
      <w:r w:rsidRPr="0056686A">
        <w:rPr>
          <w:rFonts w:ascii="Times New Roman" w:hAnsi="Times New Roman" w:cs="Times New Roman"/>
          <w:noProof/>
        </w:rPr>
        <w:t>(2012)</w:t>
      </w:r>
      <w:r w:rsidRPr="0056686A">
        <w:rPr>
          <w:rFonts w:ascii="Times New Roman" w:hAnsi="Times New Roman" w:cs="Times New Roman"/>
        </w:rPr>
        <w:fldChar w:fldCharType="end"/>
      </w:r>
      <w:r w:rsidRPr="0056686A">
        <w:rPr>
          <w:rFonts w:ascii="Times New Roman" w:hAnsi="Times New Roman" w:cs="Times New Roman"/>
        </w:rPr>
        <w:t xml:space="preserve">. The adoption of this framework would add substantially to the literature, and the outcome will contribute towards practical implication. The necessity to understand and investigate the factors which affect BI, UB, IR, and GM in the context of a transition country motivated to conduct this research. Hence, this study seeks to investigate the effect of augmented constructs of UTAUT2 and gamification on the intention to use m-banking in the context of a post-communist transition country Albania. </w:t>
      </w:r>
      <w:bookmarkEnd w:id="1"/>
    </w:p>
    <w:p w14:paraId="23570BA2" w14:textId="77777777" w:rsidR="0056686A" w:rsidRPr="0056686A" w:rsidRDefault="0056686A" w:rsidP="0098666F">
      <w:pPr>
        <w:pStyle w:val="Nadpis1"/>
      </w:pPr>
      <w:r w:rsidRPr="0056686A">
        <w:t>Theoretical background</w:t>
      </w:r>
    </w:p>
    <w:p w14:paraId="5D661640" w14:textId="7C7E28F0" w:rsidR="0056686A" w:rsidRPr="0056686A" w:rsidRDefault="0056686A" w:rsidP="0056686A">
      <w:pPr>
        <w:rPr>
          <w:rFonts w:ascii="Times New Roman" w:hAnsi="Times New Roman" w:cs="Times New Roman"/>
        </w:rPr>
      </w:pPr>
      <w:r w:rsidRPr="0056686A">
        <w:rPr>
          <w:rFonts w:ascii="Times New Roman" w:hAnsi="Times New Roman" w:cs="Times New Roman"/>
          <w:bCs/>
          <w:lang w:val="en-US"/>
        </w:rPr>
        <w:t xml:space="preserve">The theoretical underpinning of the current research is built on three perspectives: UTAUT2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quarterly","id":"ITEM-1","issued":{"date-parts":[["2012"]]},"page":"157-178","title":"Consumer acceptance and use of information technology: Extending the unified theory of acceptance and use of technology","type":"article-journal","volume":"36"},"uris":["http://www.mendeley.com/documents/?uuid=47aaf082-83a2-46f0-b062-9c6987a306c3"]}],"mendeley":{"formattedCitation":"(Venkatesh et al., 2012)","plainTextFormattedCitation":"(Venkatesh et al., 2012)","previouslyFormattedCitation":"(Venkatesh et al., 2012)"},"properties":{"noteIndex":0},"schema":"https://github.com/citation-style-language/schema/raw/master/csl-citation.json"}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(Venkatesh et al., 2012)</w:t>
      </w:r>
      <w:r w:rsidRPr="0056686A">
        <w:rPr>
          <w:rFonts w:ascii="Times New Roman" w:hAnsi="Times New Roman" w:cs="Times New Roman"/>
        </w:rPr>
        <w:fldChar w:fldCharType="end"/>
      </w:r>
      <w:r w:rsidRPr="0056686A">
        <w:rPr>
          <w:rFonts w:ascii="Times New Roman" w:hAnsi="Times New Roman" w:cs="Times New Roman"/>
          <w:bCs/>
          <w:lang w:val="en-US"/>
        </w:rPr>
        <w:t xml:space="preserve">, gamification </w:t>
      </w:r>
      <w:r w:rsidRPr="0056686A">
        <w:rPr>
          <w:rFonts w:ascii="Times New Roman" w:hAnsi="Times New Roman" w:cs="Times New Roman"/>
          <w:bCs/>
          <w:lang w:val="en-US"/>
        </w:rPr>
        <w:fldChar w:fldCharType="begin" w:fldLock="1"/>
      </w:r>
      <w:r w:rsidR="008F28C8">
        <w:rPr>
          <w:rFonts w:ascii="Times New Roman" w:hAnsi="Times New Roman" w:cs="Times New Roman"/>
          <w:bCs/>
          <w:lang w:val="en-US"/>
        </w:rPr>
        <w:instrText>ADDIN CSL_CITATION {"citationItems":[{"id":"ITEM-1","itemData":{"DOI":"10.1007/s11042-013-1612-8","abstract":"The purpose of this paper is to hypothesize ‘Dynamical model of educational effectiveness for the gamification of learning, and to widely announce a pure and right function of game through our model. For the theoretical contribution of gamification, we propose a dynamical model of game based learning that aims to maximize educational effectiveness that correlates with the four main primary factors (curiosity, challenge, fantasy and control). The main idea of this model is based on the correlations of four factors which originating from learning games which are built on the foundations of separate theories: 1) Game Design Features 2) Key Characteristics of a Learning Game 3) a theory of educational environment design known as the ARCS (attention, relevance, confidence, and satisfaction) and 4) the theoretical background of gamification labeled the MDA(mechanics, dynamics and aesthetics) framework. We created a sigmoidal equation for the educational effectiveness of Gamification by analyzing and correlating these factors. Through this dynamical model we will show that the effectiveness of the gamification of learning is educationally superior to traditional ways of learning in specific setting, after an elapsed adaptive time period with reasonable relationship of the four primary factors.","author":[{"dropping-particle":"","family":"Kim","given":"Jung Tae","non-dropping-particle":"","parse-names":false,"suffix":""},{"dropping-particle":"","family":"Lee","given":"Won-Hyung","non-dropping-particle":"","parse-names":false,"suffix":""}],"container-title":"Multimedia Tools and Applications","id":"ITEM-1","issue":"19","issued":{"date-parts":[["2015","10"]]},"page":"8483-8493","publisher":"Springer US","title":"Dynamical model for gamification of learning (DMGL)","type":"article-journal","volume":"74"},"uris":["http://www.mendeley.com/documents/?uuid=58ccbd9b-e789-4ef0-8c53-6eef335a6211"]}],"mendeley":{"formattedCitation":"(Kim &amp; Lee, 2015)","plainTextFormattedCitation":"(Kim &amp; Lee, 2015)","previouslyFormattedCitation":"(Kim &amp; Lee, 2015)"},"properties":{"noteIndex":0},"schema":"https://github.com/citation-style-language/schema/raw/master/csl-citation.json"}</w:instrText>
      </w:r>
      <w:r w:rsidRPr="0056686A">
        <w:rPr>
          <w:rFonts w:ascii="Times New Roman" w:hAnsi="Times New Roman" w:cs="Times New Roman"/>
          <w:bCs/>
          <w:lang w:val="en-US"/>
        </w:rPr>
        <w:fldChar w:fldCharType="separate"/>
      </w:r>
      <w:r w:rsidRPr="0056686A">
        <w:rPr>
          <w:rFonts w:ascii="Times New Roman" w:hAnsi="Times New Roman" w:cs="Times New Roman"/>
          <w:bCs/>
          <w:noProof/>
          <w:lang w:val="en-US"/>
        </w:rPr>
        <w:t>(Kim &amp; Lee, 2015)</w:t>
      </w:r>
      <w:r w:rsidRPr="0056686A">
        <w:rPr>
          <w:rFonts w:ascii="Times New Roman" w:hAnsi="Times New Roman" w:cs="Times New Roman"/>
        </w:rPr>
        <w:fldChar w:fldCharType="end"/>
      </w:r>
      <w:r w:rsidRPr="0056686A">
        <w:rPr>
          <w:rFonts w:ascii="Times New Roman" w:hAnsi="Times New Roman" w:cs="Times New Roman"/>
          <w:bCs/>
          <w:lang w:val="en-US"/>
        </w:rPr>
        <w:t xml:space="preserve"> and </w:t>
      </w:r>
      <w:r w:rsidRPr="0056686A">
        <w:rPr>
          <w:rFonts w:ascii="Times New Roman" w:hAnsi="Times New Roman" w:cs="Times New Roman"/>
          <w:bCs/>
        </w:rPr>
        <w:t xml:space="preserve">generational cohort theory </w:t>
      </w:r>
      <w:r w:rsidRPr="0056686A">
        <w:rPr>
          <w:rFonts w:ascii="Times New Roman" w:hAnsi="Times New Roman" w:cs="Times New Roman"/>
          <w:bCs/>
        </w:rPr>
        <w:fldChar w:fldCharType="begin" w:fldLock="1"/>
      </w:r>
      <w:r w:rsidRPr="0056686A">
        <w:rPr>
          <w:rFonts w:ascii="Times New Roman" w:hAnsi="Times New Roman" w:cs="Times New Roman"/>
          <w:bCs/>
        </w:rPr>
        <w:instrText>ADDIN CSL_CITATION {"citationItems":[{"id":"ITEM-1","itemData":{"ISBN":"9780691613796","abstract":"This book contends that beneath the frenzied activism of the sixties and the seeming quiescence of the seventies, a \"\"silent revolution\"\" has been occurring that is gradually but fundamentally changing political life throughout the Western world. Ronald Inglehart focuses on two aspects of this revolution: a shift from an overwhelming emphasis on material values and physical security toward greater concern with the quality of life; and an increase in the political skills of Western publics that enables them to play a greater role in making important political decisions. Originally published i. Cover; Contents; Part I: Introduction; 1 Changing Values and Skills Among Western Publics: An Overview.","author":[{"dropping-particle":"","family":"Inglehart","given":"Ronald","non-dropping-particle":"","parse-names":false,"suffix":""}],"id":"ITEM-1","issued":{"date-parts":[["2015"]]},"number-of-pages":"496","publisher":"Princeton University Press","publisher-place":"Princeton","title":"The silent revolution: changing values and political styles among Western publics","type":"book"},"uris":["http://www.mendeley.com/documents/?uuid=6e29cd02-4d9e-3165-9361-e23b378a54e2"]}],"mendeley":{"formattedCitation":"(Inglehart, 2015)","plainTextFormattedCitation":"(Inglehart, 2015)","previouslyFormattedCitation":"(Inglehart, 2015)"},"properties":{"noteIndex":0},"schema":"https://github.com/citation-style-language/schema/raw/master/csl-citation.json"}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(Inglehart, 2015)</w:t>
      </w:r>
      <w:r w:rsidRPr="0056686A">
        <w:rPr>
          <w:rFonts w:ascii="Times New Roman" w:hAnsi="Times New Roman" w:cs="Times New Roman"/>
        </w:rPr>
        <w:fldChar w:fldCharType="end"/>
      </w:r>
      <w:r w:rsidRPr="0056686A">
        <w:rPr>
          <w:rFonts w:ascii="Times New Roman" w:hAnsi="Times New Roman" w:cs="Times New Roman"/>
          <w:bCs/>
        </w:rPr>
        <w:t xml:space="preserve">. The UTAUT model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{"citationItems":[{"id":"ITEM-1","itemData":{"DOI":"10.2307/30036540","abstract":"Information technology (IT) acceptance research has yielded many competing models, each with different sets of acceptance determinants. In this paper, we (1) review user acceptance literature and discuss eight prominent models, (2) empirically compare the eight models and their extensions, (3) formulate a unified model that integrates elements across the eight models, and (4) empirically validate the unified model. The eight models reviewed are the theory of reasoned action, the technology acceptance model, the motivational model, the theory of planned behavior, a model combining the technology acceptance model and the theory of planned behavior, the model of PC utilization, the innovation diffusion theory, and the social cognitive theory. Using data from four organizations over a six-month period with three points of measurement, the eight models explained between 17 percent and 53 percent of the variance in user intentions to use information technology. Next, a unified model, called the Unified Theory of Acceptance and Use of Technology (UTAUT), was formulated, with four core determinants of intention and usage, and up to four moderators of key relationships. UTAUT was then tested using the original data and found to outperform the eight individual models (adjusted R of 69 percent). UTAUT was then confirmed with data from two new organizations with similar results (adjusted R of 70 percent). UTAUT thus provides a useful tool for managers needing to assess the likelihood of success for new technology introductions and helps them understand the drivers of acceptance in order to proactively design interventions (including training, marketing, etc.) targeted at populations of users that may be less inclined to adopt and use new systems. The paper also makes several recommendations for future research including developing a deeper understanding of the dynamic influences studied here, refining measurement of the core constructs used in UTAUT, and understanding the organizational outcomes associated with new technology use.","author":[{"dropping-particle":"","family":"Venkatesh","given":"Viswanath","non-dropping-particle":"","parse-names":false,"suffix":""},{"dropping-particle":"","family":"Morris","given":"Michael G.","non-dropping-particle":"","parse-names":false,"suffix":""},{"dropping-particle":"","family":"Davis","given":"Gordon B.","non-dropping-particle":"","parse-names":false,"suffix":""},{"dropping-particle":"","family":"Davis","given":"Fred D.","non-dropping-particle":"","parse-names":false,"suffix":""}],"container-title":"MIS Quarterly","id":"ITEM-1","issue":"3","issued":{"date-parts":[["2003"]]},"page":"425","publisher":"Management Information Systems Research Center, University of Minnesota","title":"User Acceptance of Information Technology: Toward a Unified View","type":"article-journal","volume":"27"},"uris":["http://www.mendeley.com/documents/?uuid=07f868c3-3adf-4f1e-91bf-d93a91d07210"]}],"mendeley":{"formattedCitation":"(Venkatesh et al., 2003)","plainTextFormattedCitation":"(Venkatesh et al., 2003)","previouslyFormattedCitation":"(Venkatesh et al., 2003)"},"properties":{"noteIndex":0},"schema":"https://github.com/citation-style-language/schema/raw/master/csl-citation.json"}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(Venkatesh et al., 2003)</w:t>
      </w:r>
      <w:r w:rsidRPr="0056686A">
        <w:rPr>
          <w:rFonts w:ascii="Times New Roman" w:hAnsi="Times New Roman" w:cs="Times New Roman"/>
        </w:rPr>
        <w:fldChar w:fldCharType="end"/>
      </w:r>
      <w:r w:rsidRPr="0056686A">
        <w:rPr>
          <w:rFonts w:ascii="Times New Roman" w:hAnsi="Times New Roman" w:cs="Times New Roman"/>
          <w:bCs/>
        </w:rPr>
        <w:t xml:space="preserve"> was established based on eight prominent and preceding theories: the theory of reasoned action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{"citationItems":[{"id":"ITEM-1","itemData":{"ISBN":"978-0201020892","abstract":"The theory of reasoned action (TRA) is a general theory of behavior that was first introduced in 1967 by Martin Fishbein, and was extended by Fishbein and Icek Ajzen (e.g., Fishbein &amp; Ajzen 1975; Ajzen &amp; Fishbein 1980). Developed largely in response to the repeated failure of traditional [RIGHTWARDS ARROW] attitude measures to predict specific behaviors, the theory began with the premise that the simplest and most efficient way to predict a given behavior was to ask a person whether he or she was or was not going to perform that behavior. Thus, according to the theory, performance or non-performance of a given behavior is primarily determined by the strength of a person's intention to perform (or to not perform) that behavior, where intention is defined as the subjective likelihood that one will perform (or try to perform) the behavior in question ([RIGHTWARDS ARROW] Attitude-Behavior Consistency; Planned Behavior, Theory of).","author":[{"dropping-particle":"","family":"Fishbein","given":"MartinAjzen","non-dropping-particle":"","parse-names":false,"suffix":""},{"dropping-particle":"","family":"Ajzen","given":"Icek","non-dropping-particle":"","parse-names":false,"suffix":""}],"id":"ITEM-1","issued":{"date-parts":[["1975","5"]]},"number-of-pages":"578","publisher":"Addison-Wesley","title":"Belief, attitude, intention, and behavior: An introduction to theory and research","type":"book"},"uris":["http://www.mendeley.com/documents/?uuid=c16b3ba3-f9ec-4611-8ebd-e05f48bfd9ba"]}],"mendeley":{"formattedCitation":"(Fishbein &amp; Ajzen, 1975)","plainTextFormattedCitation":"(Fishbein &amp; Ajzen, 1975)","previouslyFormattedCitation":"(Fishbein &amp; Ajzen, 1975)"},"properties":{"noteIndex":0},"schema":"https://github.com/citation-style-language/schema/raw/master/csl-citation.json"}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(Fishbein &amp; Ajzen, 1975)</w:t>
      </w:r>
      <w:r w:rsidRPr="0056686A">
        <w:rPr>
          <w:rFonts w:ascii="Times New Roman" w:hAnsi="Times New Roman" w:cs="Times New Roman"/>
        </w:rPr>
        <w:fldChar w:fldCharType="end"/>
      </w:r>
      <w:r w:rsidRPr="0056686A">
        <w:rPr>
          <w:rFonts w:ascii="Times New Roman" w:hAnsi="Times New Roman" w:cs="Times New Roman"/>
          <w:bCs/>
        </w:rPr>
        <w:t xml:space="preserve">, the technology acceptance model </w:t>
      </w:r>
      <w:r w:rsidRPr="0056686A">
        <w:rPr>
          <w:rFonts w:ascii="Times New Roman" w:hAnsi="Times New Roman" w:cs="Times New Roman"/>
          <w:bCs/>
        </w:rPr>
        <w:fldChar w:fldCharType="begin" w:fldLock="1"/>
      </w:r>
      <w:r w:rsidRPr="0056686A">
        <w:rPr>
          <w:rFonts w:ascii="Times New Roman" w:hAnsi="Times New Roman" w:cs="Times New Roman"/>
          <w:bCs/>
        </w:rPr>
        <w:instrText>ADDIN CSL_CITATION {"citationItems":[{"id":"ITEM-1","itemData":{"DOI":"10.2307/249008","ISSN":"02767783","abstract":"JSTOR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Management Information Systems Research Center, University of Minnesota is collaborating with JSTOR to digitize, preserve and extend access to MIS Quarterly. Abstract Valid measurement scales for predicting user acceptance of computers are in short supply. Most subjective measures used in practice are unvalidated, and their relationship to system usage is unknown. The present research develops and validates new scales for two specific variables, perceived usefulness and perceived ease of use, which are hypothesized to be fundamental determinants of user acceptance. Definitions for these two variables were used to develop scale items that were pretested for content validity and then tested for reliability and construct validity in two studies involving a total of 152 users and four application programs. The measures were refined and streamlined , resulting in two six-item scales with reli-abilities of .98 for usefulness and .94 for ease of use. The scales exhibited high convergent, discriminant, and factorial validity. Perceived usefulness was significantly correlated with both self-reported current usage (r=.63, Study 1) and self-predicted future usage (r= .85, Study 2). Perceived ease of use was also significantly correlated with current usage (r=.45, Study 1) and future usage (r=.59, Study 2). In both studies, usefulness had a significantly greater correlation with usage behavior than did ease of use. Regression analyses suggest that perceived ease of use may actually be a causal antece-Abstract Valid measurement scales for predicting user acceptance of computers are in short supply. Most subjective measures used in practice are unvalidated, and their relationship to system usage is unknown. The present research develops and validates new scales for two specific variables, perceived usefulness and perceived ease of use, which are hypothesized to be fundamental determinants of user acceptance. Definitions for these two variables were used to develop scale items that were pretested for content validity and then tested for reliability and construct validity in two studies involving a total of 152 users and four applicati…","author":[{"dropping-particle":"","family":"Davis","given":"Fred D","non-dropping-particle":"","parse-names":false,"suffix":""}],"container-title":"MIS Quarterly","id":"ITEM-1","issue":"3","issued":{"date-parts":[["1989","9"]]},"page":"319","title":"Perceived Usefulness, Perceived Ease of Use, and User Acceptance of Information Technology","type":"article-journal","volume":"13"},"uris":["http://www.mendeley.com/documents/?uuid=017ca650-9e76-3620-b572-a196543edade"]}],"mendeley":{"formattedCitation":"(Davis, 1989)","plainTextFormattedCitation":"(Davis, 1989)","previouslyFormattedCitation":"(Davis, 1989)"},"properties":{"noteIndex":0},"schema":"https://github.com/citation-style-language/schema/raw/master/csl-citation.json"}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(Davis, 1989)</w:t>
      </w:r>
      <w:r w:rsidRPr="0056686A">
        <w:rPr>
          <w:rFonts w:ascii="Times New Roman" w:hAnsi="Times New Roman" w:cs="Times New Roman"/>
        </w:rPr>
        <w:fldChar w:fldCharType="end"/>
      </w:r>
      <w:r w:rsidRPr="0056686A">
        <w:rPr>
          <w:rFonts w:ascii="Times New Roman" w:hAnsi="Times New Roman" w:cs="Times New Roman"/>
          <w:bCs/>
        </w:rPr>
        <w:t xml:space="preserve">, the motivational model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{"citationItems":[{"id":"ITEM-1","itemData":{"DOI":"10.1111/j.1559-1816.1992.tb00945.x","ISSN":"15591816","abstract":"Previous research indicates that perceived usefulness is a major determinant and predictor of intentions to use computers in the workplace. In contrast, the impact of enjoyment on usage intentions has not been examined. Two studies are reported concerning the relative effects of usefulness and enjoyment on intentions to use, and usage of, computers in the workplace. Usefulness had a strong effect on usage intentions in both Study 1, regarding word processing software (?=.68), and Study 2, regarding business graphics programs (?=.79). As hypothesized, enjoyment also had a significant effect on intentions in both studies, controlling for perceived usefulness (?=.16 and 0.15 for Studies 1 and 2, respectively). Study 1 found that intentions correlated 0.63 with system usage and that usefulness and enjoyment influenced usage behavior entirely indirectly through their effects on intentions. In both studies, a positive interaction between usefulness and enjoyment was observed. Together, usefulness and enjoyment explained 62% (Study 1) and 75% (Study 2) of the variance in usage intentions. Moreover, usefulness and enjoyment were found to mediate fully the effects on usage intentions of perceived output quality and perceived ease of use. As hypothesized, a measure of task importance moderated the effects of ease of use and output quality on usefulness but not on enjoyment. Several implications are drawn for how to design computer programs to be both more useful and more enjoyable in order to increase their acceptability among potential users. Copyright ? 1992, Wiley Blackwell. All rights reserved","author":[{"dropping-particle":"","family":"Davis","given":"Fred D.","non-dropping-particle":"","parse-names":false,"suffix":""},{"dropping-particle":"","family":"Bagozzi","given":"Richard P.","non-dropping-particle":"","parse-names":false,"suffix":""},{"dropping-particle":"","family":"Warshaw","given":"Paul R.","non-dropping-particle":"","parse-names":false,"suffix":""}],"container-title":"Journal of Applied Social Psychology","id":"ITEM-1","issue":"14","issued":{"date-parts":[["1992"]]},"page":"1111-1132","title":"Extrinsic and Intrinsic Motivation to Use Computers in the Workplace","type":"article-journal","volume":"22"},"uris":["http://www.mendeley.com/documents/?uuid=0fe7633c-2028-48ed-a02f-49c287b787a8"]}],"mendeley":{"formattedCitation":"(Davis, Bagozzi, &amp; Warshaw, 1992)","plainTextFormattedCitation":"(Davis, Bagozzi, &amp; Warshaw, 1992)","previouslyFormattedCitation":"(Davis, Bagozzi, &amp; Warshaw, 1992)"},"properties":{"noteIndex":0},"schema":"https://github.com/citation-style-language/schema/raw/master/csl-citation.json"}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(Davis, Bagozzi, &amp; Warshaw, 1992)</w:t>
      </w:r>
      <w:r w:rsidRPr="0056686A">
        <w:rPr>
          <w:rFonts w:ascii="Times New Roman" w:hAnsi="Times New Roman" w:cs="Times New Roman"/>
        </w:rPr>
        <w:fldChar w:fldCharType="end"/>
      </w:r>
      <w:r w:rsidRPr="0056686A">
        <w:rPr>
          <w:rFonts w:ascii="Times New Roman" w:hAnsi="Times New Roman" w:cs="Times New Roman"/>
          <w:bCs/>
        </w:rPr>
        <w:t xml:space="preserve">, the theory of planned behaviour </w:t>
      </w:r>
      <w:r w:rsidRPr="0056686A">
        <w:rPr>
          <w:rFonts w:ascii="Times New Roman" w:hAnsi="Times New Roman" w:cs="Times New Roman"/>
          <w:bCs/>
        </w:rPr>
        <w:fldChar w:fldCharType="begin" w:fldLock="1"/>
      </w:r>
      <w:r w:rsidRPr="0056686A">
        <w:rPr>
          <w:rFonts w:ascii="Times New Roman" w:hAnsi="Times New Roman" w:cs="Times New Roman"/>
          <w:bCs/>
        </w:rPr>
        <w:instrText>ADDIN CSL_CITATION {"citationItems":[{"id":"ITEM-1","itemData":{"DOI":"10.1016/0749-5978(91)90020-T","ISSN":"07495978","abstract":"Research dealing with various aspects of the theory of planned behavior (Ajzen, 1985, 1987) is reviewed, and some unresolved issues are discussed. In broad terms, the theory is found to be well supported by empirical evidence. Intentions to perform behaviors of different kinds can be predicted with high accuracy from attitudes toward the behavior, subjective norms, and perceived behavioral control; and these intentions, together with perceptions of behavioral control, account for considerable variance in actual behavior. Attitudes, subjective norms, and perceived behavioral control are shown to be related to appropriate sets of salient behavioral, normative, and control beliefs about the behavior, but the exact nature of these relations is still uncertain. Expectancy-value formulations are found to be only partly successful in dealing with these relations. Optimal rescaling of expectancy and value measures is offered as a means of dealing with measurement limitations. Finally, inclusion of past behavior in the prediction equation is shown to provide a means of testing the theory's sufficiency, another issue that remains unresolved. The limited available evidence concerning this question shows that the theory is predicting behavior quite well in comparison to the ceiling imposed by behavioral reliability. © 1991.","author":[{"dropping-particle":"","family":"Ajzen","given":"Icek","non-dropping-particle":"","parse-names":false,"suffix":""}],"container-title":"Organizational Behavior and Human Decision Processes","id":"ITEM-1","issue":"2","issued":{"date-parts":[["1991","12"]]},"page":"179-211","title":"The theory of planned behavior","type":"article-journal","volume":"50"},"uris":["http://www.mendeley.com/documents/?uuid=2340c3f6-f994-39f8-a286-7f861b48da4e"]}],"mendeley":{"formattedCitation":"(Ajzen, 1991)","plainTextFormattedCitation":"(Ajzen, 1991)","previouslyFormattedCitation":"(Ajzen, 1991)"},"properties":{"noteIndex":0},"schema":"https://github.com/citation-style-language/schema/raw/master/csl-citation.json"}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(Ajzen, 1991)</w:t>
      </w:r>
      <w:r w:rsidRPr="0056686A">
        <w:rPr>
          <w:rFonts w:ascii="Times New Roman" w:hAnsi="Times New Roman" w:cs="Times New Roman"/>
        </w:rPr>
        <w:fldChar w:fldCharType="end"/>
      </w:r>
      <w:r w:rsidRPr="0056686A">
        <w:rPr>
          <w:rFonts w:ascii="Times New Roman" w:hAnsi="Times New Roman" w:cs="Times New Roman"/>
          <w:bCs/>
        </w:rPr>
        <w:t xml:space="preserve">, the personal computing utilization model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{"citationItems":[{"id":"ITEM-1","itemData":{"DOI":"10.2307/249443","abstract":"Organizations continue to invest heavily in personal computers for their knowledge workers. When use is optional, however, having access to the technology by no means ensures it will be used or used effectively. To help us gain a better understanding of factors that influence the use of personal computers, researchers have recently adapted the theory of reasoned action proposed by Fishbein and Azjen (1975). This study uses a competing theory of behavior proposed by Triandis (1980). Responses were collected from 212 knowledge workers in nine divisions of a multinational firm, and the measures and research hypotheses were analyzed using partial least squares (PLS). The results show that social norms and three components of expected consequences (complexity of use, fit between the job and PC capabilities, and long-term consequences) have a strong influence on utilization. These findings confirm the importance of the expected consequences of using PC technology, suggesting that training programs and organizational policies could be instituted to enhance or modify these expectations.","author":[{"dropping-particle":"","family":"Thompson","given":"Ronald L","non-dropping-particle":"","parse-names":false,"suffix":""},{"dropping-particle":"","family":"Higgins","given":"Christopher A","non-dropping-particle":"","parse-names":false,"suffix":""},{"dropping-particle":"","family":"Howell","given":"Jane M","non-dropping-particle":"","parse-names":false,"suffix":""}],"container-title":"MIS quarterly","id":"ITEM-1","issue":"1","issued":{"date-parts":[["1991"]]},"page":"125-143","title":"Personal computing: toward a conceptual model of utilization","type":"article-journal","volume":"15"},"uris":["http://www.mendeley.com/documents/?uuid=aef3d86c-20c1-4869-80fc-3e230a7d07b7"]}],"mendeley":{"formattedCitation":"(Thompson, Higgins, &amp; Howell, 1991)","plainTextFormattedCitation":"(Thompson, Higgins, &amp; Howell, 1991)","previouslyFormattedCitation":"(Thompson, Higgins, &amp; Howell, 1991)"},"properties":{"noteIndex":0},"schema":"https://github.com/citation-style-language/schema/raw/master/csl-citation.json"}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(Thompson, Higgins, &amp; Howell, 1991)</w:t>
      </w:r>
      <w:r w:rsidRPr="0056686A">
        <w:rPr>
          <w:rFonts w:ascii="Times New Roman" w:hAnsi="Times New Roman" w:cs="Times New Roman"/>
        </w:rPr>
        <w:fldChar w:fldCharType="end"/>
      </w:r>
      <w:r w:rsidRPr="0056686A">
        <w:rPr>
          <w:rFonts w:ascii="Times New Roman" w:hAnsi="Times New Roman" w:cs="Times New Roman"/>
          <w:bCs/>
        </w:rPr>
        <w:t xml:space="preserve">, the innovation diffusion theory </w:t>
      </w:r>
      <w:r w:rsidRPr="0056686A">
        <w:rPr>
          <w:rFonts w:ascii="Times New Roman" w:hAnsi="Times New Roman" w:cs="Times New Roman"/>
          <w:bCs/>
        </w:rPr>
        <w:fldChar w:fldCharType="begin" w:fldLock="1"/>
      </w:r>
      <w:r w:rsidRPr="0056686A">
        <w:rPr>
          <w:rFonts w:ascii="Times New Roman" w:hAnsi="Times New Roman" w:cs="Times New Roman"/>
          <w:bCs/>
        </w:rPr>
        <w:instrText>ADDIN CSL_CITATION {"citationItems":[{"id":"ITEM-1","itemData":{"ISBN":"0029266505","author":[{"dropping-particle":"","family":"Rogers","given":"Everett M","non-dropping-particle":"","parse-names":false,"suffix":""}],"edition":"3","id":"ITEM-1","issued":{"date-parts":[["1995"]]},"number-of-pages":"236","publisher":"The Free Press","publisher-place":"New York","title":"Diffusion of innovations","type":"book"},"uris":["http://www.mendeley.com/documents/?uuid=fb95aeb9-1cc1-4a10-825b-2b8e493d20fd"]}],"mendeley":{"formattedCitation":"(Rogers, 1995)","plainTextFormattedCitation":"(Rogers, 1995)","previouslyFormattedCitation":"(Rogers, 1995)"},"properties":{"noteIndex":0},"schema":"https://github.com/citation-style-language/schema/raw/master/csl-citation.json"}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(Rogers, 1995)</w:t>
      </w:r>
      <w:r w:rsidRPr="0056686A">
        <w:rPr>
          <w:rFonts w:ascii="Times New Roman" w:hAnsi="Times New Roman" w:cs="Times New Roman"/>
        </w:rPr>
        <w:fldChar w:fldCharType="end"/>
      </w:r>
      <w:r w:rsidRPr="0056686A">
        <w:rPr>
          <w:rFonts w:ascii="Times New Roman" w:hAnsi="Times New Roman" w:cs="Times New Roman"/>
          <w:bCs/>
        </w:rPr>
        <w:t xml:space="preserve">, the social cognitive theory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{"citationItems":[{"id":"ITEM-1","itemData":{"DOI":"10.2307/249688","author":[{"dropping-particle":"","family":"Compeau","given":"Deborah R.","non-dropping-particle":"","parse-names":false,"suffix":""},{"dropping-particle":"","family":"Higgins","given":"Christopher A.","non-dropping-particle":"","parse-names":false,"suffix":""}],"container-title":"MIS Quarterly","id":"ITEM-1","issue":"2","issued":{"date-parts":[["1995","6"]]},"page":"189","title":"Computer Self-Efficacy: Development of a Measure and Initial Test","type":"article-journal","volume":"19"},"uris":["http://www.mendeley.com/documents/?uuid=db9dbc10-7d19-4344-babe-fce461d0d192"]}],"mendeley":{"formattedCitation":"(Compeau &amp; Higgins, 1995)","plainTextFormattedCitation":"(Compeau &amp; Higgins, 1995)","previouslyFormattedCitation":"(Compeau &amp; Higgins, 1995)"},"properties":{"noteIndex":0},"schema":"https://github.com/citation-style-language/schema/raw/master/csl-citation.json"}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(Compeau &amp; Higgins, 1995)</w:t>
      </w:r>
      <w:r w:rsidRPr="0056686A">
        <w:rPr>
          <w:rFonts w:ascii="Times New Roman" w:hAnsi="Times New Roman" w:cs="Times New Roman"/>
        </w:rPr>
        <w:fldChar w:fldCharType="end"/>
      </w:r>
      <w:r w:rsidRPr="0056686A">
        <w:rPr>
          <w:rFonts w:ascii="Times New Roman" w:hAnsi="Times New Roman" w:cs="Times New Roman"/>
          <w:bCs/>
        </w:rPr>
        <w:t xml:space="preserve"> and the integrated model of technology acceptance and planned behaviour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{"citationItems":[{"id":"ITEM-1","itemData":{"DOI":"10.1287/isre.6.2.144","abstract":"The Technology Acceptance Model and two variations of the Theory of Planned Behavior were compared to assess which model best helps to understand usage of information technology. The models were compared using student data collected from 786 potential users of a computer resource center. Behavior data was based on monitoring 3,780 visits to the resource center over a 12-week period. Weighted least squares estimation revealed that all three models performed well in terms of fit and were roughly equivalent in terms of their ability to explain behavior. Decomposing the belief structures in the Theory of Planned Behavior provided a moderate increase in the explanation of behavioral intention. Overall, the results indicate that the decomposed Theory of Planned Behavior provides a fuller understanding of behavioral intention by focusing on the factors that are likely to influence systems use through the application of both design and implementation strategies.","author":[{"dropping-particle":"","family":"Taylor","given":"Shirley","non-dropping-particle":"","parse-names":false,"suffix":""},{"dropping-particle":"","family":"Todd","given":"Peter A.","non-dropping-particle":"","parse-names":false,"suffix":""}],"container-title":"Information Systems Research","id":"ITEM-1","issue":"2","issued":{"date-parts":[["1995"]]},"page":"144-176","publisher":"INFORMS Inst.for Operations Res.and the Management Sciences","title":"Understanding information technology usage: A test of competing models","type":"article-journal","volume":"6"},"uris":["http://www.mendeley.com/documents/?uuid=df0a7d54-bce3-46e8-9131-b5cb9f5d7636"]}],"mendeley":{"formattedCitation":"(Taylor &amp; Todd, 1995)","plainTextFormattedCitation":"(Taylor &amp; Todd, 1995)","previouslyFormattedCitation":"(Taylor &amp; Todd, 1995)"},"properties":{"noteIndex":0},"schema":"https://github.com/citation-style-language/schema/raw/master/csl-citation.json"}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(Taylor &amp; Todd, 1995)</w:t>
      </w:r>
      <w:r w:rsidRPr="0056686A">
        <w:rPr>
          <w:rFonts w:ascii="Times New Roman" w:hAnsi="Times New Roman" w:cs="Times New Roman"/>
        </w:rPr>
        <w:fldChar w:fldCharType="end"/>
      </w:r>
      <w:r w:rsidRPr="0056686A">
        <w:rPr>
          <w:rFonts w:ascii="Times New Roman" w:hAnsi="Times New Roman" w:cs="Times New Roman"/>
          <w:bCs/>
        </w:rPr>
        <w:t xml:space="preserve">. On the other hand, </w:t>
      </w:r>
      <w:r w:rsidRPr="0056686A">
        <w:rPr>
          <w:rFonts w:ascii="Times New Roman" w:hAnsi="Times New Roman" w:cs="Times New Roman"/>
          <w:lang w:val="en-US"/>
        </w:rPr>
        <w:t xml:space="preserve">Zichermann and Cunningham </w:t>
      </w:r>
      <w:r w:rsidRPr="0056686A">
        <w:rPr>
          <w:rFonts w:ascii="Times New Roman" w:hAnsi="Times New Roman" w:cs="Times New Roman"/>
          <w:lang w:val="en-US"/>
        </w:rPr>
        <w:fldChar w:fldCharType="begin" w:fldLock="1"/>
      </w:r>
      <w:r w:rsidRPr="0056686A">
        <w:rPr>
          <w:rFonts w:ascii="Times New Roman" w:hAnsi="Times New Roman" w:cs="Times New Roman"/>
          <w:lang w:val="en-US"/>
        </w:rPr>
        <w:instrText>ADDIN CSL_CITATION {"citationItems":[{"id":"ITEM-1","itemData":{"ISBN":"9781449397678","abstract":"What do Foursquare, Zynga, Nike+, and Groupon have in common? These and many other brands use gamification to deliver a sticky, viral, and engaging experience to their customers. This book provides the design strategy and tactics you need to integrate game mechanics into any kind of consumer-facing website or mobile app. Learn how to use core game concepts, design patterns, and meaningful code samples to a create fun and captivating social environment.","author":[{"dropping-particle":"","family":"Zichermann","given":"Gabe","non-dropping-particle":"","parse-names":false,"suffix":""},{"dropping-particle":"","family":"Cunningham","given":"Christopher","non-dropping-particle":"","parse-names":false,"suffix":""}],"id":"ITEM-1","issued":{"date-parts":[["2011"]]},"number-of-pages":"208","publisher":"O'Reilly Media","publisher-place":"Sebastopol","title":"Gamification by Design: Implementing Game Mechanics in Web and Mobile Apps","type":"book"},"suppress-author":1,"uris":["http://www.mendeley.com/documents/?uuid=79ff9916-34fb-4c3a-bb7f-0f10c9e0c28b","http://www.mendeley.com/documents/?uuid=3e77a450-27d6-463f-b44f-3514dcddbcb7"]}],"mendeley":{"formattedCitation":"(2011)","plainTextFormattedCitation":"(2011)","previouslyFormattedCitation":"(2011)"},"properties":{"noteIndex":0},"schema":"https://github.com/citation-style-language/schema/raw/master/csl-citation.json"}</w:instrText>
      </w:r>
      <w:r w:rsidRPr="0056686A">
        <w:rPr>
          <w:rFonts w:ascii="Times New Roman" w:hAnsi="Times New Roman" w:cs="Times New Roman"/>
          <w:lang w:val="en-US"/>
        </w:rPr>
        <w:fldChar w:fldCharType="separate"/>
      </w:r>
      <w:r w:rsidRPr="0056686A">
        <w:rPr>
          <w:rFonts w:ascii="Times New Roman" w:hAnsi="Times New Roman" w:cs="Times New Roman"/>
          <w:noProof/>
          <w:lang w:val="en-US"/>
        </w:rPr>
        <w:t>(2011)</w:t>
      </w:r>
      <w:r w:rsidRPr="0056686A">
        <w:rPr>
          <w:rFonts w:ascii="Times New Roman" w:hAnsi="Times New Roman" w:cs="Times New Roman"/>
        </w:rPr>
        <w:fldChar w:fldCharType="end"/>
      </w:r>
      <w:r w:rsidRPr="0056686A">
        <w:rPr>
          <w:rFonts w:ascii="Times New Roman" w:hAnsi="Times New Roman" w:cs="Times New Roman"/>
          <w:lang w:val="en-US"/>
        </w:rPr>
        <w:t xml:space="preserve"> claim that integrating game mechanics into a consumer-facing website or mobile application create a fun-filled and captivating environment for consumers, attract them to visit again and again. Later, other researchers also considered this in their framework and gave meaningful results </w:t>
      </w:r>
      <w:r w:rsidRPr="0056686A">
        <w:rPr>
          <w:rFonts w:ascii="Times New Roman" w:hAnsi="Times New Roman" w:cs="Times New Roman"/>
          <w:lang w:val="en-US"/>
        </w:rPr>
        <w:fldChar w:fldCharType="begin" w:fldLock="1"/>
      </w:r>
      <w:r w:rsidR="0057408D">
        <w:rPr>
          <w:rFonts w:ascii="Times New Roman" w:hAnsi="Times New Roman" w:cs="Times New Roman"/>
          <w:lang w:val="en-US"/>
        </w:rPr>
        <w:instrText>ADDIN CSL_CITATION {"citationItems":[{"id":"ITEM-1","itemData":{"DOI":"10.13140/RG","author":[{"dropping-particle":"","family":"Galetta","given":"Giuseppe","non-dropping-particle":"","parse-names":false,"suffix":""}],"container-title":"Creativity and Innovation in Education","id":"ITEM-1","issued":{"date-parts":[["2013"]]},"page":"1-10","title":"The Gamification: Applications and Developments for Creativity and Education","type":"paper-conference","volume":"2"},"uris":["http://www.mendeley.com/documents/?uuid=b9052703-e849-4221-ab3b-cb57472e8ea1","http://www.mendeley.com/documents/?uuid=3b350799-c108-4154-9309-dc6cf34a0519","http://www.mendeley.com/documents/?uuid=aa56030f-8cb8-44c4-9117-7745eeba10f1"]},{"id":"ITEM-2","itemData":{"DOI":"10.1007/s11042-013-1612-8","abstract":"The purpose of this paper is to hypothesize ‘Dynamical model of educational effectiveness for the gamification of learning, and to widely announce a pure and right function of game through our model. For the theoretical contribution of gamification, we propose a dynamical model of game based learning that aims to maximize educational effectiveness that correlates with the four main primary factors (curiosity, challenge, fantasy and control). The main idea of this model is based on the correlations of four factors which originating from learning games which are built on the foundations of separate theories: 1) Game Design Features 2) Key Characteristics of a Learning Game 3) a theory of educational environment design known as the ARCS (attention, relevance, confidence, and satisfaction) and 4) the theoretical background of gamification labeled the MDA(mechanics, dynamics and aesthetics) framework. We created a sigmoidal equation for the educational effectiveness of Gamification by analyzing and correlating these factors. Through this dynamical model we will show that the effectiveness of the gamification of learning is educationally superior to traditional ways of learning in specific setting, after an elapsed adaptive time period with reasonable relationship of the four primary factors.","author":[{"dropping-particle":"","family":"Kim","given":"Jung Tae","non-dropping-particle":"","parse-names":false,"suffix":""},{"dropping-particle":"","family":"Lee","given":"Won-Hyung","non-dropping-particle":"","parse-names":false,"suffix":""}],"container-title":"Multimedia Tools and Applications","id":"ITEM-2","issue":"19","issued":{"date-parts":[["2015","10"]]},"page":"8483-8493","publisher":"Springer US","title":"Dynamical model for gamification of learning (DMGL)","type":"article-journal","volume":"74"},"uris":["http://www.mendeley.com/documents/?uuid=58ccbd9b-e789-4ef0-8c53-6eef335a6211","http://www.mendeley.com/documents/?uuid=74e557a0-ebf5-4f4a-b1fb-ded759d0e7a0","http://www.mendeley.com/documents/?uuid=8fff7446-bc9b-4ff0-bec0-b3074b1a8169"]},{"id":"ITEM-3","itemData":{"DOI":"10.1108/IntR-10-2015-0295","ISSN":"1066-2243","abstract":"Purpose The purpose of this paper is to identify the potential impact of the utilization of game mechanics and game design techniques in the acceptance of mobile banking services. Design/methodology/approach The theoretical model was tested in a quantitative study using structural equation modelling, conducted in Brazil, with actual local banking customers. Findings The findings show that there is a direct and strong relationship between gamification and intention to use mobile banking services, supporting that, when used and designed properly, gamification can help make banking activities more exciting, more interesting and more enjoyable, and in turn increase customer acceptance, engagement and satisfaction. Research limitations/implications The research extends the unified theory of acceptance and use of technology (UTAUT2), and prior research to include gamification impact. The result is a more descriptive model that better explains consumers’ decision to use mobile banking services. Practical implica...","author":[{"dropping-particle":"","family":"Baptista","given":"Goncalo","non-dropping-particle":"","parse-names":false,"suffix":""},{"dropping-particle":"","family":"Oliveira","given":"Tiago","non-dropping-particle":"","parse-names":false,"suffix":""}],"container-title":"Internet Research","id":"ITEM-3","issue":"1","issued":{"date-parts":[["2017","2"]]},"page":"118-139","publisher":"Emerald Publishing Limited","title":"Why so serious? Gamification impact in the acceptance of mobile banking services","type":"article-journal","volume":"27"},"uris":["http://www.mendeley.com/documents/?uuid=0b3f374e-8b77-42e6-bc77-b7919247f6cf"]},{"id":"ITEM-4","itemData":{"DOI":"10.1108/ITP-02-2017-0054","ISSN":"09593845","abstract":"Purpose: The purpose of this paper is to consider issues related to gamification through the non-game aquarium context and explore how the intention of aquarium visitors to play a game that imparts knowledge about marine animals and promotes the conservation of these animals is influenced by visitors’ attitudes toward marine animals, motivations to visit the aquarium and perceptions of the game’s benefits. Design/methodology/approach: This study surveyed individuals who have visited Taiwan’s National Museum of Marine Biology and Aquarium at least once in the past three years and who use smartphones. They were shown a description of a hypothetical game scenario that they were asked to imagine to be available while at the aquarium. The partial least squares method was used to analyze the data from 225 returns. Findings: The study shows that gamification can satisfy a visitor’s desire to learn and enjoy the aquarium simultaneously. Gamification is limited by the visit motivation and the attitudes toward marine animals that visitors bring with them. The usefulness of gamification is limited when visitors desire relaxation during the visit. Originality/value: This study considers the application of gamification in the context of aquariums and the tourism field and the non-technology-related antecedents to the use of gamification. Gamification is not silver bullet for every situation, and a good understanding of potential users is important for its success and targeting of players. The importance of intrinsic benefits over extrinsic benefits is confirmed. Thus, this study addresses several gaps in the gamification literature.","author":[{"dropping-particle":"","family":"Tan","given":"Wee Kheng","non-dropping-particle":"","parse-names":false,"suffix":""}],"container-title":"Information Technology and People","id":"ITEM-4","issue":"6","issued":{"date-parts":[["2018","12","3"]]},"page":"1070-1090","publisher":"Emerald Group Publishing Ltd.","title":"Gamification in aquarium context: Intention to play game that imparts knowledge and promotes marine animal conservation","type":"article-journal","volume":"31"},"uris":["http://www.mendeley.com/documents/?uuid=ef8ce37b-9a7b-33fe-9d7c-d371c2fe4b09"]}],"mendeley":{"formattedCitation":"(Baptista &amp; Oliveira, 2017; Galetta, 2013; Kim &amp; Lee, 2015; W. K. Tan, 2018)","plainTextFormattedCitation":"(Baptista &amp; Oliveira, 2017; Galetta, 2013; Kim &amp; Lee, 2015; W. K. Tan, 2018)","previouslyFormattedCitation":"(Baptista &amp; Oliveira, 2017; Galetta, 2013; Kim &amp; Lee, 2015; W. K. Tan, 2018)"},"properties":{"noteIndex":0},"schema":"https://github.com/citation-style-language/schema/raw/master/csl-citation.json"}</w:instrText>
      </w:r>
      <w:r w:rsidRPr="0056686A">
        <w:rPr>
          <w:rFonts w:ascii="Times New Roman" w:hAnsi="Times New Roman" w:cs="Times New Roman"/>
          <w:lang w:val="en-US"/>
        </w:rPr>
        <w:fldChar w:fldCharType="separate"/>
      </w:r>
      <w:r w:rsidR="0098666F" w:rsidRPr="0098666F">
        <w:rPr>
          <w:rFonts w:ascii="Times New Roman" w:hAnsi="Times New Roman" w:cs="Times New Roman"/>
          <w:noProof/>
          <w:lang w:val="en-US"/>
        </w:rPr>
        <w:t>(Baptista &amp; Oliveira, 2017; Galetta, 2013; Kim &amp; Lee, 2015; W. K. Tan, 2018)</w:t>
      </w:r>
      <w:r w:rsidRPr="0056686A">
        <w:rPr>
          <w:rFonts w:ascii="Times New Roman" w:hAnsi="Times New Roman" w:cs="Times New Roman"/>
        </w:rPr>
        <w:fldChar w:fldCharType="end"/>
      </w:r>
      <w:r w:rsidRPr="0056686A">
        <w:rPr>
          <w:rFonts w:ascii="Times New Roman" w:hAnsi="Times New Roman" w:cs="Times New Roman"/>
          <w:lang w:val="en-US"/>
        </w:rPr>
        <w:t>. Thus, the present study applied gamification to examine behavioral intentions. Moreover, t</w:t>
      </w:r>
      <w:r w:rsidRPr="0056686A">
        <w:rPr>
          <w:rFonts w:ascii="Times New Roman" w:hAnsi="Times New Roman" w:cs="Times New Roman"/>
        </w:rPr>
        <w:t xml:space="preserve">he generational cohort theory formulated back in 1977 </w:t>
      </w:r>
      <w:r w:rsidRPr="0056686A">
        <w:rPr>
          <w:rFonts w:ascii="Times New Roman" w:hAnsi="Times New Roman" w:cs="Times New Roman"/>
        </w:rPr>
        <w:fldChar w:fldCharType="begin" w:fldLock="1"/>
      </w:r>
      <w:r w:rsidRPr="0056686A">
        <w:rPr>
          <w:rFonts w:ascii="Times New Roman" w:hAnsi="Times New Roman" w:cs="Times New Roman"/>
        </w:rPr>
        <w:instrText>ADDIN CSL_CITATION {"citationItems":[{"id":"ITEM-1","itemData":{"ISBN":"9780691613796","abstract":"This book contends that beneath the frenzied activism of the sixties and the seeming quiescence of the seventies, a \"\"silent revolution\"\" has been occurring that is gradually but fundamentally changing political life throughout the Western world. Ronald Inglehart focuses on two aspects of this revolution: a shift from an overwhelming emphasis on material values and physical security toward greater concern with the quality of life; and an increase in the political skills of Western publics that enables them to play a greater role in making important political decisions. Originally published i. Cover; Contents; Part I: Introduction; 1 Changing Values and Skills Among Western Publics: An Overview.","author":[{"dropping-particle":"","family":"Inglehart","given":"Ronald","non-dropping-particle":"","parse-names":false,"suffix":""}],"id":"ITEM-1","issued":{"date-parts":[["2015"]]},"number-of-pages":"496","publisher":"Princeton University Press","publisher-place":"Princeton","title":"The silent revolution: changing values and political styles among Western publics","type":"book"},"uris":["http://www.mendeley.com/documents/?uuid=6e29cd02-4d9e-3165-9361-e23b378a54e2"]}],"mendeley":{"formattedCitation":"(Inglehart, 2015)","plainTextFormattedCitation":"(Inglehart, 2015)","previouslyFormattedCitation":"(Inglehart, 2015)"},"properties":{"noteIndex":0},"schema":"https://github.com/citation-style-language/schema/raw/master/csl-citation.json"}</w:instrText>
      </w:r>
      <w:r w:rsidRPr="0056686A">
        <w:rPr>
          <w:rFonts w:ascii="Times New Roman" w:hAnsi="Times New Roman" w:cs="Times New Roman"/>
        </w:rPr>
        <w:fldChar w:fldCharType="separate"/>
      </w:r>
      <w:r w:rsidRPr="0056686A">
        <w:rPr>
          <w:rFonts w:ascii="Times New Roman" w:hAnsi="Times New Roman" w:cs="Times New Roman"/>
          <w:noProof/>
        </w:rPr>
        <w:t>(Inglehart, 2015)</w:t>
      </w:r>
      <w:r w:rsidRPr="0056686A">
        <w:rPr>
          <w:rFonts w:ascii="Times New Roman" w:hAnsi="Times New Roman" w:cs="Times New Roman"/>
        </w:rPr>
        <w:fldChar w:fldCharType="end"/>
      </w:r>
      <w:r w:rsidRPr="0056686A">
        <w:rPr>
          <w:rFonts w:ascii="Times New Roman" w:hAnsi="Times New Roman" w:cs="Times New Roman"/>
        </w:rPr>
        <w:t xml:space="preserve"> advocates that individuals can be grouped based on their birth years, because it has been found that individuals belonging to a certain generational cohort manifesting common beliefs and attitudes </w:t>
      </w:r>
      <w:r w:rsidRPr="0056686A">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{"citationItems":[{"id":"ITEM-1","itemData":{"DOI":"10.1007/s10869-010-9164-7","ISSN":"08893268","abstract":"Purpose: The purpose of this study was to examine the differences across three generational cohorts (Millennials, Generation X, and Baby Boomers) on dimensions of the work ethic construct using the multidimensional work ethic profile (MWEP). Design/Methodology/Approach: Data were collected from multiple samples and combined into a large database (N = 1860). Measurement equivalence was examined using Raju et al.'s (1995) differential functioning of items and tests (DFIT) procedure. Findings: Several dimensions of the MWEP were not equivalent across cohorts, indicating that item content may not operate in the same manner across groups. When equivalent, several significant mean differences were detected across cohorts, indicating that respondents do differ in important work-related attitudes and behaviors. Implications: Despite several reviews of generational differences across cohorts, relatively few empirical examinations have been undertaken, and no studies have yet examined the measurement equivalence of constructs across generational cohorts. These findings provide evidence that differences do exist across cohorts on dimensions of work ethic, and some differences may be a result of respondents interpreting content in different ways. Managers of multigenerational employees should consider these differences in managing employees and conflict that may arise as a result. Originality/Value: This is one of the first studies to provide empirical evidence of generational differences in the work ethic construct. In addition, this is the first study to evaluate the measurement equivalence of a work ethic inventory or any other work related individual difference construct across generational cohorts. © Springer Science+Business Media, LLC 2010.","author":[{"dropping-particle":"","family":"Meriac","given":"John P.","non-dropping-particle":"","parse-names":false,"suffix":""},{"dropping-particle":"","family":"Woehr","given":"David J.","non-dropping-particle":"","parse-names":false,"suffix":""},{"dropping-particle":"","family":"Banister","given":"Christina","non-dropping-particle":"","parse-names":false,"suffix":""}],"container-title":"Journal of Business and Psychology","id":"ITEM-1","issued":{"date-parts":[["2010"]]},"title":"Generational differences in work ethic: An examination of measurement equivalence across three cohorts","type":"article-journal"},"uris":["http://www.mendeley.com/documents/?uuid=25de96c3-23d3-30f3-8fff-c2c9cd5dbfb6"]}],"mendeley":{"formattedCitation":"(Meriac, Woehr, &amp; Banister, 2010)","plainTextFormattedCitation":"(Meriac, Woehr, &amp; Banister, 2010)","previouslyFormattedCitation":"(Meriac, Woehr, &amp; Banister, 2010)"},"properties":{"noteIndex":0},"schema":"https://github.com/citation-style-language/schema/raw/master/csl-citation.json"}</w:instrText>
      </w:r>
      <w:r w:rsidRPr="0056686A">
        <w:rPr>
          <w:rFonts w:ascii="Times New Roman" w:hAnsi="Times New Roman" w:cs="Times New Roman"/>
        </w:rPr>
        <w:fldChar w:fldCharType="separate"/>
      </w:r>
      <w:r w:rsidRPr="0056686A">
        <w:rPr>
          <w:rFonts w:ascii="Times New Roman" w:hAnsi="Times New Roman" w:cs="Times New Roman"/>
          <w:noProof/>
        </w:rPr>
        <w:t>(Meriac, Woehr, &amp; Banister, 2010)</w:t>
      </w:r>
      <w:r w:rsidRPr="0056686A">
        <w:rPr>
          <w:rFonts w:ascii="Times New Roman" w:hAnsi="Times New Roman" w:cs="Times New Roman"/>
        </w:rPr>
        <w:fldChar w:fldCharType="end"/>
      </w:r>
      <w:r w:rsidRPr="0056686A">
        <w:rPr>
          <w:rFonts w:ascii="Times New Roman" w:hAnsi="Times New Roman" w:cs="Times New Roman"/>
        </w:rPr>
        <w:t xml:space="preserve">. Scholars have considered segmenting the population by generation cohort more efficient that grouping by age </w:t>
      </w:r>
      <w:r w:rsidRPr="0056686A">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{"citationItems":[{"id":"ITEM-1","itemData":{"DOI":"10.1016/j.jretconser.2016.04.015","ISSN":"09696989","abstract":"Basing on the large scale annual social surveys in Israel, the current study uses Generational Cohort Theory as a framework to examine the trends of internet adoption and online purchasing behavior among Generation X and Generation Y in the past decade. During the decade, the rate of internet access and online purchasing increased continuously in both generations, however internet users did not fully utilize the potential of online shopping. Our findings support the use of Generational Cohort Theory as a market segmentation tool: although the rate of internet access was higher in Generation Y, the percentage of those who bought electrical appliances, furniture or vacations online was higher in Generation X. Although Generation Y with its hedonism, extravagance and great connectivity is considered to be a more attractive target population for businesses, it is important to direct marketing efforts toward Generation X, which according to the literature buys more due to higher disposable income, and more free time.","author":[{"dropping-particle":"","family":"Lissitsa","given":"Sabina","non-dropping-particle":"","parse-names":false,"suffix":""},{"dropping-particle":"","family":"Kol","given":"Ofrit","non-dropping-particle":"","parse-names":false,"suffix":""}],"container-title":"Journal of Retailing and Consumer Services","id":"ITEM-1","issued":{"date-parts":[["2016"]]},"page":"304-312","title":"Generation X vs. Generation Y - A decade of online shopping","type":"article-journal","volume":"31"},"uris":["http://www.mendeley.com/documents/?uuid=f5dc52d8-5af0-3be5-8f95-2f22cf1e8c1c"]},{"id":"ITEM-2","itemData":{"DOI":"10.1016/j.jretconser.2012.12.001","ISSN":"09696989","abstract":"This paper presents some significant empirical findings about generational cohorts and their shopping behavior. Marketing has long relied on the use of market segmentation. While birth age has been a useful way to create groups, it describes segments but does not help to understand segment motivations. However, environmental events experienced during one's coming of age create values that remain relatively unchanged throughout one's life. Such values provide a common bond for those in that age group, or generational cohort. Segmenting by 'coming of age' age provides a richer segmentation approach than birth age. This study compares two significant cohorts: Baby Boomers and Generation Y, with respect to their shopping behavior and purchase involvement for food, clothing and automobiles. For the three types of products, Baby Boomers value the retail experience and in-store service higher than Generation Y. For Baby Boomers, the purchase process starts with a retailer the consumer trusts, who gives advice for choosing the right product, while for Generation Y, the purchase process starts with choosing a product. This study presents implications for retail strategies that have an appeal to different generational cohorts and considers how retailers should deal with building customer relationships. © 2012 Elsevier Ltd.","author":[{"dropping-particle":"","family":"Parment","given":"Anders","non-dropping-particle":"","parse-names":false,"suffix":""}],"container-title":"Journal of Retailing and Consumer Services","id":"ITEM-2","issued":{"date-parts":[["2013"]]},"title":"Generation Y vs. Baby Boomers: Shopping behavior, buyer involvement and implications for retailing","type":"article-journal"},"uris":["http://www.mendeley.com/documents/?uuid=232a2ec7-beea-3b57-a87a-fd46056f8592"]}],"mendeley":{"formattedCitation":"(Lissitsa &amp; Kol, 2016; Parment, 2013)","plainTextFormattedCitation":"(Lissitsa &amp; Kol, 2016; Parment, 2013)","previouslyFormattedCitation":"(Lissitsa &amp; Kol, 2016; Parment, 2013)"},"properties":{"noteIndex":0},"schema":"https://github.com/citation-style-language/schema/raw/master/csl-citation.json"}</w:instrText>
      </w:r>
      <w:r w:rsidRPr="0056686A">
        <w:rPr>
          <w:rFonts w:ascii="Times New Roman" w:hAnsi="Times New Roman" w:cs="Times New Roman"/>
        </w:rPr>
        <w:fldChar w:fldCharType="separate"/>
      </w:r>
      <w:r w:rsidRPr="0056686A">
        <w:rPr>
          <w:rFonts w:ascii="Times New Roman" w:hAnsi="Times New Roman" w:cs="Times New Roman"/>
          <w:noProof/>
        </w:rPr>
        <w:t>(Lissitsa &amp; Kol, 2016; Parment, 2013)</w:t>
      </w:r>
      <w:r w:rsidRPr="0056686A">
        <w:rPr>
          <w:rFonts w:ascii="Times New Roman" w:hAnsi="Times New Roman" w:cs="Times New Roman"/>
        </w:rPr>
        <w:fldChar w:fldCharType="end"/>
      </w:r>
      <w:r w:rsidRPr="0056686A">
        <w:rPr>
          <w:rFonts w:ascii="Times New Roman" w:hAnsi="Times New Roman" w:cs="Times New Roman"/>
        </w:rPr>
        <w:t xml:space="preserve">. </w:t>
      </w:r>
      <w:r w:rsidRPr="0056686A">
        <w:rPr>
          <w:rFonts w:ascii="Times New Roman" w:hAnsi="Times New Roman" w:cs="Times New Roman"/>
          <w:lang w:val="en-US"/>
        </w:rPr>
        <w:t xml:space="preserve">Therefore, the present study will combine these concepts to draw the consumers’ behavioral intentions, user behavior and intentions to recommend considering specifically the role of gamification and generational cohorts. </w:t>
      </w:r>
    </w:p>
    <w:p w14:paraId="30706B45" w14:textId="77777777" w:rsidR="0056686A" w:rsidRPr="0056686A" w:rsidRDefault="0056686A" w:rsidP="0056686A">
      <w:pPr>
        <w:rPr>
          <w:rFonts w:ascii="Times New Roman" w:hAnsi="Times New Roman" w:cs="Times New Roman"/>
          <w:bCs/>
        </w:rPr>
      </w:pPr>
      <w:r w:rsidRPr="0056686A">
        <w:rPr>
          <w:rFonts w:ascii="Times New Roman" w:hAnsi="Times New Roman" w:cs="Times New Roman"/>
          <w:bCs/>
        </w:rPr>
        <w:t xml:space="preserve">The current research further developed its hypotheses in five blocks with the explanation of each variable how they are related to the dependent variable: (i) factors which influence UB (BI, FC and HB); (ii) factors affecting BI (PE, EE, SI, FC, HB, HM, and gamification); (iii) linking SI, FC, HB, and HM to gamification Fourth, how the generation cohort affects the relationship between gamification and behavioural intention (BI), and Fifth, how user behaviour (UB) affects the intention to recommend (IR). </w:t>
      </w:r>
    </w:p>
    <w:p w14:paraId="63CFFD9F" w14:textId="77777777" w:rsidR="0056686A" w:rsidRPr="0056686A" w:rsidRDefault="0056686A" w:rsidP="0098666F">
      <w:pPr>
        <w:pStyle w:val="Nadpis1"/>
      </w:pPr>
      <w:r w:rsidRPr="0056686A">
        <w:lastRenderedPageBreak/>
        <w:t>Hypotheses development</w:t>
      </w:r>
    </w:p>
    <w:p w14:paraId="3D41A882" w14:textId="3B9D8883" w:rsidR="0056686A" w:rsidRPr="0056686A" w:rsidRDefault="0056686A" w:rsidP="0056686A">
      <w:pPr>
        <w:rPr>
          <w:rFonts w:ascii="Times New Roman" w:hAnsi="Times New Roman" w:cs="Times New Roman"/>
          <w:bCs/>
        </w:rPr>
      </w:pPr>
      <w:r w:rsidRPr="0056686A">
        <w:rPr>
          <w:rFonts w:ascii="Times New Roman" w:hAnsi="Times New Roman" w:cs="Times New Roman"/>
          <w:bCs/>
        </w:rPr>
        <w:t xml:space="preserve">The first block of hypotheses deals with the factors affecting user behaviour (UB). Based on UTAUT2, BI, FC, and HB have an imperative role in predicting continuous use of the technology. Moreover, other researchers also applied this in mobile banking studies and found relevant findings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{"citationItems":[{"id":"ITEM-1","itemData":{"DOI":"10.1108/IntR-10-2015-0295","ISSN":"1066-2243","abstract":"Purpose The purpose of this paper is to identify the potential impact of the utilization of game mechanics and game design techniques in the acceptance of mobile banking services. Design/methodology/approach The theoretical model was tested in a quantitative study using structural equation modelling, conducted in Brazil, with actual local banking customers. Findings The findings show that there is a direct and strong relationship between gamification and intention to use mobile banking services, supporting that, when used and designed properly, gamification can help make banking activities more exciting, more interesting and more enjoyable, and in turn increase customer acceptance, engagement and satisfaction. Research limitations/implications The research extends the unified theory of acceptance and use of technology (UTAUT2), and prior research to include gamification impact. The result is a more descriptive model that better explains consumers’ decision to use mobile banking services. Practical implica...","author":[{"dropping-particle":"","family":"Baptista","given":"Goncalo","non-dropping-particle":"","parse-names":false,"suffix":""},{"dropping-particle":"","family":"Oliveira","given":"Tiago","non-dropping-particle":"","parse-names":false,"suffix":""}],"container-title":"Internet Research","id":"ITEM-1","issue":"1","issued":{"date-parts":[["2017","2"]]},"page":"118-139","publisher":"Emerald Publishing Limited","title":"Why so serious? Gamification impact in the acceptance of mobile banking services","type":"article-journal","volume":"27"},"uris":["http://www.mendeley.com/documents/?uuid=0b3f374e-8b77-42e6-bc77-b7919247f6cf"]}],"mendeley":{"formattedCitation":"(Baptista &amp; Oliveira, 2017)","plainTextFormattedCitation":"(Baptista &amp; Oliveira, 2017)","previouslyFormattedCitation":"(Baptista &amp; Oliveira, 2017)"},"properties":{"noteIndex":0},"schema":"https://github.com/citation-style-language/schema/raw/master/csl-citation.json"}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(Baptista &amp; Oliveira, 2017)</w:t>
      </w:r>
      <w:r w:rsidRPr="0056686A">
        <w:rPr>
          <w:rFonts w:ascii="Times New Roman" w:hAnsi="Times New Roman" w:cs="Times New Roman"/>
        </w:rPr>
        <w:fldChar w:fldCharType="end"/>
      </w:r>
      <w:r w:rsidRPr="0056686A">
        <w:rPr>
          <w:rFonts w:ascii="Times New Roman" w:hAnsi="Times New Roman" w:cs="Times New Roman"/>
          <w:bCs/>
        </w:rPr>
        <w:t xml:space="preserve">. Looking into the relationship between BI, FC, HB, and UB, the existing literature reveals a strong relationship between the variables, which provide a strong platform to examine the impact on user behaviour. Looking into the meaning of BI, Ajzen </w:t>
      </w:r>
      <w:r w:rsidRPr="0056686A">
        <w:rPr>
          <w:rFonts w:ascii="Times New Roman" w:hAnsi="Times New Roman" w:cs="Times New Roman"/>
          <w:bCs/>
        </w:rPr>
        <w:fldChar w:fldCharType="begin" w:fldLock="1"/>
      </w:r>
      <w:r w:rsidRPr="0056686A">
        <w:rPr>
          <w:rFonts w:ascii="Times New Roman" w:hAnsi="Times New Roman" w:cs="Times New Roman"/>
          <w:bCs/>
        </w:rPr>
        <w:instrText>ADDIN CSL_CITATION {"citationItems":[{"id":"ITEM-1","itemData":{"DOI":"10.1016/0749-5978(91)90020-T","ISSN":"07495978","abstract":"Research dealing with various aspects of the theory of planned behavior (Ajzen, 1985, 1987) is reviewed, and some unresolved issues are discussed. In broad terms, the theory is found to be well supported by empirical evidence. Intentions to perform behaviors of different kinds can be predicted with high accuracy from attitudes toward the behavior, subjective norms, and perceived behavioral control; and these intentions, together with perceptions of behavioral control, account for considerable variance in actual behavior. Attitudes, subjective norms, and perceived behavioral control are shown to be related to appropriate sets of salient behavioral, normative, and control beliefs about the behavior, but the exact nature of these relations is still uncertain. Expectancy-value formulations are found to be only partly successful in dealing with these relations. Optimal rescaling of expectancy and value measures is offered as a means of dealing with measurement limitations. Finally, inclusion of past behavior in the prediction equation is shown to provide a means of testing the theory's sufficiency, another issue that remains unresolved. The limited available evidence concerning this question shows that the theory is predicting behavior quite well in comparison to the ceiling imposed by behavioral reliability. © 1991.","author":[{"dropping-particle":"","family":"Ajzen","given":"Icek","non-dropping-particle":"","parse-names":false,"suffix":""}],"container-title":"Organizational Behavior and Human Decision Processes","id":"ITEM-1","issue":"2","issued":{"date-parts":[["1991","12"]]},"page":"179-211","title":"The theory of planned behavior","type":"article-journal","volume":"50"},"suppress-author":1,"uris":["http://www.mendeley.com/documents/?uuid=2340c3f6-f994-39f8-a286-7f861b48da4e"]}],"mendeley":{"formattedCitation":"(1991)","plainTextFormattedCitation":"(1991)","previouslyFormattedCitation":"(1991)"},"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(1991)</w:t>
      </w:r>
      <w:r w:rsidRPr="0056686A">
        <w:rPr>
          <w:rFonts w:ascii="Times New Roman" w:hAnsi="Times New Roman" w:cs="Times New Roman"/>
        </w:rPr>
        <w:fldChar w:fldCharType="end"/>
      </w:r>
      <w:r w:rsidRPr="0056686A">
        <w:rPr>
          <w:rFonts w:ascii="Times New Roman" w:hAnsi="Times New Roman" w:cs="Times New Roman"/>
          <w:bCs/>
        </w:rPr>
        <w:t xml:space="preserve"> and Fishbein and Ajzen </w:t>
      </w:r>
      <w:r w:rsidRPr="0056686A">
        <w:rPr>
          <w:rFonts w:ascii="Times New Roman" w:hAnsi="Times New Roman" w:cs="Times New Roman"/>
          <w:bCs/>
        </w:rPr>
        <w:fldChar w:fldCharType="begin" w:fldLock="1"/>
      </w:r>
      <w:r w:rsidRPr="0056686A">
        <w:rPr>
          <w:rFonts w:ascii="Times New Roman" w:hAnsi="Times New Roman" w:cs="Times New Roman"/>
          <w:bCs/>
        </w:rPr>
        <w:instrText>ADDIN CSL_CITATION {"citationItems":[{"id":"ITEM-1","itemData":{"ISBN":"978-0201020892","abstract":"The theory of reasoned action (TRA) is a general theory of behavior that was first introduced in 1967 by Martin Fishbein, and was extended by Fishbein and Icek Ajzen (e.g., Fishbein &amp; Ajzen 1975; Ajzen &amp; Fishbein 1980). Developed largely in response to the repeated failure of traditional [RIGHTWARDS ARROW] attitude measures to predict specific behaviors, the theory began with the premise that the simplest and most efficient way to predict a given behavior was to ask a person whether he or she was or was not going to perform that behavior. Thus, according to the theory, performance or non-performance of a given behavior is primarily determined by the strength of a person's intention to perform (or to not perform) that behavior, where intention is defined as the subjective likelihood that one will perform (or try to perform) the behavior in question ([RIGHTWARDS ARROW] Attitude-Behavior Consistency; Planned Behavior, Theory of).","author":[{"dropping-particle":"","family":"Fishbein","given":"MartinAjzen","non-dropping-particle":"","parse-names":false,"suffix":""},{"dropping-particle":"","family":"Ajzen","given":"Icek","non-dropping-particle":"","parse-names":false,"suffix":""}],"id":"ITEM-1","issued":{"date-parts":[["1975","5"]]},"number-of-pages":"578","publisher":"Addison-Wesley","title":"Belief, attitude, intention, and behavior: An introduction to theory and research","type":"book"},"suppress-author":1,"uris":["http://www.mendeley.com/documents/?uuid=c16b3ba3-f9ec-4611-8ebd-e05f48bfd9ba","http://www.mendeley.com/documents/?uuid=b33ad4fd-0e3e-43ef-b512-75de8120ece3"]}],"mendeley":{"formattedCitation":"(1975)","plainTextFormattedCitation":"(1975)","previouslyFormattedCitation":"(1975)"},"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(1975)</w:t>
      </w:r>
      <w:r w:rsidRPr="0056686A">
        <w:rPr>
          <w:rFonts w:ascii="Times New Roman" w:hAnsi="Times New Roman" w:cs="Times New Roman"/>
        </w:rPr>
        <w:fldChar w:fldCharType="end"/>
      </w:r>
      <w:r w:rsidRPr="0056686A">
        <w:rPr>
          <w:rFonts w:ascii="Times New Roman" w:hAnsi="Times New Roman" w:cs="Times New Roman"/>
          <w:bCs/>
        </w:rPr>
        <w:t>, explained intentions are about how much effort and hard work an individual is putting to achieve the desired behaviour. Intentions are supposed to apprehend the factors which motivate an individual to perform a desirable behaviour. Therefore, it is on the willingness of an individual’s intention whether he or she wants to perform a particular behaviour or not. The stronger the intention for expected behaviour, the higher the chances of its achievement. Therefore, it supports that intentions affect behaviour.</w:t>
      </w:r>
    </w:p>
    <w:p w14:paraId="1AEA64B6" w14:textId="358D6975" w:rsidR="0056686A" w:rsidRPr="0056686A" w:rsidRDefault="0056686A" w:rsidP="0056686A">
      <w:pPr>
        <w:rPr>
          <w:rFonts w:ascii="Times New Roman" w:hAnsi="Times New Roman" w:cs="Times New Roman"/>
          <w:bCs/>
        </w:rPr>
      </w:pPr>
      <w:r w:rsidRPr="0056686A">
        <w:rPr>
          <w:rFonts w:ascii="Times New Roman" w:hAnsi="Times New Roman" w:cs="Times New Roman"/>
          <w:bCs/>
        </w:rPr>
        <w:t xml:space="preserve">Similarly, FC is about providing a supportive set of conditions, such as online seminars or samples, examples and demonstrations, which are helpful to increase the chances of m-banking acceptance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{"citationItems":[{"id":"ITEM-1","itemData":{"DOI":"10.1108/IntR-10-2015-0295","ISSN":"1066-2243","abstract":"Purpose The purpose of this paper is to identify the potential impact of the utilization of game mechanics and game design techniques in the acceptance of mobile banking services. Design/methodology/approach The theoretical model was tested in a quantitative study using structural equation modelling, conducted in Brazil, with actual local banking customers. Findings The findings show that there is a direct and strong relationship between gamification and intention to use mobile banking services, supporting that, when used and designed properly, gamification can help make banking activities more exciting, more interesting and more enjoyable, and in turn increase customer acceptance, engagement and satisfaction. Research limitations/implications The research extends the unified theory of acceptance and use of technology (UTAUT2), and prior research to include gamification impact. The result is a more descriptive model that better explains consumers’ decision to use mobile banking services. Practical implica...","author":[{"dropping-particle":"","family":"Baptista","given":"Goncalo","non-dropping-particle":"","parse-names":false,"suffix":""},{"dropping-particle":"","family":"Oliveira","given":"Tiago","non-dropping-particle":"","parse-names":false,"suffix":""}],"container-title":"Internet Research","id":"ITEM-1","issue":"1","issued":{"date-parts":[["2017","2"]]},"page":"118-139","publisher":"Emerald Publishing Limited","title":"Why so serious? Gamification impact in the acceptance of mobile banking services","type":"article-journal","volume":"27"},"uris":["http://www.mendeley.com/documents/?uuid=0b3f374e-8b77-42e6-bc77-b7919247f6cf"]}],"mendeley":{"formattedCitation":"(Baptista &amp; Oliveira, 2017)","plainTextFormattedCitation":"(Baptista &amp; Oliveira, 2017)","previouslyFormattedCitation":"(Baptista &amp; Oliveira, 2017)"},"properties":{"noteIndex":0},"schema":"https://github.com/citation-style-language/schema/raw/master/csl-citation.json"}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(Baptista &amp; Oliveira, 2017)</w:t>
      </w:r>
      <w:r w:rsidRPr="0056686A">
        <w:rPr>
          <w:rFonts w:ascii="Times New Roman" w:hAnsi="Times New Roman" w:cs="Times New Roman"/>
        </w:rPr>
        <w:fldChar w:fldCharType="end"/>
      </w:r>
      <w:r w:rsidRPr="0056686A">
        <w:rPr>
          <w:rFonts w:ascii="Times New Roman" w:hAnsi="Times New Roman" w:cs="Times New Roman"/>
          <w:bCs/>
        </w:rPr>
        <w:t xml:space="preserve">. Another factor is HB, which is elucidated in the context of information system as to what extent people tend to behave automatically because of learning. It reflects that it is about regular and automaticity and it is essential to understand habit to improve the use of technology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10.1002/fut.10029","ISBN":"9781617619809","author":[{"dropping-particle":"","family":"Limayem","given":"M.","non-dropping-particle":"","parse-names":false,"suffix":""},{"dropping-particle":"","family":"Hirt","given":"S.G.","non-dropping-particle":"","parse-names":false,"suffix":""},{"dropping-particle":"","family":"Cheung","given":"C.M.K.","non-dropping-particle":"","parse-names":false,"suffix":""}],"container-title":"MIS Quarterly","id":"ITEM-1","issue":"4","issued":{"date-parts":[["2007"]]},"page":"705-737/","title":"How habit limits the predictive power of Intention","type":"article-journal","volume":"31"},"uris":["http://www.mendeley.com/documents/?uuid=1f362152-0d92-4b0f-8ba2-4192aef855da","http://www.mendeley.com/documents/?uuid=28e55136-425a-4255-8258-1d0261967147"]}],"mendeley":{"formattedCitation":"(Limayem, Hirt, &amp; Cheung, 2007)","plainTextFormattedCitation":"(Limayem, Hirt, &amp; Cheung, 2007)","previouslyFormattedCitation":"(Limayem, Hirt, &amp; Cheung, 2007)"},"properties":{"noteIndex":0},"schema":"https://github.com/citation-style-language/schema/raw/master/csl-citation.json"}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(Limayem, Hirt, &amp; Cheung, 2007)</w:t>
      </w:r>
      <w:r w:rsidRPr="0056686A">
        <w:rPr>
          <w:rFonts w:ascii="Times New Roman" w:hAnsi="Times New Roman" w:cs="Times New Roman"/>
        </w:rPr>
        <w:fldChar w:fldCharType="end"/>
      </w:r>
      <w:r w:rsidRPr="0056686A">
        <w:rPr>
          <w:rFonts w:ascii="Times New Roman" w:hAnsi="Times New Roman" w:cs="Times New Roman"/>
          <w:bCs/>
        </w:rPr>
        <w:t xml:space="preserve">. A number of studies found that BI positively affects UB </w:t>
      </w:r>
      <w:r w:rsidRPr="0056686A">
        <w:rPr>
          <w:rFonts w:ascii="Times New Roman" w:hAnsi="Times New Roman" w:cs="Times New Roman"/>
          <w:bCs/>
        </w:rPr>
        <w:fldChar w:fldCharType="begin" w:fldLock="1"/>
      </w:r>
      <w:r w:rsidRPr="0056686A">
        <w:rPr>
          <w:rFonts w:ascii="Times New Roman" w:hAnsi="Times New Roman" w:cs="Times New Roman"/>
          <w:bCs/>
        </w:rPr>
        <w:instrText>ADDIN CSL_CITATION {"citationItems":[{"id":"ITEM-1","itemData":{"DOI":"10.1177/0266666915570764","abstract":"This research attempts to identify the factors leading to the adoption of mobile banking and the degree of influence of each one of the factors in Thailand. It proposes a comprehensive framework that extends the existing UTAUT model with important constructs such as perceived credibility, perceived cost, and perceived convenience. A three-pronged approach, consisting of an extensive review of the literature, expert interviews, and a field survey of mobile banking adoption is put forward. A field survey of respondents was undertaken with both convergent and discriminant validities being conducted. The results of the structural equation modeling show that performance expectancy, effort expectancy, social influence, perceived credibility, perceived convenience, and behavioral intention to use mobile banking posited a positive relationship. Contrary to previous studies, the hypotheses testing perceived that financial cost and facilitation conditions in the adoption of mobile banking were not supported. Discussions and conclusions including academic and practical implications are also presented.","author":[{"dropping-particle":"","family":"Bhatiasevi","given":"Veera","non-dropping-particle":"","parse-names":false,"suffix":""}],"container-title":"Information Development","id":"ITEM-1","issue":"4","issued":{"date-parts":[["2016","9"]]},"page":"799-814","title":"An extended UTAUT model to explain the adoption of mobile banking","type":"article-journal","volume":"32"},"uris":["http://www.mendeley.com/documents/?uuid=9b1a0ccb-cc9b-42fe-95ce-dd2ee25df525"]}],"mendeley":{"formattedCitation":"(Bhatiasevi, 2016)","plainTextFormattedCitation":"(Bhatiasevi, 2016)","previouslyFormattedCitation":"(Bhatiasevi, 2016)"},"properties":{"noteIndex":0},"schema":"https://github.com/citation-style-language/schema/raw/master/csl-citation.json"}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(Bhatiasevi, 2016)</w:t>
      </w:r>
      <w:r w:rsidRPr="0056686A">
        <w:rPr>
          <w:rFonts w:ascii="Times New Roman" w:hAnsi="Times New Roman" w:cs="Times New Roman"/>
        </w:rPr>
        <w:fldChar w:fldCharType="end"/>
      </w:r>
      <w:r w:rsidRPr="0056686A">
        <w:rPr>
          <w:rFonts w:ascii="Times New Roman" w:hAnsi="Times New Roman" w:cs="Times New Roman"/>
          <w:bCs/>
        </w:rPr>
        <w:t xml:space="preserve">. The studies from different regions reveal strongly that BI, FC, and HB have a major influence on UB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{"citationItems":[{"id":"ITEM-1","itemData":{"DOI":"10.1108/IntR-10-2015-0295","ISSN":"1066-2243","abstract":"Purpose The purpose of this paper is to identify the potential impact of the utilization of game mechanics and game design techniques in the acceptance of mobile banking services. Design/methodology/approach The theoretical model was tested in a quantitative study using structural equation modelling, conducted in Brazil, with actual local banking customers. Findings The findings show that there is a direct and strong relationship between gamification and intention to use mobile banking services, supporting that, when used and designed properly, gamification can help make banking activities more exciting, more interesting and more enjoyable, and in turn increase customer acceptance, engagement and satisfaction. Research limitations/implications The research extends the unified theory of acceptance and use of technology (UTAUT2), and prior research to include gamification impact. The result is a more descriptive model that better explains consumers’ decision to use mobile banking services. Practical implica...","author":[{"dropping-particle":"","family":"Baptista","given":"Goncalo","non-dropping-particle":"","parse-names":false,"suffix":""},{"dropping-particle":"","family":"Oliveira","given":"Tiago","non-dropping-particle":"","parse-names":false,"suffix":""}],"container-title":"Internet Research","id":"ITEM-1","issue":"1","issued":{"date-parts":[["2017","2"]]},"page":"118-139","publisher":"Emerald Publishing Limited","title":"Why so serious? Gamification impact in the acceptance of mobile banking services","type":"article-journal","volume":"27"},"uris":["http://www.mendeley.com/documents/?uuid=0b3f374e-8b77-42e6-bc77-b7919247f6cf"]},{"id":"ITEM-2","itemData":{"DOI":"10.1016/j.chb.2018.07.045","ISSN":"07475632","abstract":"This is the first research to study gender differences among consumers in a cross-national context in the Middle East: the United Arab Emirates (UAE) and Jordan. A conceptual framework was developed by extending the extended unified theory of acceptance and use of technology (UTAUT2) further. It was tested among individuals aged 18–29 years using multi-stage cluster sampling. A total sample of around 900 usable responses from both countries were included in the analysis. The factors national IT development, enjoyment, perceived relative advantage, price value and effort expectancy were found to be significant in the model among Arab women in the UAE and Jordan. The study has theoretical, social and policy relating contributions. The study shows how an extended UTAUT2 fits among both genders in a cross-national context. The study is helpful for policymakers who intend to reduce the gender gap in smartphone adoption and use. The advancement of national IT development and the presence of effective policies focusing on women were found important in both countries.","author":[{"dropping-particle":"","family":"Ameen","given":"Nisreen","non-dropping-particle":"","parse-names":false,"suffix":""},{"dropping-particle":"","family":"Willis","given":"Robert","non-dropping-particle":"","parse-names":false,"suffix":""},{"dropping-particle":"","family":"Hussain Shah","given":"Mahmood","non-dropping-particle":"","parse-names":false,"suffix":""}],"container-title":"Computers in Human Behavior","id":"ITEM-2","issued":{"date-parts":[["2018","12"]]},"page":"148-162","publisher":"Pergamon","title":"An examination of the gender gap in smartphone adoption and use in Arab countries: A cross-national study","type":"article-journal","volume":"89"},"uris":["http://www.mendeley.com/documents/?uuid=42720811-3e7d-4b04-b67c-741f6062474a"]},{"id":"ITEM-3","itemData":{"DOI":"10.1016/j.ijinfomgt.2018.09.002","abstract":"Mobile banking is one of the most promising technologies that has emerged in recent years and could prove to have considerable value to both banks and customers. Thus, this study recognises the need to test the main factors that could predict the use of mobile banking as well as how using such a system could contribute to both customer satisfaction and customer loyalty. The conceptual model of this study combines two models (i.e. UTAUT2 and the D&amp; M IS Success Model). A questionnaire survey was conducted to collect the required data from convenience sampling of Saudi bank customers. The main factors - performance expectancy, price value, facilitating conditions, hedonic motivation, habit, system quality and service quality - were found to have a significant impact on actual use behaviour. This study was cross-sectional, therefore future studies should implement longitudinal studies in order to re-collect the findings. Further, this study adopted convenience sampling of Saudi M- Banking users. This may adversely impact the issue of generalisability to the whole population. The gap in the M-Banking literature in Saudi Arabia would be bridged by proposing a comprehensive conceptual model that scrupulously clarifies the use of M-Banking from the perspective of Saudi users. Furthermore, this study would consider the adoption of numeric data in order to inferentially analyse them using SEM. This in turn would assist in generalising the findings to the whole Saudi population.","author":[{"dropping-particle":"","family":"Baabdullah","given":"Abdullah M.","non-dropping-particle":"","parse-names":false,"suffix":""},{"dropping-particle":"","family":"Alalwan","given":"Ali Abdallah","non-dropping-particle":"","parse-names":false,"suffix":""},{"dropping-particle":"","family":"Rana","given":"Nripendra P.","non-dropping-particle":"","parse-names":false,"suffix":""},{"dropping-particle":"","family":"Kizgin","given":"Hatice","non-dropping-particle":"","parse-names":false,"suffix":""},{"dropping-particle":"","family":"Patil","given":"Pushp","non-dropping-particle":"","parse-names":false,"suffix":""}],"container-title":"International Journal of Information Management","id":"ITEM-3","issued":{"date-parts":[["2019","2"]]},"page":"38-52","title":"Consumer use of mobile banking (M-Banking) in Saudi Arabia: Towards an integrated model","type":"article-journal","volume":"44"},"uris":["http://www.mendeley.com/documents/?uuid=e9421b6a-5730-4b8d-8859-10c70d6f45b2"]},{"id":"ITEM-4","itemData":{"DOI":"10.1108/JEIM-03-2018-0055","abstract":"Purpose: Mobile banking (m-banking) can be defined as a service offered by a bank or any other financial institution that allows the customers of such establishments to carry out a variety of banking operations via a mobile device, such as a mobile phone, tablet or personal digital assistant. The purpose of this paper is to examine factors that influence customers to adopt and subsequently use m-banking services in Ghana using the unified theory of acceptance and use of technology 2 (UTAUT2) model with age, educational level, user experience and gender as moderators. Design/methodology/approach: Using questionnaire survey, the study sampled 300 users of m-banking services in Ghana as respondents. The primary data collected were analyzed using SmartPLS software. Findings: Findings of the study indicate that Habit, Price Value and Trust are the main factors influencing adoption and use of m-banking in Ghana. Individual differences of gender, age, educational level and user experience responded differently as they moderate the relationship between UTAUT2 constructs and use bahaviour. The applicability of UTAUT2 model was confirmed in the context of the research. Practical implications: M-banking is a new phenomenon in Ghana’s financial industry, thus it is imperative to understanding the customer adoption behavior. The outcome will aid financial institutions to develop strategies that will sustain the interest of consumers to embrace m-banking. Originality/value: This paper is among the first ever known attempts to examine m-banking adoption in Ghana using UTAUT2 model.","author":[{"dropping-particle":"","family":"Kwateng","given":"Kwame Owusu","non-dropping-particle":"","parse-names":false,"suffix":""},{"dropping-particle":"","family":"Atiemo","given":"Kenneth Afo Osei","non-dropping-particle":"","parse-names":false,"suffix":""},{"dropping-particle":"","family":"Appiah","given":"Charity","non-dropping-particle":"","parse-names":false,"suffix":""}],"container-title":"Journal of Enterprise Information Management","id":"ITEM-4","issue":"1","issued":{"date-parts":[["2019","2"]]},"page":"118-151","title":"Acceptance and use of mobile banking: an application of UTAUT2","type":"article-journal","volume":"32"},"uris":["http://www.mendeley.com/documents/?uuid=9f64ebdb-7c05-4fe3-9b74-222e76d5aab3"]}],"mendeley":{"formattedCitation":"(Ameen, Willis, &amp; Hussain Shah, 2018; Baabdullah, Alalwan, Rana, Kizgin, &amp; Patil, 2019; Baptista &amp; Oliveira, 2017; Kwateng, Atiemo, &amp; Appiah, 2019)","plainTextFormattedCitation":"(Ameen, Willis, &amp; Hussain Shah, 2018; Baabdullah, Alalwan, Rana, Kizgin, &amp; Patil, 2019; Baptista &amp; Oliveira, 2017; Kwateng, Atiemo, &amp; Appiah, 2019)","previouslyFormattedCitation":"(Ameen, Willis, &amp; Hussain Shah, 2018; Baabdullah, Alalwan, Rana, Kizgin, &amp; Patil, 2019; Baptista &amp; Oliveira, 2017; Kwateng, Atiemo, &amp; Appiah, 2019)"},"properties":{"noteIndex":0},"schema":"https://github.com/citation-style-language/schema/raw/master/csl-citation.json"}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(Ameen, Willis, &amp; Hussain Shah, 2018; Baabdullah, Alalwan, Rana, Kizgin, &amp; Patil, 2019; Baptista &amp; Oliveira, 2017; Kwateng, Atiemo, &amp; Appiah, 2019)</w:t>
      </w:r>
      <w:r w:rsidRPr="0056686A">
        <w:rPr>
          <w:rFonts w:ascii="Times New Roman" w:hAnsi="Times New Roman" w:cs="Times New Roman"/>
        </w:rPr>
        <w:fldChar w:fldCharType="end"/>
      </w:r>
      <w:r w:rsidRPr="0056686A">
        <w:rPr>
          <w:rFonts w:ascii="Times New Roman" w:hAnsi="Times New Roman" w:cs="Times New Roman"/>
          <w:bCs/>
        </w:rPr>
        <w:t>. Therefore, the following hypotheses have been framed:</w:t>
      </w:r>
    </w:p>
    <w:p w14:paraId="2D2659A8" w14:textId="77777777" w:rsidR="0056686A" w:rsidRPr="0056686A" w:rsidRDefault="0056686A" w:rsidP="0056686A">
      <w:pPr>
        <w:rPr>
          <w:rFonts w:ascii="Times New Roman" w:hAnsi="Times New Roman" w:cs="Times New Roman"/>
          <w:bCs/>
        </w:rPr>
      </w:pPr>
      <w:r w:rsidRPr="0056686A">
        <w:rPr>
          <w:rFonts w:ascii="Times New Roman" w:hAnsi="Times New Roman" w:cs="Times New Roman"/>
          <w:b/>
          <w:bCs/>
        </w:rPr>
        <w:t>H1</w:t>
      </w:r>
      <w:r w:rsidRPr="0056686A">
        <w:rPr>
          <w:rFonts w:ascii="Times New Roman" w:hAnsi="Times New Roman" w:cs="Times New Roman"/>
          <w:bCs/>
        </w:rPr>
        <w:t>: UB is positively affected by BI (H1a), FC (H1b), and HB (H1c).</w:t>
      </w:r>
    </w:p>
    <w:p w14:paraId="334A5D12" w14:textId="625792AA" w:rsidR="0056686A" w:rsidRPr="0056686A" w:rsidRDefault="0056686A" w:rsidP="0056686A">
      <w:pPr>
        <w:rPr>
          <w:rFonts w:ascii="Times New Roman" w:hAnsi="Times New Roman" w:cs="Times New Roman"/>
          <w:bCs/>
        </w:rPr>
      </w:pPr>
      <w:r w:rsidRPr="0056686A">
        <w:rPr>
          <w:rFonts w:ascii="Times New Roman" w:hAnsi="Times New Roman" w:cs="Times New Roman"/>
          <w:bCs/>
        </w:rPr>
        <w:t xml:space="preserve">The second block of hypotheses is framed to test the factors affecting BI. Venkatesh et al. </w:t>
      </w:r>
      <w:r w:rsidRPr="0056686A">
        <w:rPr>
          <w:rFonts w:ascii="Times New Roman" w:hAnsi="Times New Roman" w:cs="Times New Roman"/>
          <w:bCs/>
        </w:rPr>
        <w:fldChar w:fldCharType="begin" w:fldLock="1"/>
      </w:r>
      <w:r w:rsidR="003266B5">
        <w:rPr>
          <w:rFonts w:ascii="Times New Roman" w:hAnsi="Times New Roman" w:cs="Times New Roman"/>
          <w:bCs/>
        </w:rPr>
        <w:instrText>ADDIN CSL_CITATION {"citationItems":[{"id":"ITEM-1","itemData":{"DOI":"10.2307/30036540","abstract":"Information technology (IT) acceptance research has yielded many competing models, each with different sets of acceptance determinants. In this paper, we (1) review user acceptance literature and discuss eight prominent models, (2) empirically compare the eight models and their extensions, (3) formulate a unified model that integrates elements across the eight models, and (4) empirically validate the unified model. The eight models reviewed are the theory of reasoned action, the technology acceptance model, the motivational model, the theory of planned behavior, a model combining the technology acceptance model and the theory of planned behavior, the model of PC utilization, the innovation diffusion theory, and the social cognitive theory. Using data from four organizations over a six-month period with three points of measurement, the eight models explained between 17 percent and 53 percent of the variance in user intentions to use information technology. Next, a unified model, called the Unified Theory of Acceptance and Use of Technology (UTAUT), was formulated, with four core determinants of intention and usage, and up to four moderators of key relationships. UTAUT was then tested using the original data and found to outperform the eight individual models (adjusted R of 69 percent). UTAUT was then confirmed with data from two new organizations with similar results (adjusted R of 70 percent). UTAUT thus provides a useful tool for managers needing to assess the likelihood of success for new technology introductions and helps them understand the drivers of acceptance in order to proactively design interventions (including training, marketing, etc.) targeted at populations of users that may be less inclined to adopt and use new systems. The paper also makes several recommendations for future research including developing a deeper understanding of the dynamic influences studied here, refining measurement of the core constructs used in UTAUT, and understanding the organizational outcomes associated with new technology use.","author":[{"dropping-particle":"","family":"Venkatesh","given":"Viswanath","non-dropping-particle":"","parse-names":false,"suffix":""},{"dropping-particle":"","family":"Morris","given":"Michael G.","non-dropping-particle":"","parse-names":false,"suffix":""},{"dropping-particle":"","family":"Davis","given":"Gordon B.","non-dropping-particle":"","parse-names":false,"suffix":""},{"dropping-particle":"","family":"Davis","given":"Fred D.","non-dropping-particle":"","parse-names":false,"suffix":""}],"container-title":"MIS Quarterly","id":"ITEM-1","issue":"3","issued":{"date-parts":[["2003"]]},"page":"425","publisher":"Management Information Systems Research Center, University of Minnesota","title":"User Acceptance of Information Technology: Toward a Unified View","type":"article-journal","volume":"27"},"suppress-author":1,"uris":["http://www.mendeley.com/documents/?uuid=07f868c3-3adf-4f1e-91bf-d93a91d07210"]}],"mendeley":{"formattedCitation":"(2003)","plainTextFormattedCitation":"(2003)","previouslyFormattedCitation":"(2003)"},"properties":{"noteIndex":0},"schema":"https://github.com/citation-style-language/schema/raw/master/csl-citation.json"}</w:instrText>
      </w:r>
      <w:r w:rsidRPr="0056686A">
        <w:rPr>
          <w:rFonts w:ascii="Times New Roman" w:hAnsi="Times New Roman" w:cs="Times New Roman"/>
          <w:bCs/>
        </w:rPr>
        <w:fldChar w:fldCharType="separate"/>
      </w:r>
      <w:r w:rsidR="003266B5" w:rsidRPr="003266B5">
        <w:rPr>
          <w:rFonts w:ascii="Times New Roman" w:hAnsi="Times New Roman" w:cs="Times New Roman"/>
          <w:bCs/>
          <w:noProof/>
        </w:rPr>
        <w:t>(2003)</w:t>
      </w:r>
      <w:r w:rsidRPr="0056686A">
        <w:rPr>
          <w:rFonts w:ascii="Times New Roman" w:hAnsi="Times New Roman" w:cs="Times New Roman"/>
        </w:rPr>
        <w:fldChar w:fldCharType="end"/>
      </w:r>
      <w:r w:rsidRPr="0056686A">
        <w:rPr>
          <w:rFonts w:ascii="Times New Roman" w:hAnsi="Times New Roman" w:cs="Times New Roman"/>
          <w:bCs/>
        </w:rPr>
        <w:t xml:space="preserve"> explain PE as the degree to which a person believes that using the system can support to attain the improvements in job performance, it is about perceived usefulness. Similarly, regarding m-banking, researchers found that users perceived that using m-banking can change the nature of banking, navigation patterns, the number of site visits, and the number of transactions executed, will affect the overall usage pattern because of fast, convenient and service effectiveness </w:t>
      </w:r>
      <w:r w:rsidRPr="0056686A">
        <w:rPr>
          <w:rFonts w:ascii="Times New Roman" w:hAnsi="Times New Roman" w:cs="Times New Roman"/>
          <w:bCs/>
        </w:rPr>
        <w:fldChar w:fldCharType="begin" w:fldLock="1"/>
      </w:r>
      <w:r w:rsidR="0057408D">
        <w:rPr>
          <w:rFonts w:ascii="Times New Roman" w:hAnsi="Times New Roman" w:cs="Times New Roman"/>
          <w:bCs/>
        </w:rPr>
        <w:instrText>ADDIN CSL_CITATION {"citationItems":[{"id":"ITEM-1","itemData":{"DOI":"10.1016/J.CHB.2010.01.013","ISSN":"0747-5632","abstract":"Due to its advantages such as ubiquity and immediacy, mobile banking has attracted traditional banks’ interests. However, a survey report showed that user adoption of mobile banking was much lower than that of other mobile services. The extant research focuses on explaining user adoption from technology perceptions such as perceived usefulness, perceived ease of use, interactivity, and relative advantage. However, users’ adoption is determined not only by their perception of the technology but also by the task technology fit. In other words, even though a technology may be perceived as being advanced, if it does not fit users’ task requirements, they may not adopt it. By integrating the task technology fit (TTF) model and the unified theory of acceptance and usage of technology (UTAUT), this research proposes a mobile banking user adoption model. We found that performance expectancy, task technology fit, social influence, and facilitating conditions have significant effects on user adoption. In addition, we also found a significant effect of task technology fit on performance expectancy.","author":[{"dropping-particle":"","family":"Zhou","given":"Tao","non-dropping-particle":"","parse-names":false,"suffix":""},{"dropping-particle":"","family":"Lu","given":"Yaobin","non-dropping-particle":"","parse-names":false,"suffix":""},{"dropping-particle":"","family":"Wang","given":"Bin","non-dropping-particle":"","parse-names":false,"suffix":""}],"container-title":"Computers in Human Behavior","id":"ITEM-1","issue":"4","issued":{"date-parts":[["2010","7"]]},"page":"760-767","publisher":"Pergamon","title":"Integrating TTF and UTAUT to explain mobile banking user adoption","type":"article-journal","volume":"26"},"uris":["http://www.mendeley.com/documents/?uuid=94820fb1-4f17-465b-9e51-ebde0b7dc285"]},{"id":"ITEM-2","itemData":{"DOI":"10.1108/JSIT-06-2016-0037","ISSN":"17588847","abstract":"Purpose: This paper to examine the relationship between performance expectancy and behavioural intention to use mobile-based communication technologies for agricultural market information dissemination in Uganda. Design/methodology/approach: A descriptive field survey method was adopted. A total of 302 commercial farmers and agribusiness traders in Eastern Uganda participated in the study from whom data were collected using self-administered questionnaires. Descriptive statistics, factor analysis, correlation and regression analyses were used in the study. Findings: The findings reveal a significant positive relationship between performance expectancy and behavioural intentions to use mobile-based communication technologies for agricultural information access and dissemination. This implies that, commercial farmers’ behavioural intentions to use mobile-based communication technologies for agricultural market information dissemination and access will be influenced if they anticipate mobile-based communication technologies to offer greater performance in their daily transactions. Research limitations/implications: This study was conducted in the context of resource constrained countries particularly in sub-Saharan Africa, however reflecting knowledge from other contexts. The study was conducted with a structured questionnaire being the main data collection tool, and this limited the study from collecting views outside the questions asked in the questionnaire. The variables studied could not be analysed for a long time, given that the study was cross-sectional in nature. Practical implications: The study provides recommendations on how to further boost farmers’ behavioural intentions to use mobile-based communication technologies for agricultural information dissemination. Policy makers need to ensure that policies are put in place that encourage third party software developers and telecommunication companies to provide software products and solutions that are beneficial to the commercial farmers and can enable them complete their agricultural transactions in time. Social implications: The study provides critical literature on the influence of performance expectancy on commercial farmers’ behavioural intentions to use mobile-based communication technologies for agricultural market information access and dissemination in resource constrained settings. Originality/value: It is noted that farmers in Uganda are slowly progressing to newer mobile information an…","author":[{"dropping-particle":"","family":"Engotoit","given":"Benard","non-dropping-particle":"","parse-names":false,"suffix":""},{"dropping-particle":"","family":"Kituyi","given":"Geoffrey Mayoka","non-dropping-particle":"","parse-names":false,"suffix":""},{"dropping-particle":"","family":"Moya","given":"Musa Bukoma","non-dropping-particle":"","parse-names":false,"suffix":""}],"container-title":"Journal of Systems and Information Technology","id":"ITEM-2","issue":"4","issued":{"date-parts":[["2016"]]},"page":"346-363","publisher":"Emerald Group Publishing Ltd.","title":"Influence of performance expectancy on commercial farmers’ intention to use mobile-based communication technologies for agricultural market information dissemination in Uganda","type":"article-journal","volume":"18"},"uris":["http://www.mendeley.com/documents/?uuid=66b41d76-7249-37e4-b38c-9028ddaea9f2"]},{"id":"ITEM-3","itemData":{"DOI":"10.1108/ITP-09-2016-0212","ISSN":"09593845","abstract":"Purpose: The purpose of this paper is to examine the factors that influence the adoption of mobile technology by considering the information technology (IT) managers’ perception. The research identified the key challenges managers faced and whether management would adopt mobile technology or not. Design/methodology/approach: A quantitative approach was used for this research, whereby an explanatory research was utilised. Questionnaires were developed and distributed to respondents who were in management and leadership positions and who were responsible for IT within their organisations. Demographic variables of age, gender differences, level of education, level of experience and culture were tested for association to the perceived factors and adoption. A χ2 of association was used to test the association between demographic variables and mobile technology adoption. Findings: The results found that perceived ease of use, perceived usefulness, perceived complexity and perceived cost are important factors for adoption. However, perceived risk was a key factor in the adoption of mobile technology. Mobile strategy adoption must consider perceived risk factors central to the adoption. The younger generation (20 to 40) years found it easier to adopt technology than the older generation of 41 years and older. Individuals with a post matriculation level of education understood the importance of risk and cost required for adoption. Research limitations/implications: Purposive sampling from a single industry (Life Insurance) was used. Limited literature was available regarding managers perception of mobile technology adoption in the Life Insurance industry. Practical implications: The research offers managers insight into the important factors that need to be considered in adopting mobile technology. Originality/value: With mobile technology being pervasive, the research seeks to provide managers with the insight in managing the adoption of the technology.","author":[{"dropping-particle":"","family":"Naicker","given":"Visvanathan","non-dropping-particle":"","parse-names":false,"suffix":""},{"dropping-particle":"","family":"Merwe","given":"Derrick Barry","non-dropping-particle":"Van Der","parse-names":false,"suffix":""}],"container-title":"Information Technology and People","id":"ITEM-3","issue":"2","issued":{"date-parts":[["2018"]]},"page":"507-526","publisher":"Emerald Group Publishing Ltd.","title":"Managers’ perception of mobile technology adoption in the Life Insurance industry","type":"article-journal","volume":"31"},"uris":["http://www.mendeley.com/documents/?uuid=ef8162e1-d18f-3b26-b782-4874da263d6d"]}],"mendeley":{"formattedCitation":"(Engotoit, Kituyi, &amp; Moya, 2016; Naicker &amp; Van Der Merwe, 2018; Zhou, Lu, &amp; Wang, 2010)","plainTextFormattedCitation":"(Engotoit, Kituyi, &amp; Moya, 2016; Naicker &amp; Van Der Merwe, 2018; Zhou, Lu, &amp; Wang, 2010)","previouslyFormattedCitation":"(Engotoit, Kituyi, &amp; Moya, 2016; Zhou, Lu, &amp; Wang, 2010)"},"properties":{"noteIndex":0},"schema":"https://github.com/citation-style-language/schema/raw/master/csl-citation.json"}</w:instrText>
      </w:r>
      <w:r w:rsidRPr="0056686A">
        <w:rPr>
          <w:rFonts w:ascii="Times New Roman" w:hAnsi="Times New Roman" w:cs="Times New Roman"/>
          <w:bCs/>
        </w:rPr>
        <w:fldChar w:fldCharType="separate"/>
      </w:r>
      <w:r w:rsidR="0057408D" w:rsidRPr="0057408D">
        <w:rPr>
          <w:rFonts w:ascii="Times New Roman" w:hAnsi="Times New Roman" w:cs="Times New Roman"/>
          <w:bCs/>
          <w:noProof/>
        </w:rPr>
        <w:t>(Engotoit, Kituyi, &amp; Moya, 2016; Naicker &amp; Van Der Merwe, 2018; Zhou, Lu, &amp; Wang, 2010)</w:t>
      </w:r>
      <w:r w:rsidRPr="0056686A">
        <w:rPr>
          <w:rFonts w:ascii="Times New Roman" w:hAnsi="Times New Roman" w:cs="Times New Roman"/>
        </w:rPr>
        <w:fldChar w:fldCharType="end"/>
      </w:r>
      <w:r w:rsidRPr="0056686A">
        <w:rPr>
          <w:rFonts w:ascii="Times New Roman" w:hAnsi="Times New Roman" w:cs="Times New Roman"/>
          <w:bCs/>
        </w:rPr>
        <w:t xml:space="preserve">. On the other hand, EE is about the degree of easiness attached to the system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{"citationItems":[{"id":"ITEM-1","itemData":{"DOI":"10.2307/30036540","abstract":"Information technology (IT) acceptance research has yielded many competing models, each with different sets of acceptance determinants. In this paper, we (1) review user acceptance literature and discuss eight prominent models, (2) empirically compare the eight models and their extensions, (3) formulate a unified model that integrates elements across the eight models, and (4) empirically validate the unified model. The eight models reviewed are the theory of reasoned action, the technology acceptance model, the motivational model, the theory of planned behavior, a model combining the technology acceptance model and the theory of planned behavior, the model of PC utilization, the innovation diffusion theory, and the social cognitive theory. Using data from four organizations over a six-month period with three points of measurement, the eight models explained between 17 percent and 53 percent of the variance in user intentions to use information technology. Next, a unified model, called the Unified Theory of Acceptance and Use of Technology (UTAUT), was formulated, with four core determinants of intention and usage, and up to four moderators of key relationships. UTAUT was then tested using the original data and found to outperform the eight individual models (adjusted R of 69 percent). UTAUT was then confirmed with data from two new organizations with similar results (adjusted R of 70 percent). UTAUT thus provides a useful tool for managers needing to assess the likelihood of success for new technology introductions and helps them understand the drivers of acceptance in order to proactively design interventions (including training, marketing, etc.) targeted at populations of users that may be less inclined to adopt and use new systems. The paper also makes several recommendations for future research including developing a deeper understanding of the dynamic influences studied here, refining measurement of the core constructs used in UTAUT, and understanding the organizational outcomes associated with new technology use.","author":[{"dropping-particle":"","family":"Venkatesh","given":"Viswanath","non-dropping-particle":"","parse-names":false,"suffix":""},{"dropping-particle":"","family":"Morris","given":"Michael G.","non-dropping-particle":"","parse-names":false,"suffix":""},{"dropping-particle":"","family":"Davis","given":"Gordon B.","non-dropping-particle":"","parse-names":false,"suffix":""},{"dropping-particle":"","family":"Davis","given":"Fred D.","non-dropping-particle":"","parse-names":false,"suffix":""}],"container-title":"MIS Quarterly","id":"ITEM-1","issue":"3","issued":{"date-parts":[["2003"]]},"page":"425","publisher":"Management Information Systems Research Center, University of Minnesota","title":"User Acceptance of Information Technology: Toward a Unified View","type":"article-journal","volume":"27"},"uris":["http://www.mendeley.com/documents/?uuid=07f868c3-3adf-4f1e-91bf-d93a91d07210"]}],"mendeley":{"formattedCitation":"(Venkatesh et al., 2003)","plainTextFormattedCitation":"(Venkatesh et al., 2003)","previouslyFormattedCitation":"(Venkatesh et al., 2003)"},"properties":{"noteIndex":0},"schema":"https://github.com/citation-style-language/schema/raw/master/csl-citation.json"}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(Venkatesh et al., 2003)</w:t>
      </w:r>
      <w:r w:rsidRPr="0056686A">
        <w:rPr>
          <w:rFonts w:ascii="Times New Roman" w:hAnsi="Times New Roman" w:cs="Times New Roman"/>
        </w:rPr>
        <w:fldChar w:fldCharType="end"/>
      </w:r>
      <w:r w:rsidRPr="0056686A">
        <w:rPr>
          <w:rFonts w:ascii="Times New Roman" w:hAnsi="Times New Roman" w:cs="Times New Roman"/>
          <w:bCs/>
        </w:rPr>
        <w:t xml:space="preserve">. It is assumed that easiness helps users to adopt the system easily, sometimes it can be a reason behind the system acceptance or adoption failure, similarly, the same is the case with m-banking. Hence, it is relevant to related EE with m-banking usage. Usefulness and easiness of usage positively affect BI </w:t>
      </w:r>
      <w:r w:rsidRPr="0056686A">
        <w:rPr>
          <w:rFonts w:ascii="Times New Roman" w:hAnsi="Times New Roman" w:cs="Times New Roman"/>
          <w:bCs/>
        </w:rPr>
        <w:fldChar w:fldCharType="begin" w:fldLock="1"/>
      </w:r>
      <w:r w:rsidR="003266B5">
        <w:rPr>
          <w:rFonts w:ascii="Times New Roman" w:hAnsi="Times New Roman" w:cs="Times New Roman"/>
          <w:bCs/>
        </w:rPr>
        <w:instrText>ADDIN CSL_CITATION {"citationItems":[{"id":"ITEM-1","itemData":{"DOI":"10.5829/ije.2018.31.09c.07","abstract":"Internet bank has limitations such as access to the internet network and personal computer (PC). In addition to provideeasily bank services to customers at any time, The provision of mobile phone services with the title of Mobile Bank was introduced to eliminate these restrictions and limitations. Due to importance of technology adoption by users, in this research, the technology acceptance model was developed by taking into account the variables of the original model, by adding new variables such as risk perception, cost perception, trust, resistance, compatibility while examining the proposed models. This research has analyzed the statistical population using the questionnaire. Finally, by analyzing obtained results, with regression analysis observed that individual's age has not much effect on the technology adoption according to results, and also individuals do not have much resistance to adopt the technology in this period, which leads to adopt more new technologies. Individuals are also willing to pay for the services and technology used while benefiting from its advantages. The cost has not affected the attitude of individuals and is not an impediment and barrier to technology adoption, and ultimately, individuals have adopted the risk of use of technology. This issue does not damage their trust in new technology.","author":[{"dropping-particle":"","family":"Moazenzadeh","given":"D","non-dropping-particle":"","parse-names":false,"suffix":""},{"dropping-particle":"","family":"Hamidi","given":"H","non-dropping-particle":"","parse-names":false,"suffix":""}],"container-title":"International Journal of Engineering","id":"ITEM-1","issue":"9","issued":{"date-parts":[["2018","9"]]},"page":"1521-1528","title":"Analysis and Development of Technology Acceptance Model in Mobile Bank Field","type":"article-journal","volume":"31"},"uris":["http://www.mendeley.com/documents/?uuid=cf20103b-bf35-4f96-986f-53e92d2d0d52"]},{"id":"ITEM-2","itemData":{"DOI":"10.1016/j.chb.2018.07.045","ISSN":"07475632","abstract":"This is the first research to study gender differences among consumers in a cross-national context in the Middle East: the United Arab Emirates (UAE) and Jordan. A conceptual framework was developed by extending the extended unified theory of acceptance and use of technology (UTAUT2) further. It was tested among individuals aged 18–29 years using multi-stage cluster sampling. A total sample of around 900 usable responses from both countries were included in the analysis. The factors national IT development, enjoyment, perceived relative advantage, price value and effort expectancy were found to be significant in the model among Arab women in the UAE and Jordan. The study has theoretical, social and policy relating contributions. The study shows how an extended UTAUT2 fits among both genders in a cross-national context. The study is helpful for policymakers who intend to reduce the gender gap in smartphone adoption and use. The advancement of national IT development and the presence of effective policies focusing on women were found important in both countries.","author":[{"dropping-particle":"","family":"Ameen","given":"Nisreen","non-dropping-particle":"","parse-names":false,"suffix":""},{"dropping-particle":"","family":"Willis","given":"Robert","non-dropping-particle":"","parse-names":false,"suffix":""},{"dropping-particle":"","family":"Hussain Shah","given":"Mahmood","non-dropping-particle":"","parse-names":false,"suffix":""}],"container-title":"Computers in Human Behavior","id":"ITEM-2","issued":{"date-parts":[["2018","12"]]},"page":"148-162","publisher":"Pergamon","title":"An examination of the gender gap in smartphone adoption and use in Arab countries: A cross-national study","type":"article-journal","volume":"89"},"uris":["http://www.mendeley.com/documents/?uuid=42720811-3e7d-4b04-b67c-741f6062474a"]},{"id":"ITEM-3","itemData":{"DOI":"10.1108/JSIT-11-2017-0107","ISSN":"17588847","abstract":"Purpose: The purpose of this study was to investigate factors that influence the intention to use mobile learning (m-learning) by learners in developing countries such as Thailand. This study integrated two theories; namely, the unified theory of acceptance and use of technology (UTAUT), which focuses on technology, and uses and gratifications theory (UGT), which involves studying learners’ motivation. Design/methodology/approach: Applying a quantitative research method, this study conducted a survey of 359 undergraduates. The partial least squares methods and a statistical analysis technique based on the structural equation modelling (SEM), were used to analyse the data. Findings: The results revealed that the performance expectancy, cognitive need, affective need and social need had significant effect on intention to use m-learning. Furthermore, this study found a significant effect of the cognitive need on the performance expectancy and social need on effort expectancy. Practical implications: This research model has provided guidelines for the effective development of educational applications for use on mobile devices. The findings can be applied as guidelines for public organizations to develop educational strategies to further encourage the development of online learning. Originality/value: This research closed a gap of understanding from previous studies by integrating UTAUT and UGT. The method derived from the theoretically integrated model could be applied to study the intentions for the implementation the mobile learning application from the context of developing countries such as Thailand.","author":[{"dropping-particle":"","family":"Thongsri","given":"Nattaporn","non-dropping-particle":"","parse-names":false,"suffix":""},{"dropping-particle":"","family":"Shen","given":"Liang","non-dropping-particle":"","parse-names":false,"suffix":""},{"dropping-particle":"","family":"Bao","given":"Yukun","non-dropping-particle":"","parse-names":false,"suffix":""},{"dropping-particle":"","family":"Alharbi","given":"Ibraheem Mubarak","non-dropping-particle":"","parse-names":false,"suffix":""}],"container-title":"Journal of Systems and Information Technology","id":"ITEM-3","issue":"3","issued":{"date-parts":[["2018","8","13"]]},"page":"278-297","publisher":"Emerald Group Publishing Ltd.","title":"Integrating UTAUT and UGT to explain behavioural intention to use M-learning: A developing country’s perspective","type":"article-journal","volume":"20"},"uris":["http://www.mendeley.com/documents/?uuid=835ac317-dca5-309e-851a-ed3d89adfec5"]}],"mendeley":{"formattedCitation":"(Ameen et al., 2018; Moazenzadeh &amp; Hamidi, 2018; Thongsri, Shen, Bao, &amp; Alharbi, 2018)","plainTextFormattedCitation":"(Ameen et al., 2018; Moazenzadeh &amp; Hamidi, 2018; Thongsri, Shen, Bao, &amp; Alharbi, 2018)","previouslyFormattedCitation":"(Ameen et al., 2018; Moazenzadeh &amp; Hamidi, 2018; Thongsri, Shen, Bao, &amp; Alharbi, 2018)"},"properties":{"noteIndex":0},"schema":"https://github.com/citation-style-language/schema/raw/master/csl-citation.json"}</w:instrText>
      </w:r>
      <w:r w:rsidRPr="0056686A">
        <w:rPr>
          <w:rFonts w:ascii="Times New Roman" w:hAnsi="Times New Roman" w:cs="Times New Roman"/>
          <w:bCs/>
        </w:rPr>
        <w:fldChar w:fldCharType="separate"/>
      </w:r>
      <w:r w:rsidR="003266B5" w:rsidRPr="003266B5">
        <w:rPr>
          <w:rFonts w:ascii="Times New Roman" w:hAnsi="Times New Roman" w:cs="Times New Roman"/>
          <w:bCs/>
          <w:noProof/>
        </w:rPr>
        <w:t>(Ameen et al., 2018; Moazenzadeh &amp; Hamidi, 2018; Thongsri, Shen, Bao, &amp; Alharbi, 2018)</w:t>
      </w:r>
      <w:r w:rsidRPr="0056686A">
        <w:rPr>
          <w:rFonts w:ascii="Times New Roman" w:hAnsi="Times New Roman" w:cs="Times New Roman"/>
        </w:rPr>
        <w:fldChar w:fldCharType="end"/>
      </w:r>
      <w:r w:rsidRPr="0056686A">
        <w:rPr>
          <w:rFonts w:ascii="Times New Roman" w:hAnsi="Times New Roman" w:cs="Times New Roman"/>
          <w:bCs/>
        </w:rPr>
        <w:t xml:space="preserve">. Studies also indicate that PE and EE have a positive effect on the intention to use mobile devices/services or behavioural intention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{"citationItems":[{"id":"ITEM-1","itemData":{"DOI":"10.1109/HICSS.2006.38","ISBN":"0769525075","ISSN":"15301605","abstract":"The future of mobile telephony is expected to rely on mobile services and the use of mobile services mil be an integral part of the revenues to be generated by third generation mobile telephony. The adoption of new mobile services contradicts this proposition as it has been much slower than expected, especially in Europe. Basic services such as SMS, ring tones, icons and logos are still the most popular services. Several reasons have been suggested for the slow adoption rate, ranging from cultural to business models. In this paper we are searching for answers to the adoption rates by testing the applicability of the Unified Theory of Acceptance and Use of Technology (UTAUT) to explain the acceptance of mobile devices/services. Based on our empirical evidence from a survey conducted in Finland, it seems that the UTA UT to some extent and with some reservations can be used as a starting point to find some explanations for the adoption of mobile devices/services. © 2006 IEEE.","author":[{"dropping-particle":"","family":"Carlsson","given":"Christer","non-dropping-particle":"","parse-names":false,"suffix":""},{"dropping-particle":"","family":"Carlsson","given":"Joanna","non-dropping-particle":"","parse-names":false,"suffix":""},{"dropping-particle":"","family":"Hyvönen","given":"Kaarina","non-dropping-particle":"","parse-names":false,"suffix":""},{"dropping-particle":"","family":"Puhakainen","given":"Jussi","non-dropping-particle":"","parse-names":false,"suffix":""},{"dropping-particle":"","family":"Walden","given":"Pirkko","non-dropping-particle":"","parse-names":false,"suffix":""}],"container-title":"Proceedings of the Annual Hawaii International Conference on System Sciences","id":"ITEM-1","issue":"February","issued":{"date-parts":[["2006"]]},"page":"01-10","title":"Adoption of mobile devices/services - Searching for answers with the UTAUT","type":"paper-conference","volume":"6"},"uris":["http://www.mendeley.com/documents/?uuid=854dc9d1-d355-490c-bec9-916e0179c72b","http://www.mendeley.com/documents/?uuid=6f18e389-f92c-4418-b756-03c9f264b96b"]},{"id":"ITEM-2","itemData":{"DOI":"10.1108/IJILT-05-2018-0045","ISSN":"2056-4880","abstract":"Purpose Understanding the main determinants of internet banking is important for banks and users. Although several prior research projects have focused on the factors that impact on adoption of technology, there is a limited empirical work which simultaneously captures technology-specific factors (PE, EE, WD, GAM) and customer-specific factors (GSC, INTRC) that help customers to adopt internet banking. Thus, the purpose of this paper is to verify how these factors influence individual behavior and motivate them to adopt new technology. The authors advance the body of knowledge on this subject by proposing moderating relationship of gamification between user's intention to adopt and intention to recommend internet banking in social network. Design/methodology/approach To test the model the authors developed a quantitative study involving 398 internet users from five commercial banks. Data were collected in four weeks beginning of September 2017 from three large cities of Pakistan using convenience sampling approach. The theoretical model was tested using structural equation modeling (SEM). Findings The results indicate that intention to adopt internet banking is positively affected by performance expectancy, effort expectancy, website design, website characteristics and general self-confidence. Findings of SEM showed that approximately 72 percent of the variance in customer's intention to adopt internet banking was accounted by predictors. Moderating effect of gamification suggested that the positive relationship between customer's intention to adopt and customer's intention to recommend internet banking will be stronger when gamification is higher. Importance performance matrix analysis (IPMA) suggested that among all other variables general self-confidence is the most important construct as it has the highest importance value in IPM.","author":[{"dropping-particle":"","family":"Rahi","given":"Samar","non-dropping-particle":"","parse-names":false,"suffix":""},{"dropping-particle":"","family":"Abd. Ghani","given":"Mazuri","non-dropping-particle":"","parse-names":false,"suffix":""}],"container-title":"International Journal of Information and Learning Technology","id":"ITEM-2","issue":"1","issued":{"date-parts":[["2019","1","7"]]},"page":"2-20","title":"Does gamified elements influence on user’s intention to adopt and intention to recommend internet banking?","type":"article-journal","volume":"36"},"uris":["http://www.mendeley.com/documents/?uuid=084e561a-21be-464b-9722-d5e6d9d3e75b"]}],"mendeley":{"formattedCitation":"(Carlsson, Carlsson, Hyvönen, Puhakainen, &amp; Walden, 2006; Rahi &amp; Abd. Ghani, 2019)","plainTextFormattedCitation":"(Carlsson, Carlsson, Hyvönen, Puhakainen, &amp; Walden, 2006; Rahi &amp; Abd. Ghani, 2019)","previouslyFormattedCitation":"(Carlsson, Carlsson, Hyvönen, Puhakainen, &amp; Walden, 2006; Rahi &amp; Abd. Ghani, 2019)"},"properties":{"noteIndex":0},"schema":"https://github.com/citation-style-language/schema/raw/master/csl-citation.json"}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(Carlsson, Carlsson, Hyvönen, Puhakainen, &amp; Walden, 2006; Rahi &amp; Abd. Ghani, 2019)</w:t>
      </w:r>
      <w:r w:rsidRPr="0056686A">
        <w:rPr>
          <w:rFonts w:ascii="Times New Roman" w:hAnsi="Times New Roman" w:cs="Times New Roman"/>
        </w:rPr>
        <w:fldChar w:fldCharType="end"/>
      </w:r>
      <w:r w:rsidRPr="0056686A">
        <w:rPr>
          <w:rFonts w:ascii="Times New Roman" w:hAnsi="Times New Roman" w:cs="Times New Roman"/>
          <w:bCs/>
        </w:rPr>
        <w:t>.</w:t>
      </w:r>
    </w:p>
    <w:p w14:paraId="46E1499D" w14:textId="5CB46F05" w:rsidR="0056686A" w:rsidRPr="0056686A" w:rsidRDefault="0056686A" w:rsidP="0056686A">
      <w:pPr>
        <w:rPr>
          <w:rFonts w:ascii="Times New Roman" w:hAnsi="Times New Roman" w:cs="Times New Roman"/>
          <w:bCs/>
        </w:rPr>
      </w:pPr>
      <w:r w:rsidRPr="0056686A">
        <w:rPr>
          <w:rFonts w:ascii="Times New Roman" w:hAnsi="Times New Roman" w:cs="Times New Roman"/>
          <w:bCs/>
        </w:rPr>
        <w:t xml:space="preserve">SI is the degree to which customers perceive that others (e.g., family and friends) believe they should use a specific technology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quarterly","id":"ITEM-1","issued":{"date-parts":[["2012"]]},"page":"157-178","title":"Consumer acceptance and use of information technology: Extending the unified theory of acceptance and use of technology","type":"article-journal","volume":"36"},"uris":["http://www.mendeley.com/documents/?uuid=47aaf082-83a2-46f0-b062-9c6987a306c3"]}],"mendeley":{"formattedCitation":"(Venkatesh et al., 2012)","plainTextFormattedCitation":"(Venkatesh et al., 2012)","previouslyFormattedCitation":"(Venkatesh et al., 2012)"},"properties":{"noteIndex":0},"schema":"https://github.com/citation-style-language/schema/raw/master/csl-citation.json"}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(Venkatesh et al., 2012)</w:t>
      </w:r>
      <w:r w:rsidRPr="0056686A">
        <w:rPr>
          <w:rFonts w:ascii="Times New Roman" w:hAnsi="Times New Roman" w:cs="Times New Roman"/>
        </w:rPr>
        <w:fldChar w:fldCharType="end"/>
      </w:r>
      <w:r w:rsidRPr="0056686A">
        <w:rPr>
          <w:rFonts w:ascii="Times New Roman" w:hAnsi="Times New Roman" w:cs="Times New Roman"/>
          <w:bCs/>
        </w:rPr>
        <w:t xml:space="preserve">. Indeed, SI and intention to use m-banking have a significant connection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{"citationItems":[{"id":"ITEM-1","itemData":{"DOI":"10.1177/0972150916666991","ISSN":"0972-1509","abstract":"The educated youth in India have adapted well to technology and technology-based solutions. Much of it has been attributed to the increased usage of computers, Internet and the smartphones among the educated youth in India. It becomes a useful and important exercise, therefore, to study their attitude towards new technology-based products and services in view of the fact that this segment has a requirement for utilizing banking services for at least the next 30 years. Banking has been one industry which has been in the forefront in offering technology-based delivery channels like ATM, Internet banking and mobile banking. This article studies the underlying factors influencing management students in their intention to use mobile banking. The study utilizes two constructs of the technology adoption model and then extends it further to include two additional constructs. The results suggest that perceived usefulness and perceived ease of use, social influence and trust propensity are the underlying factors in...","author":[{"dropping-particle":"","family":"Kumar","given":"V.V. Ravi","non-dropping-particle":"","parse-names":false,"suffix":""},{"dropping-particle":"","family":"Lall","given":"Anurag","non-dropping-particle":"","parse-names":false,"suffix":""},{"dropping-particle":"","family":"Mane","given":"Tanmay","non-dropping-particle":"","parse-names":false,"suffix":""}],"container-title":"Global Business Review","id":"ITEM-1","issue":"1","issued":{"date-parts":[["2017","2"]]},"page":"238-249","publisher":"SAGE PublicationsSage India: New Delhi, India","title":"Extending the TAM Model: Intention of Management Students to Use Mobile Banking: Evidence from India","type":"article-journal","volume":"18"},"uris":["http://www.mendeley.com/documents/?uuid=cd6cccd4-9d76-48cb-ad98-92e397eb4007"]}],"mendeley":{"formattedCitation":"(Kumar, Lall, &amp; Mane, 2017)","plainTextFormattedCitation":"(Kumar, Lall, &amp; Mane, 2017)","previouslyFormattedCitation":"(Kumar, Lall, &amp; Mane, 2017)"},"properties":{"noteIndex":0},"schema":"https://github.com/citation-style-language/schema/raw/master/csl-citation.json"}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(Kumar, Lall, &amp; Mane, 2017)</w:t>
      </w:r>
      <w:r w:rsidRPr="0056686A">
        <w:rPr>
          <w:rFonts w:ascii="Times New Roman" w:hAnsi="Times New Roman" w:cs="Times New Roman"/>
        </w:rPr>
        <w:fldChar w:fldCharType="end"/>
      </w:r>
      <w:r w:rsidRPr="0056686A">
        <w:rPr>
          <w:rFonts w:ascii="Times New Roman" w:hAnsi="Times New Roman" w:cs="Times New Roman"/>
          <w:bCs/>
        </w:rPr>
        <w:t xml:space="preserve">. FC is explained as the extent to which a person is certain that an organizational and technical infrastructure is available to support the use of the system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{"citationItems":[{"id":"ITEM-1","itemData":{"DOI":"10.2307/30036540","abstract":"Information technology (IT) acceptance research has yielded many competing models, each with different sets of acceptance determinants. In this paper, we (1) review user acceptance literature and discuss eight prominent models, (2) empirically compare the eight models and their extensions, (3) formulate a unified model that integrates elements across the eight models, and (4) empirically validate the unified model. The eight models reviewed are the theory of reasoned action, the technology acceptance model, the motivational model, the theory of planned behavior, a model combining the technology acceptance model and the theory of planned behavior, the model of PC utilization, the innovation diffusion theory, and the social cognitive theory. Using data from four organizations over a six-month period with three points of measurement, the eight models explained between 17 percent and 53 percent of the variance in user intentions to use information technology. Next, a unified model, called the Unified Theory of Acceptance and Use of Technology (UTAUT), was formulated, with four core determinants of intention and usage, and up to four moderators of key relationships. UTAUT was then tested using the original data and found to outperform the eight individual models (adjusted R of 69 percent). UTAUT was then confirmed with data from two new organizations with similar results (adjusted R of 70 percent). UTAUT thus provides a useful tool for managers needing to assess the likelihood of success for new technology introductions and helps them understand the drivers of acceptance in order to proactively design interventions (including training, marketing, etc.) targeted at populations of users that may be less inclined to adopt and use new systems. The paper also makes several recommendations for future research including developing a deeper understanding of the dynamic influences studied here, refining measurement of the core constructs used in UTAUT, and understanding the organizational outcomes associated with new technology use.","author":[{"dropping-particle":"","family":"Venkatesh","given":"Viswanath","non-dropping-particle":"","parse-names":false,"suffix":""},{"dropping-particle":"","family":"Morris","given":"Michael G.","non-dropping-particle":"","parse-names":false,"suffix":""},{"dropping-particle":"","family":"Davis","given":"Gordon B.","non-dropping-particle":"","parse-names":false,"suffix":""},{"dropping-particle":"","family":"Davis","given":"Fred D.","non-dropping-particle":"","parse-names":false,"suffix":""}],"container-title":"MIS Quarterly","id":"ITEM-1","issue":"3","issued":{"date-parts":[["2003"]]},"page":"425","publisher":"Management Information Systems Research Center, University of Minnesota","title":"User Acceptance of Information Technology: Toward a Unified View","type":"article-journal","volume":"27"},"uris":["http://www.mendeley.com/documents/?uuid=07f868c3-3adf-4f1e-91bf-d93a91d07210"]}],"mendeley":{"formattedCitation":"(Venkatesh et al., 2003)","plainTextFormattedCitation":"(Venkatesh et al., 2003)","previouslyFormattedCitation":"(Venkatesh et al., 2003)"},"properties":{"noteIndex":0},"schema":"https://github.com/citation-style-language/schema/raw/master/csl-citation.json"}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(Venkatesh et al., 2003)</w:t>
      </w:r>
      <w:r w:rsidRPr="0056686A">
        <w:rPr>
          <w:rFonts w:ascii="Times New Roman" w:hAnsi="Times New Roman" w:cs="Times New Roman"/>
        </w:rPr>
        <w:fldChar w:fldCharType="end"/>
      </w:r>
      <w:r w:rsidRPr="0056686A">
        <w:rPr>
          <w:rFonts w:ascii="Times New Roman" w:hAnsi="Times New Roman" w:cs="Times New Roman"/>
          <w:bCs/>
        </w:rPr>
        <w:t xml:space="preserve">. On the other hand, m-banking usage requires a specific kind of skill and resources support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{"citationItems":[{"id":"ITEM-1","itemData":{"DOI":"10.1057/fsm.2015.5","abstract":"Despite the rapid growth of Internet banking (IB), customers in developing countries still hesitate to adopt this technology and its use in the Middle East remains low. This study aims to identify and examine the factors that predict behavioural intention and adoption of IB in Jordan. Four factors – hedonic motivation, habit, self-efficacy and trust – are proposed in a conceptual model. Data was collected by means of a survey with bank customers in Jordan. Structural equation modelling (SEM) was used to analyse the data. The results strongly supported the conceptual model. Further, hedonic motivation, habit, self-efficacy and trust were all confirmed to have a significant influence on behavioural intention. Trust was found to be strongly predicted by both hedonic motivation and self-efficacy. This study provides both academics and practitioners with an insight into the factors that can be used to encourage customer adoption of IB specifically in a Middle East context.","author":[{"dropping-particle":"","family":"Alalwan","given":"Ali A","non-dropping-particle":"","parse-names":false,"suffix":""},{"dropping-particle":"","family":"Dwivedi","given":"Yogesh K","non-dropping-particle":"","parse-names":false,"suffix":""},{"dropping-particle":"","family":"Rana","given":"Nripendra P","non-dropping-particle":"","parse-names":false,"suffix":""},{"dropping-particle":"","family":"Lal","given":"Banita","non-dropping-particle":"","parse-names":false,"suffix":""},{"dropping-particle":"","family":"Williams","given":"Michael D","non-dropping-particle":"","parse-names":false,"suffix":""}],"container-title":"Journal of Financial Services Marketing","id":"ITEM-1","issue":"2","issued":{"date-parts":[["2015","6"]]},"page":"145-157","publisher":"Palgrave Macmillan UK","title":"Consumer adoption of Internet banking in Jordan: Examining the role of hedonic motivation, habit, self-efficacy and trust","type":"article-journal","volume":"20"},"uris":["http://www.mendeley.com/documents/?uuid=517857dd-105b-4e67-8fa7-a2ada2efee55"]}],"mendeley":{"formattedCitation":"(Alalwan et al., 2015)","plainTextFormattedCitation":"(Alalwan et al., 2015)","previouslyFormattedCitation":"(Alalwan et al., 2015)"},"properties":{"noteIndex":0},"schema":"https://github.com/citation-style-language/schema/raw/master/csl-citation.json"}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(Alalwan et al., 2015)</w:t>
      </w:r>
      <w:r w:rsidRPr="0056686A">
        <w:rPr>
          <w:rFonts w:ascii="Times New Roman" w:hAnsi="Times New Roman" w:cs="Times New Roman"/>
        </w:rPr>
        <w:fldChar w:fldCharType="end"/>
      </w:r>
      <w:r w:rsidRPr="0056686A">
        <w:rPr>
          <w:rFonts w:ascii="Times New Roman" w:hAnsi="Times New Roman" w:cs="Times New Roman"/>
          <w:bCs/>
        </w:rPr>
        <w:t xml:space="preserve">. FC has a significant effect on user adoption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{"citationItems":[{"id":"ITEM-1","itemData":{"DOI":"10.1016/J.CHB.2010.01.013","ISSN":"0747-5632","abstract":"Due to its advantages such as ubiquity and immediacy, mobile banking has attracted traditional banks’ interests. However, a survey report showed that user adoption of mobile banking was much lower than that of other mobile services. The extant research focuses on explaining user adoption from technology perceptions such as perceived usefulness, perceived ease of use, interactivity, and relative advantage. However, users’ adoption is determined not only by their perception of the technology but also by the task technology fit. In other words, even though a technology may be perceived as being advanced, if it does not fit users’ task requirements, they may not adopt it. By integrating the task technology fit (TTF) model and the unified theory of acceptance and usage of technology (UTAUT), this research proposes a mobile banking user adoption model. We found that performance expectancy, task technology fit, social influence, and facilitating conditions have significant effects on user adoption. In addition, we also found a significant effect of task technology fit on performance expectancy.","author":[{"dropping-particle":"","family":"Zhou","given":"Tao","non-dropping-particle":"","parse-names":false,"suffix":""},{"dropping-particle":"","family":"Lu","given":"Yaobin","non-dropping-particle":"","parse-names":false,"suffix":""},{"dropping-particle":"","family":"Wang","given":"Bin","non-dropping-particle":"","parse-names":false,"suffix":""}],"container-title":"Computers in Human Behavior","id":"ITEM-1","issue":"4","issued":{"date-parts":[["2010","7"]]},"page":"760-767","publisher":"Pergamon","title":"Integrating TTF and UTAUT to explain mobile banking user adoption","type":"article-journal","volume":"26"},"uris":["http://www.mendeley.com/documents/?uuid=94820fb1-4f17-465b-9e51-ebde0b7dc285"]}],"mendeley":{"formattedCitation":"(Zhou et al., 2010)","plainTextFormattedCitation":"(Zhou et al., 2010)","previouslyFormattedCitation":"(Zhou et al., 2010)"},"properties":{"noteIndex":0},"schema":"https://github.com/citation-style-language/schema/raw/master/csl-citation.json"}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(Zhou et al., 2010)</w:t>
      </w:r>
      <w:r w:rsidRPr="0056686A">
        <w:rPr>
          <w:rFonts w:ascii="Times New Roman" w:hAnsi="Times New Roman" w:cs="Times New Roman"/>
        </w:rPr>
        <w:fldChar w:fldCharType="end"/>
      </w:r>
      <w:r w:rsidRPr="0056686A">
        <w:rPr>
          <w:rFonts w:ascii="Times New Roman" w:hAnsi="Times New Roman" w:cs="Times New Roman"/>
          <w:bCs/>
        </w:rPr>
        <w:t xml:space="preserve">. Habit is defined as the degree to which people incline to perform behaviours repeatedly because of learning, it reflects that it is about regular, and automaticity and it is essential to understand the habit to improve the use of technology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10.1002/fut.10029","ISBN":"9781617619809","author":[{"dropping-particle":"","family":"Limayem","given":"M.","non-dropping-particle":"","parse-names":false,"suffix":""},{"dropping-particle":"","family":"Hirt","given":"S.G.","non-dropping-particle":"","parse-names":false,"suffix":""},{"dropping-particle":"","family":"Cheung","given":"C.M.K.","non-dropping-particle":"","parse-names":false,"suffix":""}],"container-title":"MIS Quarterly","id":"ITEM-1","issue":"4","issued":{"date-parts":[["2007"]]},"page":"705-737/","title":"How habit limits the predictive power of Intention","type":"article-journal","volume":"31"},"uris":["http://www.mendeley.com/documents/?uuid=28e55136-425a-4255-8258-1d0261967147","http://www.mendeley.com/documents/?uuid=1f362152-0d92-4b0f-8ba2-4192aef855da"]}],"mendeley":{"formattedCitation":"(Limayem et al., 2007)","plainTextFormattedCitation":"(Limayem et al., 2007)","previouslyFormattedCitation":"(Limayem et al., 2007)"},"properties":{"noteIndex":0},"schema":"https://github.com/citation-style-language/schema/raw/master/csl-citation.json"}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(Limayem et al., 2007)</w:t>
      </w:r>
      <w:r w:rsidRPr="0056686A">
        <w:rPr>
          <w:rFonts w:ascii="Times New Roman" w:hAnsi="Times New Roman" w:cs="Times New Roman"/>
        </w:rPr>
        <w:fldChar w:fldCharType="end"/>
      </w:r>
      <w:r w:rsidRPr="0056686A">
        <w:rPr>
          <w:rFonts w:ascii="Times New Roman" w:hAnsi="Times New Roman" w:cs="Times New Roman"/>
          <w:bCs/>
        </w:rPr>
        <w:t xml:space="preserve">. Because of its convenience and easy adaptability and its repeated use makes consumers addictive and gradually m-banking can become people’s habit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{"citationItems":[{"id":"ITEM-1","itemData":{"abstract":"The main factors that influence the mobile banking’ s promotion are specifically analyzed based on the three-factor theory, namely the external environmental factors, internal factors of consumers and marketing factors. It can come to a conclusion that culture, perception of risk, marketing factors are the three main factors that affect mobile banking’ s marketing. Then the effective countermeasures are put forward as well in the paper","author":[{"dropping-particle":"","family":"Huili","given":"YAO","non-dropping-particle":"","parse-names":false,"suffix":""},{"dropping-particle":"","family":"Chunfang","given":"ZHONG","non-dropping-particle":"","parse-names":false,"suffix":""}],"container-title":"Canadian Journal of Social Science","id":"ITEM-1","issue":"2","issued":{"date-parts":[["2011"]]},"page":"60-63","title":"The analysis of influencing factors and promotion strategy for the use of mobile banking","type":"article-journal","volume":"7"},"uris":["http://www.mendeley.com/documents/?uuid=2fac40b7-e223-404b-9787-3a71d3cb37fb","http://www.mendeley.com/documents/?uuid=61861420-0ccc-400b-9e5a-92e0bddf0665"]}],"mendeley":{"formattedCitation":"(Huili &amp; Chunfang, 2011)","plainTextFormattedCitation":"(Huili &amp; Chunfang, 2011)","previouslyFormattedCitation":"(Huili &amp; Chunfang, 2011)"},"properties":{"noteIndex":0},"schema":"https://github.com/citation-style-language/schema/raw/master/csl-citation.json"}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(Huili &amp; Chunfang, 2011)</w:t>
      </w:r>
      <w:r w:rsidRPr="0056686A">
        <w:rPr>
          <w:rFonts w:ascii="Times New Roman" w:hAnsi="Times New Roman" w:cs="Times New Roman"/>
        </w:rPr>
        <w:fldChar w:fldCharType="end"/>
      </w:r>
      <w:r w:rsidRPr="0056686A">
        <w:rPr>
          <w:rFonts w:ascii="Times New Roman" w:hAnsi="Times New Roman" w:cs="Times New Roman"/>
          <w:bCs/>
        </w:rPr>
        <w:t xml:space="preserve">. HM is the amusing or pleasure resultant from using technology, and it has been displayed to play a significant role in shaping technology acceptance and usage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{"citationItems":[{"id":"ITEM-1","itemData":{"DOI":"10.2307/25148690","ISSN":"02767783","abstract":"Individual adoption of technology has been studied extensively in the workplace. Far less attention has been paid to adoption of technology in the household. In this paper, we performed the first quantitative test of the recently developed model of adoption of technology in households (MATH). Further, we proposed and tested a theoretical extension of MATH by arguing that key demographic characteristics that vary across different life cycle stages would play moderating roles. Survey responses were collected from 746 U.S. households that had not yet adopted a personal computer. The results showed that the integrated model, including MATH constructs and life cycle characteristics, explained 74 percent of the variance in intention to adopt a PC for home use, a significant increase over baseline MATH that explained 50 percent of the variance. Finally, we compared the importance of various factors across household life cycle stages and gained a more refined understanding of the moderating role of household life cycle stage.","author":[{"dropping-particle":"","family":"Brown","given":"Susan A.","non-dropping-particle":"","parse-names":false,"suffix":""},{"dropping-particle":"","family":"Venkatesh","given":"Viswanath","non-dropping-particle":"","parse-names":false,"suffix":""}],"container-title":"MIS Quarterly: Management Information Systems","id":"ITEM-1","issue":"3","issued":{"date-parts":[["2005"]]},"page":"399-426","title":"Model of adoption of technology in households: A baseline model test and extension incorporating household life cycle","type":"article-journal","volume":"29"},"uris":["http://www.mendeley.com/documents/?uuid=8522c1a8-0788-4e5c-98b1-868a08deb12d","http://www.mendeley.com/documents/?uuid=e11c34e2-49b3-4b04-9ee4-8e5ca65cf389"]},{"id":"ITEM-2","itemData":{"abstract":"This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quarterly","id":"ITEM-2","issued":{"date-parts":[["2012"]]},"page":"157-178","title":"Consumer acceptance and use of information technology: Extending the unified theory of acceptance and use of technology","type":"article-journal","volume":"36"},"uris":["http://www.mendeley.com/documents/?uuid=47aaf082-83a2-46f0-b062-9c6987a306c3"]}],"mendeley":{"formattedCitation":"(Brown &amp; Venkatesh, 2005; Venkatesh et al., 2012)","plainTextFormattedCitation":"(Brown &amp; Venkatesh, 2005; Venkatesh et al., 2012)","previouslyFormattedCitation":"(Brown &amp; Venkatesh, 2005; Venkatesh et al., 2012)"},"properties":{"noteIndex":0},"schema":"https://github.com/citation-style-language/schema/raw/master/csl-citation.json"}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(Brown &amp; Venkatesh, 2005; Venkatesh et al., 2012)</w:t>
      </w:r>
      <w:r w:rsidRPr="0056686A">
        <w:rPr>
          <w:rFonts w:ascii="Times New Roman" w:hAnsi="Times New Roman" w:cs="Times New Roman"/>
        </w:rPr>
        <w:fldChar w:fldCharType="end"/>
      </w:r>
      <w:r w:rsidRPr="0056686A">
        <w:rPr>
          <w:rFonts w:ascii="Times New Roman" w:hAnsi="Times New Roman" w:cs="Times New Roman"/>
          <w:bCs/>
        </w:rPr>
        <w:t xml:space="preserve">. </w:t>
      </w:r>
      <w:r w:rsidRPr="0056686A">
        <w:rPr>
          <w:rFonts w:ascii="Times New Roman" w:hAnsi="Times New Roman" w:cs="Times New Roman"/>
          <w:bCs/>
        </w:rPr>
        <w:lastRenderedPageBreak/>
        <w:t xml:space="preserve">According to Alalwan et al. </w:t>
      </w:r>
      <w:r w:rsidRPr="0056686A">
        <w:rPr>
          <w:rFonts w:ascii="Times New Roman" w:hAnsi="Times New Roman" w:cs="Times New Roman"/>
          <w:bCs/>
        </w:rPr>
        <w:fldChar w:fldCharType="begin" w:fldLock="1"/>
      </w:r>
      <w:r w:rsidRPr="0056686A">
        <w:rPr>
          <w:rFonts w:ascii="Times New Roman" w:hAnsi="Times New Roman" w:cs="Times New Roman"/>
          <w:bCs/>
        </w:rPr>
        <w:instrText>ADDIN CSL_CITATION {"citationItems":[{"id":"ITEM-1","itemData":{"DOI":"10.1057/fsm.2015.5","abstract":"Despite the rapid growth of Internet banking (IB), customers in developing countries still hesitate to adopt this technology and its use in the Middle East remains low. This study aims to identify and examine the factors that predict behavioural intention and adoption of IB in Jordan. Four factors – hedonic motivation, habit, self-efficacy and trust – are proposed in a conceptual model. Data was collected by means of a survey with bank customers in Jordan. Structural equation modelling (SEM) was used to analyse the data. The results strongly supported the conceptual model. Further, hedonic motivation, habit, self-efficacy and trust were all confirmed to have a significant influence on behavioural intention. Trust was found to be strongly predicted by both hedonic motivation and self-efficacy. This study provides both academics and practitioners with an insight into the factors that can be used to encourage customer adoption of IB specifically in a Middle East context.","author":[{"dropping-particle":"","family":"Alalwan","given":"Ali A","non-dropping-particle":"","parse-names":false,"suffix":""},{"dropping-particle":"","family":"Dwivedi","given":"Yogesh K","non-dropping-particle":"","parse-names":false,"suffix":""},{"dropping-particle":"","family":"Rana","given":"Nripendra P","non-dropping-particle":"","parse-names":false,"suffix":""},{"dropping-particle":"","family":"Lal","given":"Banita","non-dropping-particle":"","parse-names":false,"suffix":""},{"dropping-particle":"","family":"Williams","given":"Michael D","non-dropping-particle":"","parse-names":false,"suffix":""}],"container-title":"Journal of Financial Services Marketing","id":"ITEM-1","issue":"2","issued":{"date-parts":[["2015","6"]]},"page":"145-157","publisher":"Palgrave Macmillan UK","title":"Consumer adoption of Internet banking in Jordan: Examining the role of hedonic motivation, habit, self-efficacy and trust","type":"article-journal","volume":"20"},"suppress-author":1,"uris":["http://www.mendeley.com/documents/?uuid=517857dd-105b-4e67-8fa7-a2ada2efee55"]}],"mendeley":{"formattedCitation":"(2015)","plainTextFormattedCitation":"(2015)","previouslyFormattedCitation":"(2015)"},"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(2015)</w:t>
      </w:r>
      <w:r w:rsidRPr="0056686A">
        <w:rPr>
          <w:rFonts w:ascii="Times New Roman" w:hAnsi="Times New Roman" w:cs="Times New Roman"/>
        </w:rPr>
        <w:fldChar w:fldCharType="end"/>
      </w:r>
      <w:r w:rsidRPr="0056686A">
        <w:rPr>
          <w:rFonts w:ascii="Times New Roman" w:hAnsi="Times New Roman" w:cs="Times New Roman"/>
          <w:bCs/>
        </w:rPr>
        <w:t xml:space="preserve">, Internet banking adoption among consumers may increase if they perceive Internet banking as entertaining, pleasurable and enjoyable and the results of the study indicated that HM has a significant influence on BI. HM and HB have a positive effect on BI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{"citationItems":[{"id":"ITEM-1","itemData":{"DOI":"10.1057/fsm.2015.5","abstract":"Despite the rapid growth of Internet banking (IB), customers in developing countries still hesitate to adopt this technology and its use in the Middle East remains low. This study aims to identify and examine the factors that predict behavioural intention and adoption of IB in Jordan. Four factors – hedonic motivation, habit, self-efficacy and trust – are proposed in a conceptual model. Data was collected by means of a survey with bank customers in Jordan. Structural equation modelling (SEM) was used to analyse the data. The results strongly supported the conceptual model. Further, hedonic motivation, habit, self-efficacy and trust were all confirmed to have a significant influence on behavioural intention. Trust was found to be strongly predicted by both hedonic motivation and self-efficacy. This study provides both academics and practitioners with an insight into the factors that can be used to encourage customer adoption of IB specifically in a Middle East context.","author":[{"dropping-particle":"","family":"Alalwan","given":"Ali A","non-dropping-particle":"","parse-names":false,"suffix":""},{"dropping-particle":"","family":"Dwivedi","given":"Yogesh K","non-dropping-particle":"","parse-names":false,"suffix":""},{"dropping-particle":"","family":"Rana","given":"Nripendra P","non-dropping-particle":"","parse-names":false,"suffix":""},{"dropping-particle":"","family":"Lal","given":"Banita","non-dropping-particle":"","parse-names":false,"suffix":""},{"dropping-particle":"","family":"Williams","given":"Michael D","non-dropping-particle":"","parse-names":false,"suffix":""}],"container-title":"Journal of Financial Services Marketing","id":"ITEM-1","issue":"2","issued":{"date-parts":[["2015","6"]]},"page":"145-157","publisher":"Palgrave Macmillan UK","title":"Consumer adoption of Internet banking in Jordan: Examining the role of hedonic motivation, habit, self-efficacy and trust","type":"article-journal","volume":"20"},"uris":["http://www.mendeley.com/documents/?uuid=517857dd-105b-4e67-8fa7-a2ada2efee55"]}],"mendeley":{"formattedCitation":"(Alalwan et al., 2015)","plainTextFormattedCitation":"(Alalwan et al., 2015)","previouslyFormattedCitation":"(Alalwan et al., 2015)"},"properties":{"noteIndex":0},"schema":"https://github.com/citation-style-language/schema/raw/master/csl-citation.json"}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(Alalwan et al., 2015)</w:t>
      </w:r>
      <w:r w:rsidRPr="0056686A">
        <w:rPr>
          <w:rFonts w:ascii="Times New Roman" w:hAnsi="Times New Roman" w:cs="Times New Roman"/>
        </w:rPr>
        <w:fldChar w:fldCharType="end"/>
      </w:r>
      <w:r w:rsidRPr="0056686A">
        <w:rPr>
          <w:rFonts w:ascii="Times New Roman" w:hAnsi="Times New Roman" w:cs="Times New Roman"/>
          <w:bCs/>
        </w:rPr>
        <w:t xml:space="preserve">. </w:t>
      </w:r>
    </w:p>
    <w:p w14:paraId="4BD1F037" w14:textId="6610D1F2" w:rsidR="0056686A" w:rsidRPr="0056686A" w:rsidRDefault="0056686A" w:rsidP="0056686A">
      <w:pPr>
        <w:rPr>
          <w:rFonts w:ascii="Times New Roman" w:hAnsi="Times New Roman" w:cs="Times New Roman"/>
          <w:bCs/>
        </w:rPr>
      </w:pPr>
      <w:r w:rsidRPr="0056686A">
        <w:rPr>
          <w:rFonts w:ascii="Times New Roman" w:hAnsi="Times New Roman" w:cs="Times New Roman"/>
          <w:bCs/>
        </w:rPr>
        <w:t xml:space="preserve">The term gamification (GM) was originated in the digital media industry. Its application is widespread and is used by various service providers to engage users and enhance participation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{"citationItems":[{"id":"ITEM-1","itemData":{"ISBN":"9781450308168","ISSN":"0022-5347","abstract":"Recent years have seen a rapid proliferation of mass-market consumer software that takes inspiration from video games. Usually summarized as “gamification”, this trend connects to a sizeable body of existing concepts and research in human- computer interaction and game studies, such as serious games, pervasive games, alternate reality games, or playful design. However, it is not clear how “gamification” relates to these, whether it denotes a novel phenomenon, and how to define it. Thus, in this paper we investigate “gamification” and the historical origins of the term in relation to precursors and similar concepts. It is suggested that “gamified” applications provide insight into novel, gameful phenomena complementary to playful phenomena. Based on our research, we propose a definition of “gamification” as the use of game design elements in non-game contexts.","author":[{"dropping-particle":"","family":"Deterding","given":"Sebastian","non-dropping-particle":"","parse-names":false,"suffix":""},{"dropping-particle":"","family":"Dixon","given":"Dan","non-dropping-particle":"","parse-names":false,"suffix":""},{"dropping-particle":"","family":"Khaled","given":"Rilla","non-dropping-particle":"","parse-names":false,"suffix":""},{"dropping-particle":"","family":"Nacke","given":"Lennart","non-dropping-particle":"","parse-names":false,"suffix":""}],"container-title":"MindTrek '11: Proceedings of the 15th International Academic MindTrek Conference: Envisioning Future Media Environments","id":"ITEM-1","issue":"6","issued":{"date-parts":[["2011"]]},"page":"09-15","title":"From Game Design Elements to Gamefulness: Defining “Gamification”","type":"paper-conference","volume":"185"},"uris":["http://www.mendeley.com/documents/?uuid=91d417d2-56ac-4c3a-bc2c-9df166f8a82c","http://www.mendeley.com/documents/?uuid=01d2c8e8-ed4e-423a-b4c8-185f11fa02a8"]}],"mendeley":{"formattedCitation":"(Deterding, Dixon, Khaled, &amp; Nacke, 2011)","plainTextFormattedCitation":"(Deterding, Dixon, Khaled, &amp; Nacke, 2011)","previouslyFormattedCitation":"(Deterding, Dixon, Khaled, &amp; Nacke, 2011)"},"properties":{"noteIndex":0},"schema":"https://github.com/citation-style-language/schema/raw/master/csl-citation.json"}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(Deterding, Dixon, Khaled, &amp; Nacke, 2011)</w:t>
      </w:r>
      <w:r w:rsidRPr="0056686A">
        <w:rPr>
          <w:rFonts w:ascii="Times New Roman" w:hAnsi="Times New Roman" w:cs="Times New Roman"/>
        </w:rPr>
        <w:fldChar w:fldCharType="end"/>
      </w:r>
      <w:r w:rsidRPr="0056686A">
        <w:rPr>
          <w:rFonts w:ascii="Times New Roman" w:hAnsi="Times New Roman" w:cs="Times New Roman"/>
          <w:bCs/>
        </w:rPr>
        <w:t xml:space="preserve">. GM is the process of game-thinking and game mechanics to engage users and solve problems. It is about consumers’ engagement, attracting through fun filed activities and motivate towards a specific behaviour change. GM is acknowledged as a vital set of activities concerning engagement and motivation. A study found that GM has a positive impact on BI. This reveals the importance that the usage of game mechanics and game design techniques can influence the m-banking usage intention, direct and strong association between gamification and intention towards usage of m-banking services were traced from the evidences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{"citationItems":[{"id":"ITEM-1","itemData":{"DOI":"10.1108/IntR-10-2015-0295","ISSN":"1066-2243","abstract":"Purpose The purpose of this paper is to identify the potential impact of the utilization of game mechanics and game design techniques in the acceptance of mobile banking services. Design/methodology/approach The theoretical model was tested in a quantitative study using structural equation modelling, conducted in Brazil, with actual local banking customers. Findings The findings show that there is a direct and strong relationship between gamification and intention to use mobile banking services, supporting that, when used and designed properly, gamification can help make banking activities more exciting, more interesting and more enjoyable, and in turn increase customer acceptance, engagement and satisfaction. Research limitations/implications The research extends the unified theory of acceptance and use of technology (UTAUT2), and prior research to include gamification impact. The result is a more descriptive model that better explains consumers’ decision to use mobile banking services. Practical implica...","author":[{"dropping-particle":"","family":"Baptista","given":"Goncalo","non-dropping-particle":"","parse-names":false,"suffix":""},{"dropping-particle":"","family":"Oliveira","given":"Tiago","non-dropping-particle":"","parse-names":false,"suffix":""}],"container-title":"Internet Research","id":"ITEM-1","issue":"1","issued":{"date-parts":[["2017","2"]]},"page":"118-139","publisher":"Emerald Publishing Limited","title":"Why so serious? Gamification impact in the acceptance of mobile banking services","type":"article-journal","volume":"27"},"uris":["http://www.mendeley.com/documents/?uuid=0b3f374e-8b77-42e6-bc77-b7919247f6cf"]}],"mendeley":{"formattedCitation":"(Baptista &amp; Oliveira, 2017)","plainTextFormattedCitation":"(Baptista &amp; Oliveira, 2017)","previouslyFormattedCitation":"(Baptista &amp; Oliveira, 2017)"},"properties":{"noteIndex":0},"schema":"https://github.com/citation-style-language/schema/raw/master/csl-citation.json"}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(Baptista &amp; Oliveira, 2017)</w:t>
      </w:r>
      <w:r w:rsidRPr="0056686A">
        <w:rPr>
          <w:rFonts w:ascii="Times New Roman" w:hAnsi="Times New Roman" w:cs="Times New Roman"/>
        </w:rPr>
        <w:fldChar w:fldCharType="end"/>
      </w:r>
      <w:r w:rsidRPr="0056686A">
        <w:rPr>
          <w:rFonts w:ascii="Times New Roman" w:hAnsi="Times New Roman" w:cs="Times New Roman"/>
          <w:bCs/>
        </w:rPr>
        <w:t xml:space="preserve">. </w:t>
      </w:r>
    </w:p>
    <w:p w14:paraId="4FF94233" w14:textId="77777777" w:rsidR="0056686A" w:rsidRPr="0056686A" w:rsidRDefault="0056686A" w:rsidP="0056686A">
      <w:pPr>
        <w:rPr>
          <w:rFonts w:ascii="Times New Roman" w:hAnsi="Times New Roman" w:cs="Times New Roman"/>
          <w:bCs/>
        </w:rPr>
      </w:pPr>
      <w:r w:rsidRPr="0056686A">
        <w:rPr>
          <w:rFonts w:ascii="Times New Roman" w:hAnsi="Times New Roman" w:cs="Times New Roman"/>
          <w:b/>
          <w:bCs/>
        </w:rPr>
        <w:t>H2:</w:t>
      </w:r>
      <w:r w:rsidRPr="0056686A">
        <w:rPr>
          <w:rFonts w:ascii="Times New Roman" w:hAnsi="Times New Roman" w:cs="Times New Roman"/>
          <w:bCs/>
        </w:rPr>
        <w:t xml:space="preserve"> BI is positively influenced by PE (H2a), EE (H2b), SI (H2c), FC (H2d), HB (H2e), HM (H2f), and GM (H2g).</w:t>
      </w:r>
    </w:p>
    <w:p w14:paraId="286D7EA9" w14:textId="3ADFAAE4" w:rsidR="0056686A" w:rsidRPr="0056686A" w:rsidRDefault="0056686A" w:rsidP="0056686A">
      <w:pPr>
        <w:rPr>
          <w:rFonts w:ascii="Times New Roman" w:hAnsi="Times New Roman" w:cs="Times New Roman"/>
          <w:bCs/>
        </w:rPr>
      </w:pPr>
      <w:r w:rsidRPr="0056686A">
        <w:rPr>
          <w:rFonts w:ascii="Times New Roman" w:hAnsi="Times New Roman" w:cs="Times New Roman"/>
          <w:bCs/>
        </w:rPr>
        <w:t xml:space="preserve">The third block of hypothesis consists of factors affecting gamification. Scholars have revealed that social factors are a strong determinant of user intentions towards gamified services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{"citationItems":[{"id":"ITEM-1","itemData":{"DOI":"10.1016/j.chb.2015.04.018","ISSN":"07475632","abstract":"Today, people use a variety of social and gameful (mobile) applications in order to motivate themselves and others to maintain difficult habits such as exercise, sustainable consumption and healthy eating. However, we have yet lacked understanding of how social influence affects willingness to maintain these difficult habits with the help of gamification services. In order to investigate this phenomenon, we measured how social influence predicts attitudes, use and further exercise in the context of gamification of exercise. Our results show that people indeed do \"work out for likes\", or in other words, social influence, positive recognition and reciprocity have a positive impact on how much people are willing to exercise as well as their attitudes and willingness to use gamification services. Moreover, we found that the more friends a user has in the service, the larger the effects are. Furthermore, the findings of the empirical study further provide new understanding on the phenomenon of social influence in technology adoption/use continuance in general by showing, in addition to subjective norms, how getting recognized, receiving reciprocal benefits and network effects contribute to use continuance.","author":[{"dropping-particle":"","family":"Hamari","given":"Juho","non-dropping-particle":"","parse-names":false,"suffix":""},{"dropping-particle":"","family":"Koivisto","given":"Jonna","non-dropping-particle":"","parse-names":false,"suffix":""}],"container-title":"Computers in Human Behavior","id":"ITEM-1","issued":{"date-parts":[["2015"]]},"title":"\"Working out for likes\": An empirical study on social influence in exercise gamification","type":"article-journal"},"uris":["http://www.mendeley.com/documents/?uuid=e4c3f958-8fd6-33a7-9f84-9d6dff58be18"]},{"id":"ITEM-2","itemData":{"DOI":"10.4018/IJGBL.2019040101","ISSN":"21556857","abstract":"Gamification provides a practical approach to improving learning processes, especially the learner's motivation. However, little research has been conducted on student intentions to use gamification in higher education. Therefore, this study explored the gamification in higher educational courses by collecting surveys and discusses the factors influencing the acceptance of gamification in higher education. Based on the PLS-SEM results, students should take initial game-based learning content to be more familiar with gamification; furthermore, they could have a positive experience so that they would increase their intention. Performance expectancy is the most important factors influencing a student to accept gamification. Other factors, such as effort expectancy, social influence, facilitating conditions, involvement, skill, and control, are also important factors. With the results of this study, the instructor designer could have substantial help in planning the course content and enhance its efficiency and effectiveness.","author":[{"dropping-particle":"","family":"Chung","given":"Chih Hung","non-dropping-particle":"","parse-names":false,"suffix":""},{"dropping-particle":"","family":"Shen","given":"Chunyi","non-dropping-particle":"","parse-names":false,"suffix":""},{"dropping-particle":"","family":"Qiu","given":"Yu Zhen","non-dropping-particle":"","parse-names":false,"suffix":""}],"container-title":"International Journal of Game-Based Learning","id":"ITEM-2","issue":"2","issued":{"date-parts":[["2019"]]},"page":"1-19","title":"Students' acceptance of gamification in higher education","type":"article-journal","volume":"9"},"uris":["http://www.mendeley.com/documents/?uuid=44ff8579-e6f5-4a37-a9f4-9a271eda6538","http://www.mendeley.com/documents/?uuid=e2df2d0f-5d2d-4829-a1b7-bd8a2f66c0bd"]}],"mendeley":{"formattedCitation":"(C. H. Chung, Shen, &amp; Qiu, 2019; Hamari &amp; Koivisto, 2015)","plainTextFormattedCitation":"(C. H. Chung, Shen, &amp; Qiu, 2019; Hamari &amp; Koivisto, 2015)","previouslyFormattedCitation":"(C. H. Chung, Shen, &amp; Qiu, 2019; Hamari &amp; Koivisto, 2015)"},"properties":{"noteIndex":0},"schema":"https://github.com/citation-style-language/schema/raw/master/csl-citation.json"}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(C. H. Chung, Shen, &amp; Qiu, 2019; Hamari &amp; Koivisto, 2015)</w:t>
      </w:r>
      <w:r w:rsidRPr="0056686A">
        <w:rPr>
          <w:rFonts w:ascii="Times New Roman" w:hAnsi="Times New Roman" w:cs="Times New Roman"/>
        </w:rPr>
        <w:fldChar w:fldCharType="end"/>
      </w:r>
      <w:r w:rsidRPr="0056686A">
        <w:rPr>
          <w:rFonts w:ascii="Times New Roman" w:hAnsi="Times New Roman" w:cs="Times New Roman"/>
          <w:bCs/>
        </w:rPr>
        <w:t xml:space="preserve">. Moreover, FC is a significant factor influencing students to accept gamification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{"citationItems":[{"id":"ITEM-1","itemData":{"DOI":"10.4018/IJGBL.2019040101","ISSN":"21556857","abstract":"Gamification provides a practical approach to improving learning processes, especially the learner's motivation. However, little research has been conducted on student intentions to use gamification in higher education. Therefore, this study explored the gamification in higher educational courses by collecting surveys and discusses the factors influencing the acceptance of gamification in higher education. Based on the PLS-SEM results, students should take initial game-based learning content to be more familiar with gamification; furthermore, they could have a positive experience so that they would increase their intention. Performance expectancy is the most important factors influencing a student to accept gamification. Other factors, such as effort expectancy, social influence, facilitating conditions, involvement, skill, and control, are also important factors. With the results of this study, the instructor designer could have substantial help in planning the course content and enhance its efficiency and effectiveness.","author":[{"dropping-particle":"","family":"Chung","given":"Chih Hung","non-dropping-particle":"","parse-names":false,"suffix":""},{"dropping-particle":"","family":"Shen","given":"Chunyi","non-dropping-particle":"","parse-names":false,"suffix":""},{"dropping-particle":"","family":"Qiu","given":"Yu Zhen","non-dropping-particle":"","parse-names":false,"suffix":""}],"container-title":"International Journal of Game-Based Learning","id":"ITEM-1","issue":"2","issued":{"date-parts":[["2019"]]},"page":"1-19","title":"Students' acceptance of gamification in higher education","type":"article-journal","volume":"9"},"uris":["http://www.mendeley.com/documents/?uuid=e2df2d0f-5d2d-4829-a1b7-bd8a2f66c0bd","http://www.mendeley.com/documents/?uuid=44ff8579-e6f5-4a37-a9f4-9a271eda6538"]}],"mendeley":{"formattedCitation":"(C. H. Chung et al., 2019)","plainTextFormattedCitation":"(C. H. Chung et al., 2019)","previouslyFormattedCitation":"(C. H. Chung et al., 2019)"},"properties":{"noteIndex":0},"schema":"https://github.com/citation-style-language/schema/raw/master/csl-citation.json"}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(C. H. Chung et al., 2019)</w:t>
      </w:r>
      <w:r w:rsidRPr="0056686A">
        <w:rPr>
          <w:rFonts w:ascii="Times New Roman" w:hAnsi="Times New Roman" w:cs="Times New Roman"/>
        </w:rPr>
        <w:fldChar w:fldCharType="end"/>
      </w:r>
      <w:r w:rsidRPr="0056686A">
        <w:rPr>
          <w:rFonts w:ascii="Times New Roman" w:hAnsi="Times New Roman" w:cs="Times New Roman"/>
          <w:bCs/>
        </w:rPr>
        <w:t xml:space="preserve">. Game dynamics and mechanics affect the development of a habit through the mobile application. As no prior study has examined how habit influence gamification, the present study aims to contribute to this novelty. Habit is about repetitiveness, therefore, the present study aims to examine how a habit effects gamification. GM influences intention to use m-banking services targeting to augment the banking services by making an enjoyable and attractive experience. Therefore, m-banking attractiveness makes consumers habitual towards gamification. A study addressed the perception and usage of the gamified learning environment from a hedonic motivation perspective and found enjoyment is significant with BI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{"citationItems":[{"id":"ITEM-1","itemData":{"DOI":"10.4067/S0718-18762019000300109","ISSN":"07181876","abstract":"The acceptance of gamified learning environment is rapidly becoming inevitable in educational learning environment. This gives a widespread popularity by deploying Gamification in to present day curriculum as part of a new educational technology tool. This study addresses perception and usage of gamified learning environment from hedonic motivation perspective through incorporating the Hedonic-Motivation System Adoption Model to Gamified Learning Environment. In this study, a model was developed and tested using a Structure Equation Modelling technique. The results show that perceived usefulness, perceived ease of use, enjoyment and control all have a significant positive relationship with behavioural intention of use and focused immersion which indicates that the acceptance of Gamified Learning Environment could serve as a new educational tool to expedite the improvement of pedagogical and instructional technology. Also, increases students’ motivation and engagement in learning. On the contrary, we also found a negative relationship exists between enjoyment and focused Immersion. Possible research on the effect of enjoyment on focused immersion in gamification could be another area of concentration. In this study, aside from the introduction, the literature explains the adoption of the gamified learning environment and the hedonic motivation model at the end, the analysis and interpretation of our methodology were discussed.","author":[{"dropping-particle":"","family":"Oluwajana","given":"Dokun","non-dropping-particle":"","parse-names":false,"suffix":""},{"dropping-particle":"","family":"Idowu","given":"Adeleye","non-dropping-particle":"","parse-names":false,"suffix":""},{"dropping-particle":"","family":"Nat","given":"Muesser","non-dropping-particle":"","parse-names":false,"suffix":""},{"dropping-particle":"","family":"Vanduhe","given":"Vanye","non-dropping-particle":"","parse-names":false,"suffix":""},{"dropping-particle":"","family":"Fadiya","given":"Samson","non-dropping-particle":"","parse-names":false,"suffix":""}],"container-title":"Journal of Theoretical and Applied Electronic Commerce Research","id":"ITEM-1","issue":"3","issued":{"date-parts":[["2019"]]},"page":"156-167","title":"The adoption of students’ hedonic motivation system model to gamified learning environment","type":"article-journal","volume":"14"},"uris":["http://www.mendeley.com/documents/?uuid=135e98bd-43cb-4d6a-89fe-5f2b5312e455","http://www.mendeley.com/documents/?uuid=87044a04-94bb-43ec-bc4e-4c9e6fbe8074"]}],"mendeley":{"formattedCitation":"(Oluwajana, Idowu, Nat, Vanduhe, &amp; Fadiya, 2019)","plainTextFormattedCitation":"(Oluwajana, Idowu, Nat, Vanduhe, &amp; Fadiya, 2019)","previouslyFormattedCitation":"(Oluwajana, Idowu, Nat, Vanduhe, &amp; Fadiya, 2019)"},"properties":{"noteIndex":0},"schema":"https://github.com/citation-style-language/schema/raw/master/csl-citation.json"}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(Oluwajana, Idowu, Nat, Vanduhe, &amp; Fadiya, 2019)</w:t>
      </w:r>
      <w:r w:rsidRPr="0056686A">
        <w:rPr>
          <w:rFonts w:ascii="Times New Roman" w:hAnsi="Times New Roman" w:cs="Times New Roman"/>
        </w:rPr>
        <w:fldChar w:fldCharType="end"/>
      </w:r>
      <w:r w:rsidRPr="0056686A">
        <w:rPr>
          <w:rFonts w:ascii="Times New Roman" w:hAnsi="Times New Roman" w:cs="Times New Roman"/>
          <w:bCs/>
        </w:rPr>
        <w:t xml:space="preserve">. On the other hand, gamification provides fun and pleasure to use technology, hence the study tried to investigate how HM affects gamification. Taking all together, </w:t>
      </w:r>
    </w:p>
    <w:p w14:paraId="0BA0F4F6" w14:textId="77777777" w:rsidR="0056686A" w:rsidRPr="0056686A" w:rsidRDefault="0056686A" w:rsidP="0056686A">
      <w:pPr>
        <w:rPr>
          <w:rFonts w:ascii="Times New Roman" w:hAnsi="Times New Roman" w:cs="Times New Roman"/>
          <w:bCs/>
        </w:rPr>
      </w:pPr>
      <w:r w:rsidRPr="0056686A">
        <w:rPr>
          <w:rFonts w:ascii="Times New Roman" w:hAnsi="Times New Roman" w:cs="Times New Roman"/>
          <w:b/>
          <w:bCs/>
        </w:rPr>
        <w:t>H3</w:t>
      </w:r>
      <w:r w:rsidRPr="0056686A">
        <w:rPr>
          <w:rFonts w:ascii="Times New Roman" w:hAnsi="Times New Roman" w:cs="Times New Roman"/>
          <w:bCs/>
        </w:rPr>
        <w:t>: Gamification is positively impacted by SI (H3a), FC (H3b), HB (H3c), and HM (H3d).</w:t>
      </w:r>
    </w:p>
    <w:p w14:paraId="38E2337F" w14:textId="406A50F6" w:rsidR="0056686A" w:rsidRPr="0056686A" w:rsidRDefault="0056686A" w:rsidP="0056686A">
      <w:pPr>
        <w:rPr>
          <w:rFonts w:ascii="Times New Roman" w:hAnsi="Times New Roman" w:cs="Times New Roman"/>
          <w:bCs/>
        </w:rPr>
      </w:pPr>
      <w:r w:rsidRPr="0056686A">
        <w:rPr>
          <w:rFonts w:ascii="Times New Roman" w:hAnsi="Times New Roman" w:cs="Times New Roman"/>
          <w:bCs/>
        </w:rPr>
        <w:t xml:space="preserve">The fourth block of hypotheses is about the generational cohort and how it affects the relationship between gamification and BI. No prior study has covered it so far. To understand the influence of generation, what is expected to influence this relationship is the difference in characteristics of Gen Y and Z. Different generations reflect different characteristics based on the changes happening around the world. Generation cohorts classify generations in homogenous groups which reflect a similar attitude towards social and professional life. People born between 1979-1995 were named as Gen Y and they have witnessed the era of globalization. They have witnessed technology development and its application for easiness. On the other hand, Gen Z inclusive of people born after 1996, are born in the technological environment. They are brought up in mobile technology and technology is part of their daily life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author":[{"dropping-particle":"","family":"Fromm","given":"Jeff","non-dropping-particle":"","parse-names":false,"suffix":""},{"dropping-particle":"","family":"Read","given":"Angie","non-dropping-particle":"","parse-names":false,"suffix":""}],"id":"ITEM-1","issued":{"date-parts":[["2018"]]},"number-of-pages":"185","publisher":"AMACOM","publisher-place":"New York","title":"Marketing to Gen Z","type":"book"},"uris":["http://www.mendeley.com/documents/?uuid=5625b8a6-7794-4516-9f49-0b9a433d5eec","http://www.mendeley.com/documents/?uuid=1f10436a-d67a-4d9a-babc-a2ef648cbcba"]}],"mendeley":{"formattedCitation":"(Fromm &amp; Read, 2018)","plainTextFormattedCitation":"(Fromm &amp; Read, 2018)","previouslyFormattedCitation":"(Fromm &amp; Read, 2018)"},"properties":{"noteIndex":0},"schema":"https://github.com/citation-style-language/schema/raw/master/csl-citation.json"}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(Fromm &amp; Read, 2018)</w:t>
      </w:r>
      <w:r w:rsidRPr="0056686A">
        <w:rPr>
          <w:rFonts w:ascii="Times New Roman" w:hAnsi="Times New Roman" w:cs="Times New Roman"/>
        </w:rPr>
        <w:fldChar w:fldCharType="end"/>
      </w:r>
      <w:r w:rsidRPr="0056686A">
        <w:rPr>
          <w:rFonts w:ascii="Times New Roman" w:hAnsi="Times New Roman" w:cs="Times New Roman"/>
          <w:bCs/>
        </w:rPr>
        <w:t xml:space="preserve">. Considering this difference, it would be interesting to identify the generational differences impact on the relationship between gamification and behavioural intention to use mobile banking. According to Harris, Cox, Musgrove, &amp; Ernstberger </w:t>
      </w:r>
      <w:r w:rsidRPr="0056686A">
        <w:rPr>
          <w:rFonts w:ascii="Times New Roman" w:hAnsi="Times New Roman" w:cs="Times New Roman"/>
          <w:bCs/>
        </w:rPr>
        <w:fldChar w:fldCharType="begin" w:fldLock="1"/>
      </w:r>
      <w:r w:rsidRPr="0056686A">
        <w:rPr>
          <w:rFonts w:ascii="Times New Roman" w:hAnsi="Times New Roman" w:cs="Times New Roman"/>
          <w:bCs/>
        </w:rPr>
        <w:instrText>ADDIN CSL_CITATION {"citationItems":[{"id":"ITEM-1","itemData":{"DOI":"10.1108/IJBM-04-2015-0056","ISSN":"02652323","abstract":"Purpose – This paper aims to present a framework that will help manufacturing firms to configure their internal production and support operations to enable effective and efficient delivery of products and their closely associated services. Design/methodology/approach – First, the key definitions and literature sources directly associated with servitization of manufacturing are established. Then, a theoretical framework that categorises the key characteristics of a manufacturer’s operations strategy is developed and this is populated using both evidence from the extant literature and empirical data. Findings – The framework captures a set of operations principles, structures and processes that can guide a manufacturer in the delivery of product-centric servitized offering. These are illustrated and contrasted against operations that deliver purely product (production operations) and those which deliver purely services (services operations). Research limitations/implications – The work is based on a review of the literature supported by data collected from an exploratory case study. Whilst it provides an essential platform, further research will be needed to validate the framework. Originality/value – The principal contribution of this paper is a framework that captures the key characteristics of operations for product-centric servitized manufacture.","author":[{"dropping-particle":"","family":"Harris","given":"Michael","non-dropping-particle":"","parse-names":false,"suffix":""},{"dropping-particle":"","family":"Cox","given":"K. Chris","non-dropping-particle":"","parse-names":false,"suffix":""},{"dropping-particle":"","family":"Musgrove","given":"Carolyn Findley","non-dropping-particle":"","parse-names":false,"suffix":""},{"dropping-particle":"","family":"Ernstberger","given":"Kathryn W.","non-dropping-particle":"","parse-names":false,"suffix":""}],"container-title":"International Journal of Bank Marketing","id":"ITEM-1","issue":"4","issued":{"date-parts":[["2016","6"]]},"page":"587-602","publisher":"Emerald Group Publishing Ltd.","title":"Consumer preferences for banking technologies by age groups","type":"article-journal","volume":"34"},"suppress-author":1,"uris":["http://www.mendeley.com/documents/?uuid=31084075-614c-44cf-bb4e-341d88cd7e00","http://www.mendeley.com/documents/?uuid=76f899a6-c3db-40d7-80b5-7a1386983852"]}],"mendeley":{"formattedCitation":"(2016)","plainTextFormattedCitation":"(2016)","previouslyFormattedCitation":"(2016)"},"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(2016)</w:t>
      </w:r>
      <w:r w:rsidRPr="0056686A">
        <w:rPr>
          <w:rFonts w:ascii="Times New Roman" w:hAnsi="Times New Roman" w:cs="Times New Roman"/>
        </w:rPr>
        <w:fldChar w:fldCharType="end"/>
      </w:r>
      <w:r w:rsidRPr="0056686A">
        <w:rPr>
          <w:rFonts w:ascii="Times New Roman" w:hAnsi="Times New Roman" w:cs="Times New Roman"/>
          <w:bCs/>
        </w:rPr>
        <w:t xml:space="preserve">, though people of all ages now reflect an equal interest in emerging online technologies, comparatively, older customers perceive high value in conventional banking, and younger users are more attracted towards newest technologies. Another study stated that age reflects differences in information processing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quarterly","id":"ITEM-1","issued":{"date-parts":[["2012"]]},"page":"157-178","title":"Consumer acceptance and use of information technology: Extending the unified theory of acceptance and use of technology","type":"article-journal","volume":"36"},"uris":["http://www.mendeley.com/documents/?uuid=47aaf082-83a2-46f0-b062-9c6987a306c3"]}],"mendeley":{"formattedCitation":"(Venkatesh et al., 2012)","plainTextFormattedCitation":"(Venkatesh et al., 2012)","previouslyFormattedCitation":"(Venkatesh et al., 2012)"},"properties":{"noteIndex":0},"schema":"https://github.com/citation-style-language/schema/raw/master/csl-citation.json"}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(Venkatesh et al., 2012)</w:t>
      </w:r>
      <w:r w:rsidRPr="0056686A">
        <w:rPr>
          <w:rFonts w:ascii="Times New Roman" w:hAnsi="Times New Roman" w:cs="Times New Roman"/>
        </w:rPr>
        <w:fldChar w:fldCharType="end"/>
      </w:r>
      <w:r w:rsidRPr="0056686A">
        <w:rPr>
          <w:rFonts w:ascii="Times New Roman" w:hAnsi="Times New Roman" w:cs="Times New Roman"/>
          <w:bCs/>
        </w:rPr>
        <w:t xml:space="preserve">. As gamification came into existence, gradually it gains acceptance among both the generations. Baptista &amp; Oliveira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{"citationItems":[{"id":"ITEM-1","itemData":{"DOI":"10.1108/IntR-10-2015-0295","ISSN":"1066-2243","abstract":"Purpose The purpose of this paper is to identify the potential impact of the utilization of game mechanics and game design techniques in the acceptance of mobile banking services. Design/methodology/approach The theoretical model was tested in a quantitative study using structural equation modelling, conducted in Brazil, with actual local banking customers. Findings The findings show that there is a direct and strong relationship between gamification and intention to use mobile banking services, supporting that, when used and designed properly, gamification can help make banking activities more exciting, more interesting and more enjoyable, and in turn increase customer acceptance, engagement and satisfaction. Research limitations/implications The research extends the unified theory of acceptance and use of technology (UTAUT2), and prior research to include gamification impact. The result is a more descriptive model that better explains consumers’ decision to use mobile banking services. Practical implica...","author":[{"dropping-particle":"","family":"Baptista","given":"Goncalo","non-dropping-particle":"","parse-names":false,"suffix":""},{"dropping-particle":"","family":"Oliveira","given":"Tiago","non-dropping-particle":"","parse-names":false,"suffix":""}],"container-title":"Internet Research","id":"ITEM-1","issue":"1","issued":{"date-parts":[["2017","2"]]},"page":"118-139","publisher":"Emerald Publishing Limited","title":"Why so serious? Gamification impact in the acceptance of mobile banking services","type":"article-journal","volume":"27"},"uris":["http://www.mendeley.com/documents/?uuid=0b3f374e-8b77-42e6-bc77-b7919247f6cf"]}],"mendeley":{"formattedCitation":"(Baptista &amp; Oliveira, 2017)","plainTextFormattedCitation":"(Baptista &amp; Oliveira, 2017)","previouslyFormattedCitation":"(Baptista &amp; Oliveira, 2017)"},"properties":{"noteIndex":0},"schema":"https://github.com/citation-style-language/schema/raw/master/csl-citation.json"}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(Baptista &amp; Oliveira, 2017)</w:t>
      </w:r>
      <w:r w:rsidRPr="0056686A">
        <w:rPr>
          <w:rFonts w:ascii="Times New Roman" w:hAnsi="Times New Roman" w:cs="Times New Roman"/>
        </w:rPr>
        <w:fldChar w:fldCharType="end"/>
      </w:r>
      <w:r w:rsidRPr="0056686A">
        <w:rPr>
          <w:rFonts w:ascii="Times New Roman" w:hAnsi="Times New Roman" w:cs="Times New Roman"/>
          <w:bCs/>
        </w:rPr>
        <w:t xml:space="preserve"> claim that gamification can make banking services more enjoyable, fun-filed, and exciting, which can improve consumers’ mobile banking services acceptance, involvement, and satisfaction. Gamification is expected to have more engagement among Gen Z as they are brought up in a similar digital environment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{"citationItems":[{"id":"ITEM-1","itemData":{"ISBN":"9781449397678","abstract":"What do Foursquare, Zynga, Nike+, and Groupon have in common? These and many other brands use gamification to deliver a sticky, viral, and engaging experience to their customers. This book provides the design strategy and tactics you need to integrate game mechanics into any kind of consumer-facing website or mobile app. Learn how to use core game concepts, design patterns, and meaningful code samples to a create fun and captivating social environment.","author":[{"dropping-particle":"","family":"Zichermann","given":"Gabe","non-dropping-particle":"","parse-names":false,"suffix":""},{"dropping-particle":"","family":"Cunningham","given":"Christopher","non-dropping-particle":"","parse-names":false,"suffix":""}],"id":"ITEM-1","issued":{"date-parts":[["2011"]]},"number-of-pages":"208","publisher":"O'Reilly Media","publisher-place":"Sebastopol","title":"Gamification by Design: Implementing Game Mechanics in Web and Mobile Apps","type":"book"},"uris":["http://www.mendeley.com/documents/?uuid=79ff9916-34fb-4c3a-bb7f-0f10c9e0c28b","http://www.mendeley.com/documents/?uuid=3e77a450-27d6-463f-b44f-3514dcddbcb7"]}],"mendeley":{"formattedCitation":"(Zichermann &amp; Cunningham, 2011)","plainTextFormattedCitation":"(Zichermann &amp; Cunningham, 2011)","previouslyFormattedCitation":"(Zichermann &amp; Cunningham, 2011)"},"properties":{"noteIndex":0},"schema":"https://github.com/citation-style-language/schema/raw/master/csl-citation.json"}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(Zichermann &amp; Cunningham, 2011)</w:t>
      </w:r>
      <w:r w:rsidRPr="0056686A">
        <w:rPr>
          <w:rFonts w:ascii="Times New Roman" w:hAnsi="Times New Roman" w:cs="Times New Roman"/>
        </w:rPr>
        <w:fldChar w:fldCharType="end"/>
      </w:r>
      <w:r w:rsidRPr="0056686A">
        <w:rPr>
          <w:rFonts w:ascii="Times New Roman" w:hAnsi="Times New Roman" w:cs="Times New Roman"/>
          <w:bCs/>
        </w:rPr>
        <w:t>. Therefore, the current study extends the mentioned research by examining specifically generational perception and differences in the relationship between gamification and BI. Thus,</w:t>
      </w:r>
    </w:p>
    <w:p w14:paraId="58DE5678" w14:textId="77777777" w:rsidR="0056686A" w:rsidRPr="0056686A" w:rsidRDefault="0056686A" w:rsidP="0056686A">
      <w:pPr>
        <w:rPr>
          <w:rFonts w:ascii="Times New Roman" w:hAnsi="Times New Roman" w:cs="Times New Roman"/>
          <w:bCs/>
        </w:rPr>
      </w:pPr>
      <w:r w:rsidRPr="0056686A">
        <w:rPr>
          <w:rFonts w:ascii="Times New Roman" w:hAnsi="Times New Roman" w:cs="Times New Roman"/>
          <w:b/>
          <w:bCs/>
        </w:rPr>
        <w:t>H4</w:t>
      </w:r>
      <w:r w:rsidRPr="0056686A">
        <w:rPr>
          <w:rFonts w:ascii="Times New Roman" w:hAnsi="Times New Roman" w:cs="Times New Roman"/>
          <w:bCs/>
        </w:rPr>
        <w:t>: Generational cohort moderates the relationship between GM and BI.</w:t>
      </w:r>
    </w:p>
    <w:p w14:paraId="64A8106F" w14:textId="0C4889C0" w:rsidR="0056686A" w:rsidRPr="0056686A" w:rsidRDefault="0056686A" w:rsidP="0056686A">
      <w:pPr>
        <w:rPr>
          <w:rFonts w:ascii="Times New Roman" w:hAnsi="Times New Roman" w:cs="Times New Roman"/>
          <w:bCs/>
        </w:rPr>
      </w:pPr>
      <w:r w:rsidRPr="0056686A">
        <w:rPr>
          <w:rFonts w:ascii="Times New Roman" w:hAnsi="Times New Roman" w:cs="Times New Roman"/>
          <w:bCs/>
        </w:rPr>
        <w:t xml:space="preserve">Regarding the fifth hypothesis, very limited research about the IR and actual recommendations are available, regardless of word-of-mouth IR popularity and importance among researchers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{"citationItems":[{"id":"ITEM-1","itemData":{"DOI":"10.1108/09604520710760526","ISSN":"09604529","abstract":"Purpose The purpose of this research is to examine different customer satisfaction and loyalty metrics and test their relationship to customer retention, recommendation and share of wallet using micro (customer) level data. Design/methodology/approach The data for this study come from a two-year longitudinal Internet panel of over 8,000 US customers of firms in one of three industries (retail banking, mass-merchant retail, and Internet service providers (ISPs)). Correlation analysis, CHAID, and three types of regression analyses (best-subsets, ordinal logistic, and latent class ordinal logistic regression) were used to test the hypotheses. Findings Contrary to Reichheld's assertions, the results indicate that recommend intention alone will not suffice as a single predictor of customers' future loyalty behavior. Use of a multiple indicator instead of a single predictor model performs better in predicting customer recommendations and retention. Research limitations/implications The limitation of the paper is that it uses data from only three industries. Practical implications The presumption of managers when looking at recommend intention as the primary, even sole gauge of customer loyalty appears to be erroneous. The consequence is potential misallocations of resources due to myopic focus on customers' recommend intentions. Originality/value This is the first scientific study that examines recommend intentions and its impact on retention and recommendation on the micro (customer) level. © 2007, Emerald Group Publishing Limited","author":[{"dropping-particle":"","family":"Keiningham","given":"Timothy L.","non-dropping-particle":"","parse-names":false,"suffix":""},{"dropping-particle":"","family":"Cooil","given":"Bruce","non-dropping-particle":"","parse-names":false,"suffix":""},{"dropping-particle":"","family":"Aksoy","given":"Lerzan","non-dropping-particle":"","parse-names":false,"suffix":""},{"dropping-particle":"","family":"Andreassen","given":"Tor W.","non-dropping-particle":"","parse-names":false,"suffix":""},{"dropping-particle":"","family":"Weiner","given":"Jay","non-dropping-particle":"","parse-names":false,"suffix":""}],"container-title":"Managing Service Quality: An International Journal","id":"ITEM-1","issue":"4","issued":{"date-parts":[["2007"]]},"page":"361-384","title":"The value of different customer satisfaction and loyalty metrics in predicting customer retention, recommendation, and share-of-wallet","type":"article-journal","volume":"17"},"uris":["http://www.mendeley.com/documents/?uuid=dfa13c46-8a04-4422-86bd-3a972d8eab12","http://www.mendeley.com/documents/?uuid=6726b3be-7425-4919-b6f0-99f09ac257ec"]}],"mendeley":{"formattedCitation":"(Keiningham, Cooil, Aksoy, Andreassen, &amp; Weiner, 2007)","plainTextFormattedCitation":"(Keiningham, Cooil, Aksoy, Andreassen, &amp; Weiner, 2007)","previouslyFormattedCitation":"(Keiningham, Cooil, Aksoy, Andreassen, &amp; Weiner, 2007)"},"properties":{"noteIndex":0},"schema":"https://github.com/citation-style-language/schema/raw/master/csl-citation.json"}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(Keiningham, Cooil, Aksoy, Andreassen, &amp; Weiner, 2007)</w:t>
      </w:r>
      <w:r w:rsidRPr="0056686A">
        <w:rPr>
          <w:rFonts w:ascii="Times New Roman" w:hAnsi="Times New Roman" w:cs="Times New Roman"/>
        </w:rPr>
        <w:fldChar w:fldCharType="end"/>
      </w:r>
      <w:r w:rsidRPr="0056686A">
        <w:rPr>
          <w:rFonts w:ascii="Times New Roman" w:hAnsi="Times New Roman" w:cs="Times New Roman"/>
          <w:bCs/>
        </w:rPr>
        <w:t xml:space="preserve">. Recently, Mehrad &amp; Mohammadi </w:t>
      </w:r>
      <w:r w:rsidRPr="0056686A">
        <w:rPr>
          <w:rFonts w:ascii="Times New Roman" w:hAnsi="Times New Roman" w:cs="Times New Roman"/>
          <w:bCs/>
        </w:rPr>
        <w:fldChar w:fldCharType="begin" w:fldLock="1"/>
      </w:r>
      <w:r w:rsidRPr="0056686A">
        <w:rPr>
          <w:rFonts w:ascii="Times New Roman" w:hAnsi="Times New Roman" w:cs="Times New Roman"/>
          <w:bCs/>
        </w:rPr>
        <w:instrText>ADDIN CSL_CITATION {"citationItems":[{"id":"ITEM-1","itemData":{"DOI":"10.1016/j.tele.2016.08.009","ISSN":"07365853","abstract":"Purpose The purpose of this paper is to explore word of mouth impact on the adoption of mobile banking in Iran. This study provides insights into factors affecting the adoption of mobile banking in Iran. Design/methodology/approach Based on the consumer data collected through a survey, structural equations modeling and path analysis were employed to test the research model. Findings The results revealed that “Word of Mouth” was found to be the main factor affecting users attitudes toward the use of mobile banking. “Word of Mouth” positive impact on other factors affecting the adoption of mobile banking was also approved. Research limitations/implications The major limitations of the paper is that it studies only the Internet users and non-users are not considered. Originality/value There are a number of factors efficiently on the adoption of mobile banking. Many researchers worked on the relationship between these parameters and their effect on each them. However, none have paid attention to the word of mouth impact of the adoption of mobile banking. In this study, for the first time, the word of mouth factor impact on the adoption of mobile banking in Iran is considered as the main contribution of the paper.","author":[{"dropping-particle":"","family":"Mehrad","given":"Daniel","non-dropping-particle":"","parse-names":false,"suffix":""},{"dropping-particle":"","family":"Mohammadi","given":"Shahriar","non-dropping-particle":"","parse-names":false,"suffix":""}],"container-title":"Telematics and Informatics","id":"ITEM-1","issue":"7","issued":{"date-parts":[["2017"]]},"page":"1351-1363","publisher":"Elsevier Ltd","title":"Word of Mouth impact on the adoption of mobile banking in Iran","type":"article-journal","volume":"34"},"suppress-author":1,"uris":["http://www.mendeley.com/documents/?uuid=fb47d1c1-07ef-4338-935e-3612b21caaeb","http://www.mendeley.com/documents/?uuid=fb9b5389-c8d9-4045-86e4-ddb53f551517"]}],"mendeley":{"formattedCitation":"(2017)","plainTextFormattedCitation":"(2017)","previouslyFormattedCitation":"(2017)"},"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(2017)</w:t>
      </w:r>
      <w:r w:rsidRPr="0056686A">
        <w:rPr>
          <w:rFonts w:ascii="Times New Roman" w:hAnsi="Times New Roman" w:cs="Times New Roman"/>
        </w:rPr>
        <w:fldChar w:fldCharType="end"/>
      </w:r>
      <w:r w:rsidRPr="0056686A">
        <w:rPr>
          <w:rFonts w:ascii="Times New Roman" w:hAnsi="Times New Roman" w:cs="Times New Roman"/>
          <w:bCs/>
        </w:rPr>
        <w:t xml:space="preserve"> found that word-of-mouth is the main variable influences users’ attitudes toward the use of m-banking. From the user’s behaviour perspective, satisfaction is a key factor of behavioural intentions, including IR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{"citationItems":[{"id":"ITEM-1","itemData":{"DOI":"10.1016/j.intmar.2009.04.006","ISSN":"10949968","abstract":"Academic research has focused on the quality perceptions that drive customer satisfaction as the key to achieving e-service success. This paper develops a process-based model that relates perceptions of managerially actionable site characteristics to online satisfaction, which mediates the effects of site characteristics on intention to recommend e-services. A unique data set provided by Web Mystery Shoppers International Inc. (webmysteryshoppers.com), a market research supplier, enables the model to be refined using data from samples of responses to each of the competitive websites for one financial service, and then to be tested using similar data for another financial e-service and then for a travel e-service. The model, which accounts for most of the variance in online satisfaction and online intention to recommend in the fitted data, is largely confirmed on cross validation. Process evaluations and satisfaction mediate the effects of actionable website characteristics on intention to recommend e-services. © 2009 Direct Marketing Educational Foundation, Inc.","author":[{"dropping-particle":"","family":"Finn","given":"Adam","non-dropping-particle":"","parse-names":false,"suffix":""},{"dropping-particle":"","family":"Wang","given":"Luming","non-dropping-particle":"","parse-names":false,"suffix":""},{"dropping-particle":"","family":"Frank","given":"Tema","non-dropping-particle":"","parse-names":false,"suffix":""}],"container-title":"Journal of Interactive Marketing","id":"ITEM-1","issue":"3","issued":{"date-parts":[["2009"]]},"page":"209-220","publisher":"Direct Marketing Educational Foundation, Inc.","title":"Attribute Perceptions, Customer Satisfaction and Intention to Recommend E-Services","type":"article-journal","volume":"23"},"uris":["http://www.mendeley.com/documents/?uuid=a17a1fa0-9e29-4858-8a4a-ce11527f71e5","http://www.mendeley.com/documents/?uuid=20b0b950-e3b6-4f0f-b016-afa27a02898e"]}],"mendeley":{"formattedCitation":"(Finn, Wang, &amp; Frank, 2009)","plainTextFormattedCitation":"(Finn, Wang, &amp; Frank, 2009)","previouslyFormattedCitation":"(Finn, Wang, &amp; Frank, 2009)"},"properties":{"noteIndex":0},"schema":"https://github.com/citation-style-language/schema/raw/master/csl-citation.json"}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(Finn, Wang, &amp; Frank, 2009)</w:t>
      </w:r>
      <w:r w:rsidRPr="0056686A">
        <w:rPr>
          <w:rFonts w:ascii="Times New Roman" w:hAnsi="Times New Roman" w:cs="Times New Roman"/>
        </w:rPr>
        <w:fldChar w:fldCharType="end"/>
      </w:r>
      <w:r w:rsidRPr="0056686A">
        <w:rPr>
          <w:rFonts w:ascii="Times New Roman" w:hAnsi="Times New Roman" w:cs="Times New Roman"/>
          <w:bCs/>
        </w:rPr>
        <w:t xml:space="preserve">. In simple words, intention to recommend may depend on the usage behaviour of consumers, either they have positive or negative. IR through social media and communication devices is influenced by the benefits gained through mobile payment technology. Therefore, the intention to recommend technology is a post-adoption behaviour </w:t>
      </w:r>
      <w:r w:rsidRPr="0056686A">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{"citationItems":[{"id":"ITEM-1","itemData":{"DOI":"10.1016/J.CHB.2016.03.030","ISSN":"0747-5632","abstract":"Mobile payment is receiving growing attention globally, from consumers to merchants, as an alternative to using cash, check, or credit cards. The potential of this technology is enormous. This study aims to identify the main determinants of mobile payment adoption and the intention to recommend this technology. We advance the body of knowledge on this subject by proposing an innovative research model that combines the strengths of two well-known theories; the extended unified theory of acceptance and use of technology (UTAUT2) with the innovation characteristics of the diffusion of innovations (DOI), with perceived security and intention to recommend the technology constructs. The research model was empirically tested using 301 responses from an online survey conducted in a European country, Portugal. Data was analyzed using the structured equation modeling (SEM). We found compatibility, perceived technology security, performance expectations, innovativeness, and social influence to have significant direct and indirect effects over the adoption of mobile payment and the intention to recommend this technology. The relevance of customer's intention to recommend mobile payment technology in social networks and other means of communication was also confirmed, supporting the recommendation to include it in social marketing campaigns and in future technology adoption studies. For researchers this study provides a basis for further refinement of individual models of acceptance. For practitioners, understanding the key constructs is crucial to design, refine, and implement mobile payment services, applications, and products that achieve high consumer acceptance, value, and high rates of positive recommendations in social networks.","author":[{"dropping-particle":"","family":"Oliveira","given":"Tiago","non-dropping-particle":"","parse-names":false,"suffix":""},{"dropping-particle":"","family":"Thomas","given":"Manoj","non-dropping-particle":"","parse-names":false,"suffix":""},{"dropping-particle":"","family":"Baptista","given":"Goncalo","non-dropping-particle":"","parse-names":false,"suffix":""},{"dropping-particle":"","family":"Campos","given":"Filipe","non-dropping-particle":"","parse-names":false,"suffix":""}],"container-title":"Computers in Human Behavior","id":"ITEM-1","issued":{"date-parts":[["2016","8","1"]]},"page":"404-414","publisher":"Pergamon","title":"Mobile payment: Understanding the determinants of customer adoption and intention to recommend the technology","type":"article-journal","volume":"61"},"uris":["http://www.mendeley.com/documents/?uuid=694e6471-b004-3a32-af23-bebe125fa7d5"]},{"id":"ITEM-2","itemData":{"DOI":"10.1108/13555851011090510","ISBN":"1355585101109","ISSN":"17584248","abstract":"Purpose – The purpose of this paper is to highlight the significance of relationship quality factors (customer satisfaction, e</w:instrText>
      </w:r>
      <w:r w:rsidR="008F28C8">
        <w:rPr>
          <w:rFonts w:ascii="Times New Roman" w:hAnsi="Times New Roman" w:cs="Times New Roman" w:hint="eastAsia"/>
          <w:bCs/>
        </w:rPr>
        <w:instrText></w:instrText>
      </w:r>
      <w:r w:rsidR="008F28C8">
        <w:rPr>
          <w:rFonts w:ascii="Times New Roman" w:hAnsi="Times New Roman" w:cs="Times New Roman"/>
          <w:bCs/>
        </w:rPr>
        <w:instrText>trust, and e</w:instrText>
      </w:r>
      <w:r w:rsidR="008F28C8">
        <w:rPr>
          <w:rFonts w:ascii="Times New Roman" w:hAnsi="Times New Roman" w:cs="Times New Roman" w:hint="eastAsia"/>
          <w:bCs/>
        </w:rPr>
        <w:instrText></w:instrText>
      </w:r>
      <w:r w:rsidR="008F28C8">
        <w:rPr>
          <w:rFonts w:ascii="Times New Roman" w:hAnsi="Times New Roman" w:cs="Times New Roman"/>
          <w:bCs/>
        </w:rPr>
        <w:instrText>commitment) on positive word of mouth (WOM) in online retailing. Design/methodology/approach – The relative importance of site characteristics in online retailing on customer satisfaction was examined and the relationship among customer satisfaction, trust, and commitment in offline was identified. This paper then proposes a conceptual model of the relationship among site characteristics, relationship quality, and WOM in online retailing. AMOS 5.0 was used to test for the hypothesized relationships. Findings – All of site characteristics in online retailing have a positive influence on customer satisfaction. Communication of site characteristics has a positive effect on customer satisfaction more than the other factors (shopping convenience, site design, informativeness, and security). Customer satisfaction affects positively e</w:instrText>
      </w:r>
      <w:r w:rsidR="008F28C8">
        <w:rPr>
          <w:rFonts w:ascii="Times New Roman" w:hAnsi="Times New Roman" w:cs="Times New Roman" w:hint="eastAsia"/>
          <w:bCs/>
        </w:rPr>
        <w:instrText></w:instrText>
      </w:r>
      <w:r w:rsidR="008F28C8">
        <w:rPr>
          <w:rFonts w:ascii="Times New Roman" w:hAnsi="Times New Roman" w:cs="Times New Roman"/>
          <w:bCs/>
        </w:rPr>
        <w:instrText>commitment more than it does e</w:instrText>
      </w:r>
      <w:r w:rsidR="008F28C8">
        <w:rPr>
          <w:rFonts w:ascii="Times New Roman" w:hAnsi="Times New Roman" w:cs="Times New Roman" w:hint="eastAsia"/>
          <w:bCs/>
        </w:rPr>
        <w:instrText></w:instrText>
      </w:r>
      <w:r w:rsidR="008F28C8">
        <w:rPr>
          <w:rFonts w:ascii="Times New Roman" w:hAnsi="Times New Roman" w:cs="Times New Roman"/>
          <w:bCs/>
        </w:rPr>
        <w:instrText>trust. E</w:instrText>
      </w:r>
      <w:r w:rsidR="008F28C8">
        <w:rPr>
          <w:rFonts w:ascii="Times New Roman" w:hAnsi="Times New Roman" w:cs="Times New Roman" w:hint="eastAsia"/>
          <w:bCs/>
        </w:rPr>
        <w:instrText></w:instrText>
      </w:r>
      <w:r w:rsidR="008F28C8">
        <w:rPr>
          <w:rFonts w:ascii="Times New Roman" w:hAnsi="Times New Roman" w:cs="Times New Roman"/>
          <w:bCs/>
        </w:rPr>
        <w:instrText>commitment affects positively WOM more than it does e</w:instrText>
      </w:r>
      <w:r w:rsidR="008F28C8">
        <w:rPr>
          <w:rFonts w:ascii="Times New Roman" w:hAnsi="Times New Roman" w:cs="Times New Roman" w:hint="eastAsia"/>
          <w:bCs/>
        </w:rPr>
        <w:instrText></w:instrText>
      </w:r>
      <w:r w:rsidR="008F28C8">
        <w:rPr>
          <w:rFonts w:ascii="Times New Roman" w:hAnsi="Times New Roman" w:cs="Times New Roman"/>
          <w:bCs/>
        </w:rPr>
        <w:instrText>trust. This paper identifies the causal relationship among site characteristics, relationship quality, and WOM. Further, the relative importance of customer satisfaction in relationship quality of online retailing is examined. Originality/value – Results provide important insights into the impact of site characteristics in online retailing on customer satisfaction compared to other previous researches. In addition, e</w:instrText>
      </w:r>
      <w:r w:rsidR="008F28C8">
        <w:rPr>
          <w:rFonts w:ascii="Times New Roman" w:hAnsi="Times New Roman" w:cs="Times New Roman" w:hint="eastAsia"/>
          <w:bCs/>
        </w:rPr>
        <w:instrText></w:instrText>
      </w:r>
      <w:r w:rsidR="008F28C8">
        <w:rPr>
          <w:rFonts w:ascii="Times New Roman" w:hAnsi="Times New Roman" w:cs="Times New Roman"/>
          <w:bCs/>
        </w:rPr>
        <w:instrText>trust and e</w:instrText>
      </w:r>
      <w:r w:rsidR="008F28C8">
        <w:rPr>
          <w:rFonts w:ascii="Times New Roman" w:hAnsi="Times New Roman" w:cs="Times New Roman" w:hint="eastAsia"/>
          <w:bCs/>
        </w:rPr>
        <w:instrText></w:instrText>
      </w:r>
      <w:r w:rsidR="008F28C8">
        <w:rPr>
          <w:rFonts w:ascii="Times New Roman" w:hAnsi="Times New Roman" w:cs="Times New Roman"/>
          <w:bCs/>
        </w:rPr>
        <w:instrText>commitment are identified as important antecedents of e</w:instrText>
      </w:r>
      <w:r w:rsidR="008F28C8">
        <w:rPr>
          <w:rFonts w:ascii="Times New Roman" w:hAnsi="Times New Roman" w:cs="Times New Roman" w:hint="eastAsia"/>
          <w:bCs/>
        </w:rPr>
        <w:instrText></w:instrText>
      </w:r>
      <w:r w:rsidR="008F28C8">
        <w:rPr>
          <w:rFonts w:ascii="Times New Roman" w:hAnsi="Times New Roman" w:cs="Times New Roman"/>
          <w:bCs/>
        </w:rPr>
        <w:instrText>WOM. © 2010, Emerald Group Publishing Limited","author":[{"dropping-particle":"","family":"Chung","given":"Ki Han","non-dropping-particle":"","parse-names":false,"suffix":""},{"dropping-particle":"","family":"Shin","given":"Jae Ik","non-dropping-particle":"","parse-names":false,"suffix":""}],"container-title":"Asia Pacific Journal of Marketing and Logistics","id":"ITEM-2","issue":"4","issued":{"date-parts":[["2010"]]},"page":"473-491","title":"The antecedents and consequents of relationship quality in internet shopping","type":"article-journal","volume":"22"},"uris":["http://www.mendeley.com/documents/?uuid=87dedf3c-a619-48f6-8b3f-52137939d2bc"]},{"id":"ITEM-3","itemData":{"DOI":"10.1016/j.dss.2013.05.010","ISSN":"01679236","abstract":"The information systems (IS) literature has long emphasized the importance of user acceptance of computer-based IS. Evaluating the determinants of acceptance of information technology (IT) is vital to address the problem of underutilization and leverage the benefits of IT investments, especially for more radical technologies. This study examines individual acceptance of biometric identification techniques in a voluntary environment, measuring the intention to accept and further recommend the technology resulting from a carefully selected set of variables. Drawing on elements of technology acceptance model (TAM), diffusion of innovations (DOI) and unified theory of acceptance and use of technology (UTAUT) along with the trust-privacy research field, we propose an integrated approach that is both theoretically and empirically grounded. By testing some of the most relevant and well-tested elements from previous models along with new antecedents to biometric system adoption, this study produces results which are both sturdy and innovative. We first confirm the influence of renowned technology acceptance variables such as compatibility, perceived usefulness, facilitating conditions on biometrics systems acceptance and further recommendation. Second, prior factors such as concern for privacy, trust in the technology, and innovativeness also prove to have an influence. Third, unless innovativeness, the most important drivers to explain biometrics acceptance and recommendation are not from the traditional adoption models (TAM, DOI, and UTAUT) but from the trust and privacy literature (trust in technology and perceived risk).","author":[{"dropping-particle":"","family":"Lancelot Miltgen","given":"Caroline","non-dropping-particle":"","parse-names":false,"suffix":""},{"dropping-particle":"","family":"Popovič","given":"Aleš","non-dropping-particle":"","parse-names":false,"suffix":""},{"dropping-particle":"","family":"Oliveira","given":"Tiago","non-dropping-particle":"","parse-names":false,"suffix":""}],"container-title":"Decision Support Systems","id":"ITEM-3","issued":{"date-parts":[["2013","12"]]},"page":"103-114","publisher":"North-Holland","title":"Determinants of end-user acceptance of biometrics: Integrating the “Big 3” of technology acceptance with privacy context","type":"article-journal","volume":"56"},"uris":["http://www.mendeley.com/documents/?uuid=57cf164e-5640-48cc-ac63-0350d8e0f21a"]}],"mendeley":{"formattedCitation":"(K. H. Chung &amp; Shin, 2010; Lancelot Miltgen, Popovič, &amp; Oliveira, 2013; Oliveira, Thomas, Baptista, &amp; Campos, 2016)","plainTextFormattedCitation":"(K. H. Chung &amp; Shin, 2010; Lancelot Miltgen, Popovič, &amp; Oliveira, 2013; Oliveira, Thomas, Baptista, &amp; Campos, 2016)","previouslyFormattedCitation":"(K. H. Chung &amp; Shin, 2010; Lancelot Miltgen, Popovič, &amp; Oliveira, 2013; Oliveira, Thomas, Baptista, &amp; Campos, 2016)"},"properties":{"noteIndex":0},"schema":"https://github.com/citation-style-language/schema/raw/master/csl-citation.json"}</w:instrText>
      </w:r>
      <w:r w:rsidRPr="0056686A">
        <w:rPr>
          <w:rFonts w:ascii="Times New Roman" w:hAnsi="Times New Roman" w:cs="Times New Roman"/>
          <w:bCs/>
        </w:rPr>
        <w:fldChar w:fldCharType="separate"/>
      </w:r>
      <w:r w:rsidRPr="0056686A">
        <w:rPr>
          <w:rFonts w:ascii="Times New Roman" w:hAnsi="Times New Roman" w:cs="Times New Roman"/>
          <w:bCs/>
          <w:noProof/>
        </w:rPr>
        <w:t>(K. H. Chung &amp; Shin, 2010; Lancelot Miltgen, Popovič, &amp; Oliveira, 2013; Oliveira, Thomas, Baptista, &amp; Campos, 2016)</w:t>
      </w:r>
      <w:r w:rsidRPr="0056686A">
        <w:rPr>
          <w:rFonts w:ascii="Times New Roman" w:hAnsi="Times New Roman" w:cs="Times New Roman"/>
        </w:rPr>
        <w:fldChar w:fldCharType="end"/>
      </w:r>
      <w:r w:rsidRPr="0056686A">
        <w:rPr>
          <w:rFonts w:ascii="Times New Roman" w:hAnsi="Times New Roman" w:cs="Times New Roman"/>
          <w:bCs/>
        </w:rPr>
        <w:t>. Therefore,</w:t>
      </w:r>
    </w:p>
    <w:p w14:paraId="1335F1D8" w14:textId="1E8B602C" w:rsidR="00771C6A" w:rsidRPr="0068363D" w:rsidRDefault="0056686A" w:rsidP="0056686A">
      <w:pPr>
        <w:rPr>
          <w:rFonts w:ascii="Times New Roman" w:hAnsi="Times New Roman" w:cs="Times New Roman"/>
        </w:rPr>
      </w:pPr>
      <w:r w:rsidRPr="0056686A">
        <w:rPr>
          <w:rFonts w:ascii="Times New Roman" w:hAnsi="Times New Roman" w:cs="Times New Roman"/>
          <w:b/>
          <w:bCs/>
        </w:rPr>
        <w:t>H5</w:t>
      </w:r>
      <w:r w:rsidRPr="0056686A">
        <w:rPr>
          <w:rFonts w:ascii="Times New Roman" w:hAnsi="Times New Roman" w:cs="Times New Roman"/>
          <w:bCs/>
        </w:rPr>
        <w:t>: IR is positively affected by UB.</w:t>
      </w:r>
    </w:p>
    <w:p w14:paraId="124749B9" w14:textId="616C97BB" w:rsidR="006B3CF0" w:rsidRPr="000D44EC" w:rsidRDefault="00B421CB" w:rsidP="00FC58E2">
      <w:pPr>
        <w:rPr>
          <w:rFonts w:ascii="Times New Roman" w:hAnsi="Times New Roman" w:cs="Times New Roman"/>
        </w:rPr>
      </w:pPr>
      <w:r w:rsidRPr="008F1B3E">
        <w:rPr>
          <w:rFonts w:ascii="Times New Roman" w:hAnsi="Times New Roman" w:cs="Times New Roman"/>
        </w:rPr>
        <w:t>Figure 1 presents the conceptual framework of this study which has been designed to investigate the behaviour of m-banking users. The conceptual framework maps the hypotheses.</w:t>
      </w:r>
    </w:p>
    <w:p w14:paraId="780B07B2" w14:textId="77777777" w:rsidR="00FE5819" w:rsidRPr="000D44EC" w:rsidRDefault="00FE5819" w:rsidP="00FC58E2">
      <w:pPr>
        <w:rPr>
          <w:rFonts w:ascii="Times New Roman" w:hAnsi="Times New Roman" w:cs="Times New Roman"/>
        </w:rPr>
      </w:pPr>
    </w:p>
    <w:p w14:paraId="6E1431B4" w14:textId="06AA698A" w:rsidR="006B3CF0" w:rsidRPr="000D44EC" w:rsidRDefault="00FE5819" w:rsidP="00B61F96">
      <w:pPr>
        <w:jc w:val="center"/>
        <w:rPr>
          <w:rFonts w:ascii="Times New Roman" w:hAnsi="Times New Roman" w:cs="Times New Roman"/>
        </w:rPr>
      </w:pPr>
      <w:r w:rsidRPr="000D44EC">
        <w:rPr>
          <w:rFonts w:ascii="Times New Roman" w:hAnsi="Times New Roman" w:cs="Times New Roman"/>
          <w:noProof/>
          <w:lang w:val="cs-CZ" w:eastAsia="cs-CZ"/>
        </w:rPr>
        <mc:AlternateContent>
          <mc:Choice Requires="wpg">
            <w:drawing>
              <wp:inline distT="0" distB="0" distL="0" distR="0" wp14:anchorId="76C817BB" wp14:editId="134E53B5">
                <wp:extent cx="5147033" cy="2949812"/>
                <wp:effectExtent l="0" t="0" r="15875" b="22225"/>
                <wp:docPr id="98" name="Group 98"/>
                <wp:cNvGraphicFramePr/>
                <a:graphic xmlns:a="http://schemas.openxmlformats.org/drawingml/2006/main">
                  <a:graphicData uri="http://schemas.microsoft.com/office/word/2010/wordprocessingGroup">
                    <wpg:wgp>
                      <wpg:cNvGrpSpPr/>
                      <wpg:grpSpPr>
                        <a:xfrm>
                          <a:off x="0" y="0"/>
                          <a:ext cx="5147033" cy="2949812"/>
                          <a:chOff x="0" y="0"/>
                          <a:chExt cx="5147033" cy="2949812"/>
                        </a:xfrm>
                      </wpg:grpSpPr>
                      <wps:wsp>
                        <wps:cNvPr id="54" name="Rounded Rectangle 54"/>
                        <wps:cNvSpPr/>
                        <wps:spPr>
                          <a:xfrm>
                            <a:off x="0" y="0"/>
                            <a:ext cx="1195269" cy="432000"/>
                          </a:xfrm>
                          <a:prstGeom prst="roundRect">
                            <a:avLst/>
                          </a:prstGeom>
                          <a:ln w="6350">
                            <a:solidFill>
                              <a:schemeClr val="tx1">
                                <a:lumMod val="75000"/>
                                <a:lumOff val="25000"/>
                              </a:schemeClr>
                            </a:solidFill>
                          </a:ln>
                          <a:effectLst/>
                        </wps:spPr>
                        <wps:style>
                          <a:lnRef idx="2">
                            <a:schemeClr val="dk1"/>
                          </a:lnRef>
                          <a:fillRef idx="1">
                            <a:schemeClr val="lt1"/>
                          </a:fillRef>
                          <a:effectRef idx="0">
                            <a:schemeClr val="dk1"/>
                          </a:effectRef>
                          <a:fontRef idx="minor">
                            <a:schemeClr val="dk1"/>
                          </a:fontRef>
                        </wps:style>
                        <wps:txbx>
                          <w:txbxContent>
                            <w:p w14:paraId="3BD963D6" w14:textId="77777777" w:rsidR="0098666F" w:rsidRPr="00991033" w:rsidRDefault="0098666F" w:rsidP="006B3CF0">
                              <w:pPr>
                                <w:spacing w:after="0"/>
                                <w:contextualSpacing/>
                                <w:jc w:val="center"/>
                                <w:rPr>
                                  <w:rFonts w:cstheme="majorBidi"/>
                                  <w:sz w:val="20"/>
                                  <w:szCs w:val="20"/>
                                </w:rPr>
                              </w:pPr>
                              <w:r w:rsidRPr="00991033">
                                <w:rPr>
                                  <w:rFonts w:cstheme="majorBidi"/>
                                  <w:sz w:val="20"/>
                                  <w:szCs w:val="20"/>
                                </w:rPr>
                                <w:t>Performance expectancy (PE)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Rounded Rectangle 14"/>
                        <wps:cNvSpPr/>
                        <wps:spPr>
                          <a:xfrm>
                            <a:off x="0" y="504967"/>
                            <a:ext cx="1195114" cy="432000"/>
                          </a:xfrm>
                          <a:prstGeom prst="roundRect">
                            <a:avLst/>
                          </a:prstGeom>
                          <a:ln w="6350">
                            <a:solidFill>
                              <a:schemeClr val="tx1">
                                <a:lumMod val="75000"/>
                                <a:lumOff val="25000"/>
                              </a:schemeClr>
                            </a:solidFill>
                          </a:ln>
                        </wps:spPr>
                        <wps:style>
                          <a:lnRef idx="2">
                            <a:schemeClr val="dk1"/>
                          </a:lnRef>
                          <a:fillRef idx="1">
                            <a:schemeClr val="lt1"/>
                          </a:fillRef>
                          <a:effectRef idx="0">
                            <a:schemeClr val="dk1"/>
                          </a:effectRef>
                          <a:fontRef idx="minor">
                            <a:schemeClr val="dk1"/>
                          </a:fontRef>
                        </wps:style>
                        <wps:txbx>
                          <w:txbxContent>
                            <w:p w14:paraId="774D72FA" w14:textId="77777777" w:rsidR="0098666F" w:rsidRPr="00991033" w:rsidRDefault="0098666F" w:rsidP="006B3CF0">
                              <w:pPr>
                                <w:spacing w:after="0"/>
                                <w:contextualSpacing/>
                                <w:jc w:val="center"/>
                                <w:rPr>
                                  <w:rFonts w:cstheme="majorBidi"/>
                                  <w:sz w:val="20"/>
                                  <w:szCs w:val="20"/>
                                </w:rPr>
                              </w:pPr>
                              <w:r w:rsidRPr="00991033">
                                <w:rPr>
                                  <w:rFonts w:cstheme="majorBidi"/>
                                  <w:sz w:val="20"/>
                                  <w:szCs w:val="20"/>
                                </w:rPr>
                                <w:t>Effort expectancy (EE)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5" name="Rounded Rectangle 55"/>
                        <wps:cNvSpPr/>
                        <wps:spPr>
                          <a:xfrm>
                            <a:off x="0" y="1009934"/>
                            <a:ext cx="1195114" cy="432000"/>
                          </a:xfrm>
                          <a:prstGeom prst="roundRect">
                            <a:avLst/>
                          </a:prstGeom>
                          <a:ln w="6350">
                            <a:solidFill>
                              <a:schemeClr val="tx1">
                                <a:lumMod val="75000"/>
                                <a:lumOff val="25000"/>
                              </a:schemeClr>
                            </a:solidFill>
                          </a:ln>
                          <a:effectLst/>
                        </wps:spPr>
                        <wps:style>
                          <a:lnRef idx="2">
                            <a:schemeClr val="dk1"/>
                          </a:lnRef>
                          <a:fillRef idx="1">
                            <a:schemeClr val="lt1"/>
                          </a:fillRef>
                          <a:effectRef idx="0">
                            <a:schemeClr val="dk1"/>
                          </a:effectRef>
                          <a:fontRef idx="minor">
                            <a:schemeClr val="dk1"/>
                          </a:fontRef>
                        </wps:style>
                        <wps:txbx>
                          <w:txbxContent>
                            <w:p w14:paraId="1AB990DC" w14:textId="77777777" w:rsidR="0098666F" w:rsidRPr="00991033" w:rsidRDefault="0098666F" w:rsidP="006B3CF0">
                              <w:pPr>
                                <w:spacing w:after="0"/>
                                <w:contextualSpacing/>
                                <w:jc w:val="center"/>
                                <w:rPr>
                                  <w:rFonts w:cstheme="majorBidi"/>
                                  <w:sz w:val="20"/>
                                  <w:szCs w:val="20"/>
                                </w:rPr>
                              </w:pPr>
                              <w:r w:rsidRPr="00991033">
                                <w:rPr>
                                  <w:rFonts w:cstheme="majorBidi"/>
                                  <w:sz w:val="20"/>
                                  <w:szCs w:val="20"/>
                                </w:rPr>
                                <w:t>Social influence (SI)</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6" name="Rounded Rectangle 56"/>
                        <wps:cNvSpPr/>
                        <wps:spPr>
                          <a:xfrm>
                            <a:off x="6824" y="1514901"/>
                            <a:ext cx="1195114" cy="432000"/>
                          </a:xfrm>
                          <a:prstGeom prst="roundRect">
                            <a:avLst/>
                          </a:prstGeom>
                          <a:ln w="6350">
                            <a:solidFill>
                              <a:schemeClr val="tx1">
                                <a:lumMod val="75000"/>
                                <a:lumOff val="25000"/>
                              </a:schemeClr>
                            </a:solidFill>
                          </a:ln>
                          <a:effectLst/>
                        </wps:spPr>
                        <wps:style>
                          <a:lnRef idx="2">
                            <a:schemeClr val="dk1"/>
                          </a:lnRef>
                          <a:fillRef idx="1">
                            <a:schemeClr val="lt1"/>
                          </a:fillRef>
                          <a:effectRef idx="0">
                            <a:schemeClr val="dk1"/>
                          </a:effectRef>
                          <a:fontRef idx="minor">
                            <a:schemeClr val="dk1"/>
                          </a:fontRef>
                        </wps:style>
                        <wps:txbx>
                          <w:txbxContent>
                            <w:p w14:paraId="545E7577" w14:textId="77777777" w:rsidR="0098666F" w:rsidRPr="00991033" w:rsidRDefault="0098666F" w:rsidP="006B3CF0">
                              <w:pPr>
                                <w:spacing w:after="0"/>
                                <w:contextualSpacing/>
                                <w:jc w:val="center"/>
                                <w:rPr>
                                  <w:rFonts w:cstheme="majorBidi"/>
                                  <w:sz w:val="20"/>
                                  <w:szCs w:val="20"/>
                                </w:rPr>
                              </w:pPr>
                              <w:r w:rsidRPr="00991033">
                                <w:rPr>
                                  <w:rFonts w:cstheme="majorBidi"/>
                                  <w:sz w:val="20"/>
                                  <w:szCs w:val="20"/>
                                </w:rPr>
                                <w:t>Facilitating conditions (FC)</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 name="Rounded Rectangle 57"/>
                        <wps:cNvSpPr/>
                        <wps:spPr>
                          <a:xfrm>
                            <a:off x="0" y="2013045"/>
                            <a:ext cx="1195070" cy="432000"/>
                          </a:xfrm>
                          <a:prstGeom prst="roundRect">
                            <a:avLst/>
                          </a:prstGeom>
                          <a:ln w="6350">
                            <a:solidFill>
                              <a:schemeClr val="tx1">
                                <a:lumMod val="75000"/>
                                <a:lumOff val="25000"/>
                              </a:schemeClr>
                            </a:solidFill>
                          </a:ln>
                          <a:effectLst/>
                        </wps:spPr>
                        <wps:style>
                          <a:lnRef idx="2">
                            <a:schemeClr val="dk1"/>
                          </a:lnRef>
                          <a:fillRef idx="1">
                            <a:schemeClr val="lt1"/>
                          </a:fillRef>
                          <a:effectRef idx="0">
                            <a:schemeClr val="dk1"/>
                          </a:effectRef>
                          <a:fontRef idx="minor">
                            <a:schemeClr val="dk1"/>
                          </a:fontRef>
                        </wps:style>
                        <wps:txbx>
                          <w:txbxContent>
                            <w:p w14:paraId="351DA9DF" w14:textId="77777777" w:rsidR="0098666F" w:rsidRPr="00991033" w:rsidRDefault="0098666F" w:rsidP="006B3CF0">
                              <w:pPr>
                                <w:spacing w:after="0"/>
                                <w:contextualSpacing/>
                                <w:jc w:val="center"/>
                                <w:rPr>
                                  <w:rFonts w:cstheme="majorBidi"/>
                                  <w:sz w:val="20"/>
                                  <w:szCs w:val="20"/>
                                </w:rPr>
                              </w:pPr>
                              <w:r w:rsidRPr="00991033">
                                <w:rPr>
                                  <w:rFonts w:cstheme="majorBidi"/>
                                  <w:sz w:val="20"/>
                                  <w:szCs w:val="20"/>
                                </w:rPr>
                                <w:t>Habit (HB)</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8" name="Rounded Rectangle 58"/>
                        <wps:cNvSpPr/>
                        <wps:spPr>
                          <a:xfrm>
                            <a:off x="0" y="2518012"/>
                            <a:ext cx="1195070" cy="431800"/>
                          </a:xfrm>
                          <a:prstGeom prst="roundRect">
                            <a:avLst/>
                          </a:prstGeom>
                          <a:ln w="6350">
                            <a:solidFill>
                              <a:schemeClr val="tx1">
                                <a:lumMod val="75000"/>
                                <a:lumOff val="25000"/>
                              </a:schemeClr>
                            </a:solidFill>
                          </a:ln>
                          <a:effectLst/>
                        </wps:spPr>
                        <wps:style>
                          <a:lnRef idx="2">
                            <a:schemeClr val="dk1"/>
                          </a:lnRef>
                          <a:fillRef idx="1">
                            <a:schemeClr val="lt1"/>
                          </a:fillRef>
                          <a:effectRef idx="0">
                            <a:schemeClr val="dk1"/>
                          </a:effectRef>
                          <a:fontRef idx="minor">
                            <a:schemeClr val="dk1"/>
                          </a:fontRef>
                        </wps:style>
                        <wps:txbx>
                          <w:txbxContent>
                            <w:p w14:paraId="7EE76E3D" w14:textId="77777777" w:rsidR="0098666F" w:rsidRPr="00991033" w:rsidRDefault="0098666F" w:rsidP="006B3CF0">
                              <w:pPr>
                                <w:spacing w:after="0"/>
                                <w:contextualSpacing/>
                                <w:jc w:val="center"/>
                                <w:rPr>
                                  <w:rFonts w:cstheme="majorBidi"/>
                                  <w:sz w:val="20"/>
                                  <w:szCs w:val="20"/>
                                </w:rPr>
                              </w:pPr>
                              <w:r w:rsidRPr="00991033">
                                <w:rPr>
                                  <w:rFonts w:cstheme="majorBidi"/>
                                  <w:sz w:val="20"/>
                                  <w:szCs w:val="20"/>
                                </w:rPr>
                                <w:t>Hedonic motivation (HM)</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9" name="Rounded Rectangle 59"/>
                        <wps:cNvSpPr/>
                        <wps:spPr>
                          <a:xfrm>
                            <a:off x="2599899" y="504967"/>
                            <a:ext cx="1002030" cy="431800"/>
                          </a:xfrm>
                          <a:prstGeom prst="roundRect">
                            <a:avLst/>
                          </a:prstGeom>
                          <a:ln w="6350">
                            <a:solidFill>
                              <a:schemeClr val="tx1">
                                <a:lumMod val="65000"/>
                                <a:lumOff val="35000"/>
                              </a:schemeClr>
                            </a:solidFill>
                          </a:ln>
                          <a:effectLst/>
                        </wps:spPr>
                        <wps:style>
                          <a:lnRef idx="2">
                            <a:schemeClr val="dk1"/>
                          </a:lnRef>
                          <a:fillRef idx="1">
                            <a:schemeClr val="lt1"/>
                          </a:fillRef>
                          <a:effectRef idx="0">
                            <a:schemeClr val="dk1"/>
                          </a:effectRef>
                          <a:fontRef idx="minor">
                            <a:schemeClr val="dk1"/>
                          </a:fontRef>
                        </wps:style>
                        <wps:txbx>
                          <w:txbxContent>
                            <w:p w14:paraId="69886496" w14:textId="77777777" w:rsidR="0098666F" w:rsidRPr="00991033" w:rsidRDefault="0098666F" w:rsidP="006B3CF0">
                              <w:pPr>
                                <w:spacing w:after="0"/>
                                <w:jc w:val="center"/>
                                <w:rPr>
                                  <w:rFonts w:cstheme="majorBidi"/>
                                  <w:sz w:val="20"/>
                                  <w:szCs w:val="20"/>
                                </w:rPr>
                              </w:pPr>
                              <w:r w:rsidRPr="00991033">
                                <w:rPr>
                                  <w:rFonts w:cstheme="majorBidi"/>
                                  <w:sz w:val="20"/>
                                  <w:szCs w:val="20"/>
                                </w:rPr>
                                <w:t>Behavioural intention (BI)</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0" name="Rounded Rectangle 60"/>
                        <wps:cNvSpPr/>
                        <wps:spPr>
                          <a:xfrm>
                            <a:off x="2599899" y="2013045"/>
                            <a:ext cx="965835" cy="431800"/>
                          </a:xfrm>
                          <a:prstGeom prst="roundRect">
                            <a:avLst/>
                          </a:prstGeom>
                          <a:ln w="6350">
                            <a:solidFill>
                              <a:schemeClr val="tx1">
                                <a:lumMod val="65000"/>
                                <a:lumOff val="35000"/>
                              </a:schemeClr>
                            </a:solidFill>
                          </a:ln>
                          <a:effectLst/>
                        </wps:spPr>
                        <wps:style>
                          <a:lnRef idx="2">
                            <a:schemeClr val="accent2"/>
                          </a:lnRef>
                          <a:fillRef idx="1">
                            <a:schemeClr val="lt1"/>
                          </a:fillRef>
                          <a:effectRef idx="0">
                            <a:schemeClr val="accent2"/>
                          </a:effectRef>
                          <a:fontRef idx="minor">
                            <a:schemeClr val="dk1"/>
                          </a:fontRef>
                        </wps:style>
                        <wps:txbx>
                          <w:txbxContent>
                            <w:p w14:paraId="4C5A5F9D" w14:textId="77777777" w:rsidR="0098666F" w:rsidRPr="00991033" w:rsidRDefault="0098666F" w:rsidP="006B3CF0">
                              <w:pPr>
                                <w:spacing w:after="0"/>
                                <w:jc w:val="center"/>
                                <w:rPr>
                                  <w:rFonts w:cstheme="majorBidi"/>
                                  <w:sz w:val="20"/>
                                  <w:szCs w:val="20"/>
                                </w:rPr>
                              </w:pPr>
                              <w:r w:rsidRPr="00991033">
                                <w:rPr>
                                  <w:rFonts w:cstheme="majorBidi"/>
                                  <w:sz w:val="20"/>
                                  <w:szCs w:val="20"/>
                                </w:rPr>
                                <w:t>Gamification (GM)</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1" name="Rounded Rectangle 61"/>
                        <wps:cNvSpPr/>
                        <wps:spPr>
                          <a:xfrm>
                            <a:off x="4067033" y="1009934"/>
                            <a:ext cx="1080000" cy="431800"/>
                          </a:xfrm>
                          <a:prstGeom prst="roundRect">
                            <a:avLst/>
                          </a:prstGeom>
                          <a:ln w="6350">
                            <a:solidFill>
                              <a:schemeClr val="tx1">
                                <a:lumMod val="65000"/>
                                <a:lumOff val="35000"/>
                              </a:schemeClr>
                            </a:solidFill>
                          </a:ln>
                          <a:effectLst/>
                        </wps:spPr>
                        <wps:style>
                          <a:lnRef idx="2">
                            <a:schemeClr val="dk1"/>
                          </a:lnRef>
                          <a:fillRef idx="1">
                            <a:schemeClr val="lt1"/>
                          </a:fillRef>
                          <a:effectRef idx="0">
                            <a:schemeClr val="dk1"/>
                          </a:effectRef>
                          <a:fontRef idx="minor">
                            <a:schemeClr val="dk1"/>
                          </a:fontRef>
                        </wps:style>
                        <wps:txbx>
                          <w:txbxContent>
                            <w:p w14:paraId="1587A928" w14:textId="77777777" w:rsidR="0098666F" w:rsidRPr="00991033" w:rsidRDefault="0098666F" w:rsidP="006B3CF0">
                              <w:pPr>
                                <w:spacing w:after="0"/>
                                <w:jc w:val="center"/>
                                <w:rPr>
                                  <w:rFonts w:cstheme="majorBidi"/>
                                  <w:sz w:val="20"/>
                                  <w:szCs w:val="20"/>
                                </w:rPr>
                              </w:pPr>
                              <w:r w:rsidRPr="00991033">
                                <w:rPr>
                                  <w:rFonts w:cstheme="majorBidi"/>
                                  <w:sz w:val="20"/>
                                  <w:szCs w:val="20"/>
                                </w:rPr>
                                <w:t>User behaviour (UB)</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2" name="Rounded Rectangle 62"/>
                        <wps:cNvSpPr/>
                        <wps:spPr>
                          <a:xfrm>
                            <a:off x="4067033" y="252483"/>
                            <a:ext cx="1079500" cy="431800"/>
                          </a:xfrm>
                          <a:prstGeom prst="roundRect">
                            <a:avLst/>
                          </a:prstGeom>
                          <a:ln w="6350">
                            <a:solidFill>
                              <a:schemeClr val="tx1">
                                <a:lumMod val="65000"/>
                                <a:lumOff val="35000"/>
                              </a:schemeClr>
                            </a:solidFill>
                          </a:ln>
                          <a:effectLst/>
                        </wps:spPr>
                        <wps:style>
                          <a:lnRef idx="2">
                            <a:schemeClr val="dk1"/>
                          </a:lnRef>
                          <a:fillRef idx="1">
                            <a:schemeClr val="lt1"/>
                          </a:fillRef>
                          <a:effectRef idx="0">
                            <a:schemeClr val="dk1"/>
                          </a:effectRef>
                          <a:fontRef idx="minor">
                            <a:schemeClr val="dk1"/>
                          </a:fontRef>
                        </wps:style>
                        <wps:txbx>
                          <w:txbxContent>
                            <w:p w14:paraId="6D21329F" w14:textId="77777777" w:rsidR="0098666F" w:rsidRPr="00991033" w:rsidRDefault="0098666F" w:rsidP="006B3CF0">
                              <w:pPr>
                                <w:spacing w:after="0"/>
                                <w:jc w:val="center"/>
                                <w:rPr>
                                  <w:rFonts w:cstheme="majorBidi"/>
                                  <w:sz w:val="20"/>
                                  <w:szCs w:val="20"/>
                                </w:rPr>
                              </w:pPr>
                              <w:r w:rsidRPr="00991033">
                                <w:rPr>
                                  <w:rFonts w:cstheme="majorBidi"/>
                                  <w:sz w:val="20"/>
                                  <w:szCs w:val="20"/>
                                </w:rPr>
                                <w:t>Intention to recommend (IR)</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3" name="Rounded Rectangle 63"/>
                        <wps:cNvSpPr/>
                        <wps:spPr>
                          <a:xfrm>
                            <a:off x="4067033" y="1514901"/>
                            <a:ext cx="1079500" cy="431800"/>
                          </a:xfrm>
                          <a:prstGeom prst="roundRect">
                            <a:avLst/>
                          </a:prstGeom>
                          <a:noFill/>
                          <a:ln w="6350">
                            <a:solidFill>
                              <a:schemeClr val="tx1">
                                <a:lumMod val="65000"/>
                                <a:lumOff val="35000"/>
                              </a:schemeClr>
                            </a:solidFill>
                          </a:ln>
                          <a:effectLst/>
                        </wps:spPr>
                        <wps:style>
                          <a:lnRef idx="2">
                            <a:schemeClr val="dk1"/>
                          </a:lnRef>
                          <a:fillRef idx="1">
                            <a:schemeClr val="lt1"/>
                          </a:fillRef>
                          <a:effectRef idx="0">
                            <a:schemeClr val="dk1"/>
                          </a:effectRef>
                          <a:fontRef idx="minor">
                            <a:schemeClr val="dk1"/>
                          </a:fontRef>
                        </wps:style>
                        <wps:txbx>
                          <w:txbxContent>
                            <w:p w14:paraId="0E3D7001" w14:textId="2594F886" w:rsidR="0098666F" w:rsidRPr="006B3CF0" w:rsidRDefault="0098666F" w:rsidP="006B3CF0">
                              <w:pPr>
                                <w:spacing w:after="0"/>
                                <w:jc w:val="center"/>
                                <w:rPr>
                                  <w:rFonts w:cstheme="majorBidi"/>
                                  <w:sz w:val="20"/>
                                  <w:szCs w:val="20"/>
                                  <w:lang w:val="sq-AL"/>
                                </w:rPr>
                              </w:pPr>
                              <w:r w:rsidRPr="006B3CF0">
                                <w:rPr>
                                  <w:rFonts w:cstheme="majorBidi"/>
                                  <w:sz w:val="20"/>
                                  <w:szCs w:val="20"/>
                                </w:rPr>
                                <w:t>G</w:t>
                              </w:r>
                              <w:r>
                                <w:rPr>
                                  <w:rFonts w:cstheme="majorBidi"/>
                                  <w:sz w:val="20"/>
                                  <w:szCs w:val="20"/>
                                </w:rPr>
                                <w:t>eneration</w:t>
                              </w:r>
                              <w:r>
                                <w:rPr>
                                  <w:rFonts w:cstheme="majorBidi"/>
                                  <w:sz w:val="20"/>
                                  <w:szCs w:val="20"/>
                                </w:rPr>
                                <w:br/>
                                <w:t>(Gen YZ)</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4" name="Straight Arrow Connector 64"/>
                        <wps:cNvCnPr>
                          <a:endCxn id="59" idx="1"/>
                        </wps:cNvCnPr>
                        <wps:spPr>
                          <a:xfrm>
                            <a:off x="1194096" y="204700"/>
                            <a:ext cx="1405803" cy="516167"/>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67" name="Straight Arrow Connector 67"/>
                        <wps:cNvCnPr/>
                        <wps:spPr>
                          <a:xfrm>
                            <a:off x="1194179" y="723331"/>
                            <a:ext cx="1395730" cy="0"/>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68" name="Straight Arrow Connector 68"/>
                        <wps:cNvCnPr>
                          <a:endCxn id="59" idx="1"/>
                        </wps:cNvCnPr>
                        <wps:spPr>
                          <a:xfrm flipV="1">
                            <a:off x="1200919" y="720867"/>
                            <a:ext cx="1398980" cy="507190"/>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69" name="Straight Arrow Connector 69"/>
                        <wps:cNvCnPr>
                          <a:endCxn id="59" idx="1"/>
                        </wps:cNvCnPr>
                        <wps:spPr>
                          <a:xfrm flipV="1">
                            <a:off x="1200919" y="720867"/>
                            <a:ext cx="1398980" cy="1002452"/>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70" name="Straight Arrow Connector 70"/>
                        <wps:cNvCnPr>
                          <a:endCxn id="59" idx="1"/>
                        </wps:cNvCnPr>
                        <wps:spPr>
                          <a:xfrm flipV="1">
                            <a:off x="1194096" y="720867"/>
                            <a:ext cx="1405803" cy="1517368"/>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71" name="Straight Arrow Connector 71"/>
                        <wps:cNvCnPr>
                          <a:endCxn id="59" idx="1"/>
                        </wps:cNvCnPr>
                        <wps:spPr>
                          <a:xfrm flipV="1">
                            <a:off x="1200919" y="720867"/>
                            <a:ext cx="1398980" cy="2009472"/>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72" name="Straight Arrow Connector 72"/>
                        <wps:cNvCnPr/>
                        <wps:spPr>
                          <a:xfrm>
                            <a:off x="1207827" y="2217761"/>
                            <a:ext cx="1395730" cy="0"/>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73" name="Straight Arrow Connector 73"/>
                        <wps:cNvCnPr/>
                        <wps:spPr>
                          <a:xfrm>
                            <a:off x="1201003" y="1712794"/>
                            <a:ext cx="1404000" cy="514350"/>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74" name="Straight Arrow Connector 74"/>
                        <wps:cNvCnPr/>
                        <wps:spPr>
                          <a:xfrm flipV="1">
                            <a:off x="1194179" y="2224585"/>
                            <a:ext cx="1400175" cy="504825"/>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75" name="Straight Arrow Connector 75"/>
                        <wps:cNvCnPr/>
                        <wps:spPr>
                          <a:xfrm>
                            <a:off x="1201003" y="1221475"/>
                            <a:ext cx="1403985" cy="994868"/>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76" name="Straight Arrow Connector 76"/>
                        <wps:cNvCnPr/>
                        <wps:spPr>
                          <a:xfrm rot="16200000">
                            <a:off x="2558955" y="1473959"/>
                            <a:ext cx="1079500" cy="0"/>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77" name="Straight Arrow Connector 77"/>
                        <wps:cNvCnPr/>
                        <wps:spPr>
                          <a:xfrm rot="16200000">
                            <a:off x="4469642" y="852985"/>
                            <a:ext cx="324000" cy="0"/>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78" name="Straight Arrow Connector 78"/>
                        <wps:cNvCnPr/>
                        <wps:spPr>
                          <a:xfrm flipH="1">
                            <a:off x="3098042" y="1726442"/>
                            <a:ext cx="972000" cy="0"/>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79" name="Straight Arrow Connector 79"/>
                        <wps:cNvCnPr>
                          <a:endCxn id="61" idx="1"/>
                        </wps:cNvCnPr>
                        <wps:spPr>
                          <a:xfrm>
                            <a:off x="3606470" y="709626"/>
                            <a:ext cx="460563" cy="516208"/>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80" name="Text Box 80"/>
                        <wps:cNvSpPr txBox="1"/>
                        <wps:spPr>
                          <a:xfrm rot="2924306">
                            <a:off x="3623480" y="757451"/>
                            <a:ext cx="482804" cy="22677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559F4D8" w14:textId="46CBCCC7" w:rsidR="0098666F" w:rsidRPr="00CE1C32" w:rsidRDefault="0098666F" w:rsidP="00CE1C32">
                              <w:pPr>
                                <w:spacing w:after="0"/>
                                <w:contextualSpacing/>
                                <w:rPr>
                                  <w:sz w:val="20"/>
                                  <w:lang w:val="sq-AL"/>
                                </w:rPr>
                              </w:pPr>
                              <w:r w:rsidRPr="00CE1C32">
                                <w:rPr>
                                  <w:sz w:val="20"/>
                                  <w:lang w:val="sq-AL"/>
                                </w:rPr>
                                <w:t>H1</w:t>
                              </w:r>
                              <w:r>
                                <w:rPr>
                                  <w:sz w:val="20"/>
                                  <w:lang w:val="sq-AL"/>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1" name="Straight Arrow Connector 81"/>
                        <wps:cNvCnPr>
                          <a:endCxn id="61" idx="1"/>
                        </wps:cNvCnPr>
                        <wps:spPr>
                          <a:xfrm flipV="1">
                            <a:off x="1214567" y="1225834"/>
                            <a:ext cx="2852466" cy="484639"/>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82" name="Straight Arrow Connector 82"/>
                        <wps:cNvCnPr>
                          <a:endCxn id="61" idx="1"/>
                        </wps:cNvCnPr>
                        <wps:spPr>
                          <a:xfrm flipV="1">
                            <a:off x="1194096" y="1225834"/>
                            <a:ext cx="2872937" cy="987671"/>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83" name="Text Box 83"/>
                        <wps:cNvSpPr txBox="1"/>
                        <wps:spPr>
                          <a:xfrm rot="21030488">
                            <a:off x="2381534" y="1269242"/>
                            <a:ext cx="482804" cy="22677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9ADE247" w14:textId="15B7C607" w:rsidR="0098666F" w:rsidRPr="00CE1C32" w:rsidRDefault="0098666F" w:rsidP="00CE1C32">
                              <w:pPr>
                                <w:spacing w:after="0"/>
                                <w:contextualSpacing/>
                                <w:rPr>
                                  <w:sz w:val="20"/>
                                  <w:lang w:val="sq-AL"/>
                                </w:rPr>
                              </w:pPr>
                              <w:r w:rsidRPr="00CE1C32">
                                <w:rPr>
                                  <w:sz w:val="20"/>
                                  <w:lang w:val="sq-AL"/>
                                </w:rPr>
                                <w:t>H1</w:t>
                              </w:r>
                              <w:r>
                                <w:rPr>
                                  <w:sz w:val="20"/>
                                  <w:lang w:val="sq-AL"/>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4" name="Text Box 84"/>
                        <wps:cNvSpPr txBox="1"/>
                        <wps:spPr>
                          <a:xfrm rot="20467442">
                            <a:off x="2347415" y="1528549"/>
                            <a:ext cx="482600" cy="2266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4C6B51D" w14:textId="7040CDC0" w:rsidR="0098666F" w:rsidRPr="00CE1C32" w:rsidRDefault="0098666F" w:rsidP="00CE1C32">
                              <w:pPr>
                                <w:spacing w:after="0"/>
                                <w:contextualSpacing/>
                                <w:rPr>
                                  <w:sz w:val="20"/>
                                  <w:lang w:val="sq-AL"/>
                                </w:rPr>
                              </w:pPr>
                              <w:r w:rsidRPr="00CE1C32">
                                <w:rPr>
                                  <w:sz w:val="20"/>
                                  <w:lang w:val="sq-AL"/>
                                </w:rPr>
                                <w:t>H1</w:t>
                              </w:r>
                              <w:r>
                                <w:rPr>
                                  <w:sz w:val="20"/>
                                  <w:lang w:val="sq-AL"/>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5" name="Text Box 85"/>
                        <wps:cNvSpPr txBox="1"/>
                        <wps:spPr>
                          <a:xfrm rot="1138861">
                            <a:off x="1651379" y="252483"/>
                            <a:ext cx="482600" cy="2266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8CB6E96" w14:textId="2931E5FF" w:rsidR="0098666F" w:rsidRPr="00CE1C32" w:rsidRDefault="0098666F" w:rsidP="00CE1C32">
                              <w:pPr>
                                <w:spacing w:after="0"/>
                                <w:contextualSpacing/>
                                <w:rPr>
                                  <w:sz w:val="20"/>
                                  <w:lang w:val="sq-AL"/>
                                </w:rPr>
                              </w:pPr>
                              <w:r w:rsidRPr="00CE1C32">
                                <w:rPr>
                                  <w:sz w:val="20"/>
                                  <w:lang w:val="sq-AL"/>
                                </w:rPr>
                                <w:t>H</w:t>
                              </w:r>
                              <w:r>
                                <w:rPr>
                                  <w:sz w:val="20"/>
                                  <w:lang w:val="sq-AL"/>
                                </w:rPr>
                                <w:t>2a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6" name="Text Box 86"/>
                        <wps:cNvSpPr txBox="1"/>
                        <wps:spPr>
                          <a:xfrm>
                            <a:off x="1453487" y="511791"/>
                            <a:ext cx="482804" cy="22677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070628A" w14:textId="4B6C1603" w:rsidR="0098666F" w:rsidRPr="00CE1C32" w:rsidRDefault="0098666F" w:rsidP="00CE1C32">
                              <w:pPr>
                                <w:spacing w:after="0"/>
                                <w:contextualSpacing/>
                                <w:rPr>
                                  <w:sz w:val="20"/>
                                  <w:lang w:val="sq-AL"/>
                                </w:rPr>
                              </w:pPr>
                              <w:r w:rsidRPr="00CE1C32">
                                <w:rPr>
                                  <w:sz w:val="20"/>
                                  <w:lang w:val="sq-AL"/>
                                </w:rPr>
                                <w:t>H</w:t>
                              </w:r>
                              <w:r>
                                <w:rPr>
                                  <w:sz w:val="20"/>
                                  <w:lang w:val="sq-AL"/>
                                </w:rPr>
                                <w:t>2b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7" name="Text Box 87"/>
                        <wps:cNvSpPr txBox="1"/>
                        <wps:spPr>
                          <a:xfrm rot="20413702">
                            <a:off x="1419367" y="852985"/>
                            <a:ext cx="482804" cy="22677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59E63F1" w14:textId="55C76560" w:rsidR="0098666F" w:rsidRPr="00CE1C32" w:rsidRDefault="0098666F" w:rsidP="00CE1C32">
                              <w:pPr>
                                <w:spacing w:after="0"/>
                                <w:contextualSpacing/>
                                <w:rPr>
                                  <w:sz w:val="20"/>
                                  <w:lang w:val="sq-AL"/>
                                </w:rPr>
                              </w:pPr>
                              <w:r w:rsidRPr="00CE1C32">
                                <w:rPr>
                                  <w:sz w:val="20"/>
                                  <w:lang w:val="sq-AL"/>
                                </w:rPr>
                                <w:t>H</w:t>
                              </w:r>
                              <w:r>
                                <w:rPr>
                                  <w:sz w:val="20"/>
                                  <w:lang w:val="sq-AL"/>
                                </w:rPr>
                                <w:t>2c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8" name="Text Box 88"/>
                        <wps:cNvSpPr txBox="1"/>
                        <wps:spPr>
                          <a:xfrm rot="19430001">
                            <a:off x="1651379" y="1003110"/>
                            <a:ext cx="482600" cy="2266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2879038" w14:textId="691A16E4" w:rsidR="0098666F" w:rsidRPr="00CE1C32" w:rsidRDefault="0098666F" w:rsidP="00CE1C32">
                              <w:pPr>
                                <w:spacing w:after="0"/>
                                <w:contextualSpacing/>
                                <w:rPr>
                                  <w:sz w:val="20"/>
                                  <w:lang w:val="sq-AL"/>
                                </w:rPr>
                              </w:pPr>
                              <w:r w:rsidRPr="00CE1C32">
                                <w:rPr>
                                  <w:sz w:val="20"/>
                                  <w:lang w:val="sq-AL"/>
                                </w:rPr>
                                <w:t>H</w:t>
                              </w:r>
                              <w:r>
                                <w:rPr>
                                  <w:sz w:val="20"/>
                                  <w:lang w:val="sq-AL"/>
                                </w:rPr>
                                <w:t>2d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9" name="Text Box 89"/>
                        <wps:cNvSpPr txBox="1"/>
                        <wps:spPr>
                          <a:xfrm rot="18777306">
                            <a:off x="1743501" y="1156648"/>
                            <a:ext cx="482600" cy="2266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53C2DE1" w14:textId="2BFE7895" w:rsidR="0098666F" w:rsidRPr="00CE1C32" w:rsidRDefault="0098666F" w:rsidP="00CE1C32">
                              <w:pPr>
                                <w:spacing w:after="0"/>
                                <w:contextualSpacing/>
                                <w:rPr>
                                  <w:sz w:val="20"/>
                                  <w:lang w:val="sq-AL"/>
                                </w:rPr>
                              </w:pPr>
                              <w:r w:rsidRPr="00CE1C32">
                                <w:rPr>
                                  <w:sz w:val="20"/>
                                  <w:lang w:val="sq-AL"/>
                                </w:rPr>
                                <w:t>H</w:t>
                              </w:r>
                              <w:r>
                                <w:rPr>
                                  <w:sz w:val="20"/>
                                  <w:lang w:val="sq-AL"/>
                                </w:rPr>
                                <w:t>2e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0" name="Text Box 90"/>
                        <wps:cNvSpPr txBox="1"/>
                        <wps:spPr>
                          <a:xfrm rot="18444618">
                            <a:off x="1139588" y="2238233"/>
                            <a:ext cx="482600" cy="2266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59CA4A5" w14:textId="1DE0F13D" w:rsidR="0098666F" w:rsidRPr="00CE1C32" w:rsidRDefault="0098666F" w:rsidP="00CE1C32">
                              <w:pPr>
                                <w:spacing w:after="0"/>
                                <w:contextualSpacing/>
                                <w:rPr>
                                  <w:sz w:val="20"/>
                                  <w:lang w:val="sq-AL"/>
                                </w:rPr>
                              </w:pPr>
                              <w:r w:rsidRPr="00CE1C32">
                                <w:rPr>
                                  <w:sz w:val="20"/>
                                  <w:lang w:val="sq-AL"/>
                                </w:rPr>
                                <w:t>H</w:t>
                              </w:r>
                              <w:r>
                                <w:rPr>
                                  <w:sz w:val="20"/>
                                  <w:lang w:val="sq-AL"/>
                                </w:rPr>
                                <w:t>2f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1" name="Text Box 91"/>
                        <wps:cNvSpPr txBox="1"/>
                        <wps:spPr>
                          <a:xfrm rot="2080639">
                            <a:off x="1876567" y="1651379"/>
                            <a:ext cx="482804" cy="22677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9D2AE00" w14:textId="5987A4AE" w:rsidR="0098666F" w:rsidRPr="00CE1C32" w:rsidRDefault="0098666F" w:rsidP="00CE1C32">
                              <w:pPr>
                                <w:spacing w:after="0"/>
                                <w:contextualSpacing/>
                                <w:rPr>
                                  <w:sz w:val="20"/>
                                  <w:lang w:val="sq-AL"/>
                                </w:rPr>
                              </w:pPr>
                              <w:r w:rsidRPr="00CE1C32">
                                <w:rPr>
                                  <w:sz w:val="20"/>
                                  <w:lang w:val="sq-AL"/>
                                </w:rPr>
                                <w:t>H</w:t>
                              </w:r>
                              <w:r>
                                <w:rPr>
                                  <w:sz w:val="20"/>
                                  <w:lang w:val="sq-AL"/>
                                </w:rPr>
                                <w:t>3a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2" name="Text Box 92"/>
                        <wps:cNvSpPr txBox="1"/>
                        <wps:spPr>
                          <a:xfrm rot="16200000">
                            <a:off x="2756848" y="1037230"/>
                            <a:ext cx="482804" cy="252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51E9998" w14:textId="08268044" w:rsidR="0098666F" w:rsidRPr="00CE1C32" w:rsidRDefault="0098666F" w:rsidP="00CE1C32">
                              <w:pPr>
                                <w:spacing w:after="0"/>
                                <w:contextualSpacing/>
                                <w:rPr>
                                  <w:sz w:val="20"/>
                                  <w:lang w:val="sq-AL"/>
                                </w:rPr>
                              </w:pPr>
                              <w:r w:rsidRPr="00CE1C32">
                                <w:rPr>
                                  <w:sz w:val="20"/>
                                  <w:lang w:val="sq-AL"/>
                                </w:rPr>
                                <w:t>H</w:t>
                              </w:r>
                              <w:r>
                                <w:rPr>
                                  <w:sz w:val="20"/>
                                  <w:lang w:val="sq-AL"/>
                                </w:rPr>
                                <w:t>2g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3" name="Text Box 93"/>
                        <wps:cNvSpPr txBox="1"/>
                        <wps:spPr>
                          <a:xfrm rot="1142578">
                            <a:off x="1950073" y="1899742"/>
                            <a:ext cx="482600" cy="2266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38307A5" w14:textId="21CED07D" w:rsidR="0098666F" w:rsidRPr="00CE1C32" w:rsidRDefault="0098666F" w:rsidP="00CE1C32">
                              <w:pPr>
                                <w:spacing w:after="0"/>
                                <w:contextualSpacing/>
                                <w:rPr>
                                  <w:sz w:val="20"/>
                                  <w:lang w:val="sq-AL"/>
                                </w:rPr>
                              </w:pPr>
                              <w:r w:rsidRPr="00CE1C32">
                                <w:rPr>
                                  <w:sz w:val="20"/>
                                  <w:lang w:val="sq-AL"/>
                                </w:rPr>
                                <w:t>H</w:t>
                              </w:r>
                              <w:r>
                                <w:rPr>
                                  <w:sz w:val="20"/>
                                  <w:lang w:val="sq-AL"/>
                                </w:rPr>
                                <w:t>3b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4" name="Text Box 94"/>
                        <wps:cNvSpPr txBox="1"/>
                        <wps:spPr>
                          <a:xfrm>
                            <a:off x="1746913" y="2026692"/>
                            <a:ext cx="482600" cy="2266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0159BDC" w14:textId="5F33B3B2" w:rsidR="0098666F" w:rsidRPr="00CE1C32" w:rsidRDefault="0098666F" w:rsidP="00CE1C32">
                              <w:pPr>
                                <w:spacing w:after="0"/>
                                <w:contextualSpacing/>
                                <w:rPr>
                                  <w:sz w:val="20"/>
                                  <w:lang w:val="sq-AL"/>
                                </w:rPr>
                              </w:pPr>
                              <w:r w:rsidRPr="00CE1C32">
                                <w:rPr>
                                  <w:sz w:val="20"/>
                                  <w:lang w:val="sq-AL"/>
                                </w:rPr>
                                <w:t>H</w:t>
                              </w:r>
                              <w:r>
                                <w:rPr>
                                  <w:sz w:val="20"/>
                                  <w:lang w:val="sq-AL"/>
                                </w:rPr>
                                <w:t>3b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5" name="Text Box 95"/>
                        <wps:cNvSpPr txBox="1"/>
                        <wps:spPr>
                          <a:xfrm rot="20360477">
                            <a:off x="1610436" y="2286000"/>
                            <a:ext cx="482600" cy="2266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59DC19F" w14:textId="167E0EF6" w:rsidR="0098666F" w:rsidRPr="00CE1C32" w:rsidRDefault="0098666F" w:rsidP="00CE1C32">
                              <w:pPr>
                                <w:spacing w:after="0"/>
                                <w:contextualSpacing/>
                                <w:rPr>
                                  <w:sz w:val="20"/>
                                  <w:lang w:val="sq-AL"/>
                                </w:rPr>
                              </w:pPr>
                              <w:r w:rsidRPr="00CE1C32">
                                <w:rPr>
                                  <w:sz w:val="20"/>
                                  <w:lang w:val="sq-AL"/>
                                </w:rPr>
                                <w:t>H</w:t>
                              </w:r>
                              <w:r>
                                <w:rPr>
                                  <w:sz w:val="20"/>
                                  <w:lang w:val="sq-AL"/>
                                </w:rPr>
                                <w:t>3d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6" name="Text Box 96"/>
                        <wps:cNvSpPr txBox="1"/>
                        <wps:spPr>
                          <a:xfrm>
                            <a:off x="3411940" y="1535373"/>
                            <a:ext cx="482600" cy="2266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428B228" w14:textId="1D323442" w:rsidR="0098666F" w:rsidRPr="00CE1C32" w:rsidRDefault="0098666F" w:rsidP="00CE1C32">
                              <w:pPr>
                                <w:spacing w:after="0"/>
                                <w:contextualSpacing/>
                                <w:rPr>
                                  <w:sz w:val="20"/>
                                  <w:lang w:val="sq-AL"/>
                                </w:rPr>
                              </w:pPr>
                              <w:r w:rsidRPr="00CE1C32">
                                <w:rPr>
                                  <w:sz w:val="20"/>
                                  <w:lang w:val="sq-AL"/>
                                </w:rPr>
                                <w:t>H</w:t>
                              </w:r>
                              <w:r>
                                <w:rPr>
                                  <w:sz w:val="20"/>
                                  <w:lang w:val="sq-AL"/>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7" name="Text Box 97"/>
                        <wps:cNvSpPr txBox="1"/>
                        <wps:spPr>
                          <a:xfrm rot="16200000">
                            <a:off x="4322928" y="754039"/>
                            <a:ext cx="359410" cy="2159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1AE3A2D" w14:textId="156C443D" w:rsidR="0098666F" w:rsidRPr="00CE1C32" w:rsidRDefault="0098666F" w:rsidP="00CE1C32">
                              <w:pPr>
                                <w:spacing w:after="0"/>
                                <w:contextualSpacing/>
                                <w:rPr>
                                  <w:sz w:val="20"/>
                                  <w:lang w:val="sq-AL"/>
                                </w:rPr>
                              </w:pPr>
                              <w:r w:rsidRPr="00CE1C32">
                                <w:rPr>
                                  <w:sz w:val="20"/>
                                  <w:lang w:val="sq-AL"/>
                                </w:rPr>
                                <w:t>H</w:t>
                              </w:r>
                              <w:r>
                                <w:rPr>
                                  <w:sz w:val="20"/>
                                  <w:lang w:val="sq-AL"/>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inline>
            </w:drawing>
          </mc:Choice>
          <mc:Fallback>
            <w:pict>
              <v:group w14:anchorId="76C817BB" id="Group 98" o:spid="_x0000_s1026" style="width:405.3pt;height:232.25pt;mso-position-horizontal-relative:char;mso-position-vertical-relative:line" coordsize="51470,294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">
                <v:roundrect id="Rounded Rectangle 54" o:spid="_x0000_s1027" style="position:absolute;width:11952;height:43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UuSMMA&#10;AADbAAAADwAAAGRycy9kb3ducmV2LnhtbESP3WoCMRSE7wXfIRzBG6lZpYpdjSItBUEEf1qvj5vj&#10;ZnFzsmxS3b69EQQvh5n5hpktGluKK9W+cKxg0E9AEGdOF5wr+Dl8v01A+ICssXRMCv7Jw2Lebs0w&#10;1e7GO7ruQy4ihH2KCkwIVSqlzwxZ9H1XEUfv7GqLIco6l7rGW4TbUg6TZCwtFhwXDFb0aSi77P9s&#10;pOCG85XJlh/br96vDevT6Hg8KdXtNMspiEBNeIWf7ZVWMHqHx5f4A+T8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7UuSMMAAADbAAAADwAAAAAAAAAAAAAAAACYAgAAZHJzL2Rv&#10;d25yZXYueG1sUEsFBgAAAAAEAAQA9QAAAIgDAAAAAA==&#10;" fillcolor="white [3201]" strokecolor="#404040 [2429]" strokeweight=".5pt">
                  <v:textbox>
                    <w:txbxContent>
                      <w:p w14:paraId="3BD963D6" w14:textId="77777777" w:rsidR="0098666F" w:rsidRPr="00991033" w:rsidRDefault="0098666F" w:rsidP="006B3CF0">
                        <w:pPr>
                          <w:spacing w:after="0"/>
                          <w:contextualSpacing/>
                          <w:jc w:val="center"/>
                          <w:rPr>
                            <w:rFonts w:cstheme="majorBidi"/>
                            <w:sz w:val="20"/>
                            <w:szCs w:val="20"/>
                          </w:rPr>
                        </w:pPr>
                        <w:r w:rsidRPr="00991033">
                          <w:rPr>
                            <w:rFonts w:cstheme="majorBidi"/>
                            <w:sz w:val="20"/>
                            <w:szCs w:val="20"/>
                          </w:rPr>
                          <w:t>Performance expectancy (PE)</w:t>
                        </w:r>
                      </w:p>
                    </w:txbxContent>
                  </v:textbox>
                </v:roundrect>
                <v:roundrect id="Rounded Rectangle 14" o:spid="_x0000_s1028" style="position:absolute;top:5049;width:11951;height:43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XiMQA&#10;AADbAAAADwAAAGRycy9kb3ducmV2LnhtbESPQWsCMRCF74L/IUzBS9GsxRZdjSIWQRCh3arncTPd&#10;LG4myybq+u9NoeBthvfeN29mi9ZW4kqNLx0rGA4SEMS50yUXCvY/6/4YhA/IGivHpOBOHhbzbmeG&#10;qXY3/qZrFgoRIexTVGBCqFMpfW7Ioh+4mjhqv66xGOLaFFI3eItwW8m3JPmQFkuOFwzWtDKUn7OL&#10;jRTccbEx+XLy9fl6sGF7ej8eT0r1XtrlFESgNjzN/+mNjvVH8PdLHEDO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fl4jEAAAA2wAAAA8AAAAAAAAAAAAAAAAAmAIAAGRycy9k&#10;b3ducmV2LnhtbFBLBQYAAAAABAAEAPUAAACJAwAAAAA=&#10;" fillcolor="white [3201]" strokecolor="#404040 [2429]" strokeweight=".5pt">
                  <v:textbox>
                    <w:txbxContent>
                      <w:p w14:paraId="774D72FA" w14:textId="77777777" w:rsidR="0098666F" w:rsidRPr="00991033" w:rsidRDefault="0098666F" w:rsidP="006B3CF0">
                        <w:pPr>
                          <w:spacing w:after="0"/>
                          <w:contextualSpacing/>
                          <w:jc w:val="center"/>
                          <w:rPr>
                            <w:rFonts w:cstheme="majorBidi"/>
                            <w:sz w:val="20"/>
                            <w:szCs w:val="20"/>
                          </w:rPr>
                        </w:pPr>
                        <w:r w:rsidRPr="00991033">
                          <w:rPr>
                            <w:rFonts w:cstheme="majorBidi"/>
                            <w:sz w:val="20"/>
                            <w:szCs w:val="20"/>
                          </w:rPr>
                          <w:t>Effort expectancy (EE)</w:t>
                        </w:r>
                      </w:p>
                    </w:txbxContent>
                  </v:textbox>
                </v:roundrect>
                <v:roundrect id="Rounded Rectangle 55" o:spid="_x0000_s1029" style="position:absolute;top:10099;width:11951;height:43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mL08MA&#10;AADbAAAADwAAAGRycy9kb3ducmV2LnhtbESP3WrCQBSE7wu+w3IEb0qzUYjYmFXEUhBKwf/rY/Y0&#10;G5o9G7JbjW/vFgq9HGbmG6ZY9rYRV+p87VjBOElBEJdO11wpOB7eX2YgfEDW2DgmBXfysFwMngrM&#10;tbvxjq77UIkIYZ+jAhNCm0vpS0MWfeJa4uh9uc5iiLKrpO7wFuG2kZM0nUqLNccFgy2tDZXf+x8b&#10;KfjJ1caUq9ft2/PJho9Ldj5flBoN+9UcRKA+/If/2hutIMvg90v8AXL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PmL08MAAADbAAAADwAAAAAAAAAAAAAAAACYAgAAZHJzL2Rv&#10;d25yZXYueG1sUEsFBgAAAAAEAAQA9QAAAIgDAAAAAA==&#10;" fillcolor="white [3201]" strokecolor="#404040 [2429]" strokeweight=".5pt">
                  <v:textbox>
                    <w:txbxContent>
                      <w:p w14:paraId="1AB990DC" w14:textId="77777777" w:rsidR="0098666F" w:rsidRPr="00991033" w:rsidRDefault="0098666F" w:rsidP="006B3CF0">
                        <w:pPr>
                          <w:spacing w:after="0"/>
                          <w:contextualSpacing/>
                          <w:jc w:val="center"/>
                          <w:rPr>
                            <w:rFonts w:cstheme="majorBidi"/>
                            <w:sz w:val="20"/>
                            <w:szCs w:val="20"/>
                          </w:rPr>
                        </w:pPr>
                        <w:r w:rsidRPr="00991033">
                          <w:rPr>
                            <w:rFonts w:cstheme="majorBidi"/>
                            <w:sz w:val="20"/>
                            <w:szCs w:val="20"/>
                          </w:rPr>
                          <w:t>Social influence (SI)</w:t>
                        </w:r>
                      </w:p>
                    </w:txbxContent>
                  </v:textbox>
                </v:roundrect>
                <v:roundrect id="Rounded Rectangle 56" o:spid="_x0000_s1030" style="position:absolute;left:68;top:15149;width:11951;height:43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sVpMIA&#10;AADbAAAADwAAAGRycy9kb3ducmV2LnhtbESPQYvCMBSE7wv+h/AEL7KmCopbjSKKIIiw6q7nZ/Ns&#10;is1LaaLWf28WhD0OM/MNM503thR3qn3hWEG/l4AgzpwuOFfwc1x/jkH4gKyxdEwKnuRhPmt9TDHV&#10;7sF7uh9CLiKEfYoKTAhVKqXPDFn0PVcRR+/iaoshyjqXusZHhNtSDpJkJC0WHBcMVrQ0lF0PNxsp&#10;uON8Y7LF1/eq+2vD9jw8nc5KddrNYgIiUBP+w+/2RisYjuDvS/wBcvY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KxWkwgAAANsAAAAPAAAAAAAAAAAAAAAAAJgCAABkcnMvZG93&#10;bnJldi54bWxQSwUGAAAAAAQABAD1AAAAhwMAAAAA&#10;" fillcolor="white [3201]" strokecolor="#404040 [2429]" strokeweight=".5pt">
                  <v:textbox>
                    <w:txbxContent>
                      <w:p w14:paraId="545E7577" w14:textId="77777777" w:rsidR="0098666F" w:rsidRPr="00991033" w:rsidRDefault="0098666F" w:rsidP="006B3CF0">
                        <w:pPr>
                          <w:spacing w:after="0"/>
                          <w:contextualSpacing/>
                          <w:jc w:val="center"/>
                          <w:rPr>
                            <w:rFonts w:cstheme="majorBidi"/>
                            <w:sz w:val="20"/>
                            <w:szCs w:val="20"/>
                          </w:rPr>
                        </w:pPr>
                        <w:r w:rsidRPr="00991033">
                          <w:rPr>
                            <w:rFonts w:cstheme="majorBidi"/>
                            <w:sz w:val="20"/>
                            <w:szCs w:val="20"/>
                          </w:rPr>
                          <w:t>Facilitating conditions (FC)</w:t>
                        </w:r>
                      </w:p>
                    </w:txbxContent>
                  </v:textbox>
                </v:roundrect>
                <v:roundrect id="Rounded Rectangle 57" o:spid="_x0000_s1031" style="position:absolute;top:20130;width:11950;height:43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2ewP8MA&#10;AADbAAAADwAAAGRycy9kb3ducmV2LnhtbESP3WoCMRSE7wt9h3AK3ohmK1h1NYooglAE/6+Pm+Nm&#10;6eZk2UTdvr0pCL0cZuYbZjJrbCnuVPvCsYLPbgKCOHO64FzB8bDqDEH4gKyxdEwKfsnDbPr+NsFU&#10;uwfv6L4PuYgQ9ikqMCFUqZQ+M2TRd11FHL2rqy2GKOtc6hofEW5L2UuSL2mx4LhgsKKFoexnf7OR&#10;ghvO1yabj7bL9smG70v/fL4o1fpo5mMQgZrwH36111pBfwB/X+IPkN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2ewP8MAAADbAAAADwAAAAAAAAAAAAAAAACYAgAAZHJzL2Rv&#10;d25yZXYueG1sUEsFBgAAAAAEAAQA9QAAAIgDAAAAAA==&#10;" fillcolor="white [3201]" strokecolor="#404040 [2429]" strokeweight=".5pt">
                  <v:textbox>
                    <w:txbxContent>
                      <w:p w14:paraId="351DA9DF" w14:textId="77777777" w:rsidR="0098666F" w:rsidRPr="00991033" w:rsidRDefault="0098666F" w:rsidP="006B3CF0">
                        <w:pPr>
                          <w:spacing w:after="0"/>
                          <w:contextualSpacing/>
                          <w:jc w:val="center"/>
                          <w:rPr>
                            <w:rFonts w:cstheme="majorBidi"/>
                            <w:sz w:val="20"/>
                            <w:szCs w:val="20"/>
                          </w:rPr>
                        </w:pPr>
                        <w:r w:rsidRPr="00991033">
                          <w:rPr>
                            <w:rFonts w:cstheme="majorBidi"/>
                            <w:sz w:val="20"/>
                            <w:szCs w:val="20"/>
                          </w:rPr>
                          <w:t>Habit (HB)</w:t>
                        </w:r>
                      </w:p>
                    </w:txbxContent>
                  </v:textbox>
                </v:roundrect>
                <v:roundrect id="Rounded Rectangle 58" o:spid="_x0000_s1032" style="position:absolute;top:25180;width:11950;height:431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gkTcQA&#10;AADbAAAADwAAAGRycy9kb3ducmV2LnhtbESPwWoCQQyG7wXfYYjQS9HZCpa6OopYBEEK1arnuBN3&#10;Fncyy85U17dvDoUew5//S77ZovO1ulEbq8AGXocZKOIi2IpLA4fv9eAdVEzIFuvAZOBBERbz3tMM&#10;cxvuvKPbPpVKIBxzNOBSanKtY+HIYxyGhliyS2g9JhnbUtsW7wL3tR5l2Zv2WLFccNjQylFx3f94&#10;oeAnlxtXLCdfHy9Hn7bn8el0Nua53y2noBJ16X/5r72xBsbyrLiIB+j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4JE3EAAAA2wAAAA8AAAAAAAAAAAAAAAAAmAIAAGRycy9k&#10;b3ducmV2LnhtbFBLBQYAAAAABAAEAPUAAACJAwAAAAA=&#10;" fillcolor="white [3201]" strokecolor="#404040 [2429]" strokeweight=".5pt">
                  <v:textbox>
                    <w:txbxContent>
                      <w:p w14:paraId="7EE76E3D" w14:textId="77777777" w:rsidR="0098666F" w:rsidRPr="00991033" w:rsidRDefault="0098666F" w:rsidP="006B3CF0">
                        <w:pPr>
                          <w:spacing w:after="0"/>
                          <w:contextualSpacing/>
                          <w:jc w:val="center"/>
                          <w:rPr>
                            <w:rFonts w:cstheme="majorBidi"/>
                            <w:sz w:val="20"/>
                            <w:szCs w:val="20"/>
                          </w:rPr>
                        </w:pPr>
                        <w:r w:rsidRPr="00991033">
                          <w:rPr>
                            <w:rFonts w:cstheme="majorBidi"/>
                            <w:sz w:val="20"/>
                            <w:szCs w:val="20"/>
                          </w:rPr>
                          <w:t>Hedonic motivation (HM)</w:t>
                        </w:r>
                      </w:p>
                    </w:txbxContent>
                  </v:textbox>
                </v:roundrect>
                <v:roundrect id="Rounded Rectangle 59" o:spid="_x0000_s1033" style="position:absolute;left:25998;top:5049;width:10021;height:431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W39MMA&#10;AADbAAAADwAAAGRycy9kb3ducmV2LnhtbESP0WoCMRRE3wX/IdxC3zRbYYuuRhFp0dIXXf2A6+a6&#10;2XZzsySprn/fFAo+DjNzhlmsetuKK/nQOFbwMs5AEFdON1wrOB3fR1MQISJrbB2TgjsFWC2HgwUW&#10;2t34QNcy1iJBOBSowMTYFVKGypDFMHYdcfIuzluMSfpaao+3BLetnGTZq7TYcFow2NHGUPVd/lgF&#10;7iv3JU622/t+R+f8szdvH+uDUs9P/XoOIlIfH+H/9k4ryGfw9yX9ALn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jW39MMAAADbAAAADwAAAAAAAAAAAAAAAACYAgAAZHJzL2Rv&#10;d25yZXYueG1sUEsFBgAAAAAEAAQA9QAAAIgDAAAAAA==&#10;" fillcolor="white [3201]" strokecolor="#5a5a5a [2109]" strokeweight=".5pt">
                  <v:textbox>
                    <w:txbxContent>
                      <w:p w14:paraId="69886496" w14:textId="77777777" w:rsidR="0098666F" w:rsidRPr="00991033" w:rsidRDefault="0098666F" w:rsidP="006B3CF0">
                        <w:pPr>
                          <w:spacing w:after="0"/>
                          <w:jc w:val="center"/>
                          <w:rPr>
                            <w:rFonts w:cstheme="majorBidi"/>
                            <w:sz w:val="20"/>
                            <w:szCs w:val="20"/>
                          </w:rPr>
                        </w:pPr>
                        <w:r w:rsidRPr="00991033">
                          <w:rPr>
                            <w:rFonts w:cstheme="majorBidi"/>
                            <w:sz w:val="20"/>
                            <w:szCs w:val="20"/>
                          </w:rPr>
                          <w:t>Behavioural intention (BI)</w:t>
                        </w:r>
                      </w:p>
                    </w:txbxContent>
                  </v:textbox>
                </v:roundrect>
                <v:roundrect id="Rounded Rectangle 60" o:spid="_x0000_s1034" style="position:absolute;left:25998;top:20130;width:9659;height:431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PU1L8A&#10;AADbAAAADwAAAGRycy9kb3ducmV2LnhtbERPzYrCMBC+L/gOYQRva6qgLF2jiCgqXrT6ALPNbNO1&#10;mZQkan17cxD2+PH9zxadbcSdfKgdKxgNMxDEpdM1Vwou583nF4gQkTU2jknBkwIs5r2PGebaPfhE&#10;9yJWIoVwyFGBibHNpQylIYth6FrixP06bzEm6CupPT5SuG3kOMum0mLNqcFgSytD5bW4WQXub+IL&#10;HG+3z+OOfiaHzqz3y5NSg363/AYRqYv/4rd7pxVM0/r0Jf0AOX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Y9TUvwAAANsAAAAPAAAAAAAAAAAAAAAAAJgCAABkcnMvZG93bnJl&#10;di54bWxQSwUGAAAAAAQABAD1AAAAhAMAAAAA&#10;" fillcolor="white [3201]" strokecolor="#5a5a5a [2109]" strokeweight=".5pt">
                  <v:textbox>
                    <w:txbxContent>
                      <w:p w14:paraId="4C5A5F9D" w14:textId="77777777" w:rsidR="0098666F" w:rsidRPr="00991033" w:rsidRDefault="0098666F" w:rsidP="006B3CF0">
                        <w:pPr>
                          <w:spacing w:after="0"/>
                          <w:jc w:val="center"/>
                          <w:rPr>
                            <w:rFonts w:cstheme="majorBidi"/>
                            <w:sz w:val="20"/>
                            <w:szCs w:val="20"/>
                          </w:rPr>
                        </w:pPr>
                        <w:r w:rsidRPr="00991033">
                          <w:rPr>
                            <w:rFonts w:cstheme="majorBidi"/>
                            <w:sz w:val="20"/>
                            <w:szCs w:val="20"/>
                          </w:rPr>
                          <w:t>Gamification (GM)</w:t>
                        </w:r>
                      </w:p>
                    </w:txbxContent>
                  </v:textbox>
                </v:roundrect>
                <v:roundrect id="Rounded Rectangle 61" o:spid="_x0000_s1035" style="position:absolute;left:40670;top:10099;width:10800;height:431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9xT8QA&#10;AADbAAAADwAAAGRycy9kb3ducmV2LnhtbESPUWvCMBSF3wf7D+EO9ramCsrojKUMRYcv2u0H3DXX&#10;pq65KUmm9d8vgrDHwznnO5xFOdpenMmHzrGCSZaDIG6c7rhV8PW5fnkFESKyxt4xKbhSgHL5+LDA&#10;QrsLH+hcx1YkCIcCFZgYh0LK0BiyGDI3ECfv6LzFmKRvpfZ4SXDby2mez6XFjtOCwYHeDTU/9a9V&#10;4E4zX+N0s7nut/Q9241m9VEdlHp+Gqs3EJHG+B++t7dawXwCty/p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vcU/EAAAA2wAAAA8AAAAAAAAAAAAAAAAAmAIAAGRycy9k&#10;b3ducmV2LnhtbFBLBQYAAAAABAAEAPUAAACJAwAAAAA=&#10;" fillcolor="white [3201]" strokecolor="#5a5a5a [2109]" strokeweight=".5pt">
                  <v:textbox>
                    <w:txbxContent>
                      <w:p w14:paraId="1587A928" w14:textId="77777777" w:rsidR="0098666F" w:rsidRPr="00991033" w:rsidRDefault="0098666F" w:rsidP="006B3CF0">
                        <w:pPr>
                          <w:spacing w:after="0"/>
                          <w:jc w:val="center"/>
                          <w:rPr>
                            <w:rFonts w:cstheme="majorBidi"/>
                            <w:sz w:val="20"/>
                            <w:szCs w:val="20"/>
                          </w:rPr>
                        </w:pPr>
                        <w:r w:rsidRPr="00991033">
                          <w:rPr>
                            <w:rFonts w:cstheme="majorBidi"/>
                            <w:sz w:val="20"/>
                            <w:szCs w:val="20"/>
                          </w:rPr>
                          <w:t>User behaviour (UB)</w:t>
                        </w:r>
                      </w:p>
                    </w:txbxContent>
                  </v:textbox>
                </v:roundrect>
                <v:roundrect id="Rounded Rectangle 62" o:spid="_x0000_s1036" style="position:absolute;left:40670;top:2524;width:10795;height:431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3vOMMA&#10;AADbAAAADwAAAGRycy9kb3ducmV2LnhtbESP0WoCMRRE34X+Q7gF3zTrglJWo4goKn2pqx9wu7nd&#10;bLu5WZKo69+bQqGPw8ycYRar3rbiRj40jhVMxhkI4srphmsFl/Nu9AYiRGSNrWNS8KAAq+XLYIGF&#10;dnc+0a2MtUgQDgUqMDF2hZShMmQxjF1HnLwv5y3GJH0ttcd7gttW5lk2kxYbTgsGO9oYqn7Kq1Xg&#10;vqe+xHy/f3wc6HP63pvtcX1Savjar+cgIvXxP/zXPmgFsxx+v6QfIJ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v3vOMMAAADbAAAADwAAAAAAAAAAAAAAAACYAgAAZHJzL2Rv&#10;d25yZXYueG1sUEsFBgAAAAAEAAQA9QAAAIgDAAAAAA==&#10;" fillcolor="white [3201]" strokecolor="#5a5a5a [2109]" strokeweight=".5pt">
                  <v:textbox>
                    <w:txbxContent>
                      <w:p w14:paraId="6D21329F" w14:textId="77777777" w:rsidR="0098666F" w:rsidRPr="00991033" w:rsidRDefault="0098666F" w:rsidP="006B3CF0">
                        <w:pPr>
                          <w:spacing w:after="0"/>
                          <w:jc w:val="center"/>
                          <w:rPr>
                            <w:rFonts w:cstheme="majorBidi"/>
                            <w:sz w:val="20"/>
                            <w:szCs w:val="20"/>
                          </w:rPr>
                        </w:pPr>
                        <w:r w:rsidRPr="00991033">
                          <w:rPr>
                            <w:rFonts w:cstheme="majorBidi"/>
                            <w:sz w:val="20"/>
                            <w:szCs w:val="20"/>
                          </w:rPr>
                          <w:t>Intention to recommend (IR)</w:t>
                        </w:r>
                      </w:p>
                    </w:txbxContent>
                  </v:textbox>
                </v:roundrect>
                <v:roundrect id="Rounded Rectangle 63" o:spid="_x0000_s1037" style="position:absolute;left:40670;top:15149;width:10795;height:431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O0kMQA&#10;AADbAAAADwAAAGRycy9kb3ducmV2LnhtbESPQWvCQBSE7wX/w/IEb3WjYqipq0ihErCH1ubS22P3&#10;NQlm34bsmsR/7wqFHoeZ+YbZ7kfbiJ46XztWsJgnIIi1MzWXCorv9+cXED4gG2wck4IbedjvJk9b&#10;zIwb+Iv6cyhFhLDPUEEVQptJ6XVFFv3ctcTR+3WdxRBlV0rT4RDhtpHLJEmlxZrjQoUtvVWkL+er&#10;VeCdrotgf046x9Vx87EsPtebi1Kz6Xh4BRFoDP/hv3ZuFKQreHyJP0D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wztJDEAAAA2wAAAA8AAAAAAAAAAAAAAAAAmAIAAGRycy9k&#10;b3ducmV2LnhtbFBLBQYAAAAABAAEAPUAAACJAwAAAAA=&#10;" filled="f" strokecolor="#5a5a5a [2109]" strokeweight=".5pt">
                  <v:textbox>
                    <w:txbxContent>
                      <w:p w14:paraId="0E3D7001" w14:textId="2594F886" w:rsidR="0098666F" w:rsidRPr="006B3CF0" w:rsidRDefault="0098666F" w:rsidP="006B3CF0">
                        <w:pPr>
                          <w:spacing w:after="0"/>
                          <w:jc w:val="center"/>
                          <w:rPr>
                            <w:rFonts w:cstheme="majorBidi"/>
                            <w:sz w:val="20"/>
                            <w:szCs w:val="20"/>
                            <w:lang w:val="sq-AL"/>
                          </w:rPr>
                        </w:pPr>
                        <w:r w:rsidRPr="006B3CF0">
                          <w:rPr>
                            <w:rFonts w:cstheme="majorBidi"/>
                            <w:sz w:val="20"/>
                            <w:szCs w:val="20"/>
                          </w:rPr>
                          <w:t>G</w:t>
                        </w:r>
                        <w:r>
                          <w:rPr>
                            <w:rFonts w:cstheme="majorBidi"/>
                            <w:sz w:val="20"/>
                            <w:szCs w:val="20"/>
                          </w:rPr>
                          <w:t>eneration</w:t>
                        </w:r>
                        <w:r>
                          <w:rPr>
                            <w:rFonts w:cstheme="majorBidi"/>
                            <w:sz w:val="20"/>
                            <w:szCs w:val="20"/>
                          </w:rPr>
                          <w:br/>
                          <w:t>(Gen YZ)</w:t>
                        </w:r>
                      </w:p>
                    </w:txbxContent>
                  </v:textbox>
                </v:roundrect>
                <v:shapetype id="_x0000_t32" coordsize="21600,21600" o:spt="32" o:oned="t" path="m,l21600,21600e" filled="f">
                  <v:path arrowok="t" fillok="f" o:connecttype="none"/>
                  <o:lock v:ext="edit" shapetype="t"/>
                </v:shapetype>
                <v:shape id="Straight Arrow Connector 64" o:spid="_x0000_s1038" type="#_x0000_t32" style="position:absolute;left:11940;top:2047;width:14058;height:51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BJasYAAADbAAAADwAAAGRycy9kb3ducmV2LnhtbESPT0sDMRTE74V+h/AEL9JmlVLatWmR&#10;lYrVk/1Dr8/Nc7Pt5mVJYnf99kYQehxm5jfMYtXbRlzIh9qxgvtxBoK4dLrmSsF+tx7NQISIrLFx&#10;TAp+KMBqORwsMNeu4w+6bGMlEoRDjgpMjG0uZSgNWQxj1xIn78t5izFJX0ntsUtw28iHLJtKizWn&#10;BYMtFYbK8/bbKth0d+f6/fgsD7v5y9qfuuLTvBVK3d70T48gIvXxGv5vv2oF0wn8fUk/QC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EgSWrGAAAA2wAAAA8AAAAAAAAA&#10;AAAAAAAAoQIAAGRycy9kb3ducmV2LnhtbFBLBQYAAAAABAAEAPkAAACUAwAAAAA=&#10;" strokecolor="#404040 [2429]" strokeweight="1pt">
                  <v:stroke endarrow="classic"/>
                </v:shape>
                <v:shape id="Straight Arrow Connector 67" o:spid="_x0000_s1039" type="#_x0000_t32" style="position:absolute;left:11941;top:7233;width:1395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LXHcYAAADbAAAADwAAAGRycy9kb3ducmV2LnhtbESPT08CMRTE7yZ8h+aZeDHQxQPCSiFk&#10;DUbxJH/C9bl9bhe2r5u2suu3pyYmHicz85vMfNnbRlzIh9qxgvEoA0FcOl1zpWC/Ww+nIEJE1tg4&#10;JgU/FGC5GNzMMdeu4w+6bGMlEoRDjgpMjG0uZSgNWQwj1xIn78t5izFJX0ntsUtw28iHLJtIizWn&#10;BYMtFYbK8/bbKnjr7s/1+/FZHnazl7U/dcWn2RRK3d32qycQkfr4H/5rv2oFk0f4/ZJ+gFxc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Hy1x3GAAAA2wAAAA8AAAAAAAAA&#10;AAAAAAAAoQIAAGRycy9kb3ducmV2LnhtbFBLBQYAAAAABAAEAPkAAACUAwAAAAA=&#10;" strokecolor="#404040 [2429]" strokeweight="1pt">
                  <v:stroke endarrow="classic"/>
                </v:shape>
                <v:shape id="Straight Arrow Connector 68" o:spid="_x0000_s1040" type="#_x0000_t32" style="position:absolute;left:12009;top:7208;width:13989;height:507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6hnLwAAADbAAAADwAAAGRycy9kb3ducmV2LnhtbERPSwrCMBDdC94hjOBOU0VEqlH8ghtB&#10;qwcYmrEtNpPSRK2e3giCy8f7zxaNKcWDaldYVjDoRyCIU6sLzhRczrveBITzyBpLy6TgRQ4W83Zr&#10;hrG2Tz7RI/GZCCHsYlSQe1/FUro0J4OubyviwF1tbdAHWGdS1/gM4aaUwygaS4MFh4YcK1rnlN6S&#10;u/mW3PaX7f101ceRydbvaqNXh7NS3U6znILw1Pi/+OfeawXjMDZ8CT9Azj8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fP6hnLwAAADbAAAADwAAAAAAAAAAAAAAAAChAgAA&#10;ZHJzL2Rvd25yZXYueG1sUEsFBgAAAAAEAAQA+QAAAIoDAAAAAA==&#10;" strokecolor="#404040 [2429]" strokeweight="1pt">
                  <v:stroke endarrow="classic"/>
                </v:shape>
                <v:shape id="Straight Arrow Connector 69" o:spid="_x0000_s1041" type="#_x0000_t32" style="position:absolute;left:12009;top:7208;width:13989;height:1002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7IEB74AAADbAAAADwAAAGRycy9kb3ducmV2LnhtbESPywrCMBBF94L/EEZwp6kiotUoPsGN&#10;4OsDhmZsi82kNFGrX28EweXlPg53Oq9NIR5Uudyygl43AkGcWJ1zquBy3nZGIJxH1lhYJgUvcjCf&#10;NRtTjLV98pEeJ5+KMMIuRgWZ92UspUsyMui6tiQO3tVWBn2QVSp1hc8wbgrZj6KhNJhzIGRY0iqj&#10;5Ha6my/ktrts7serPgxMunqXa73cn5Vqt+rFBISn2v/Dv/ZOKxiO4fsl/AA5+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TsgQHvgAAANsAAAAPAAAAAAAAAAAAAAAAAKEC&#10;AABkcnMvZG93bnJldi54bWxQSwUGAAAAAAQABAD5AAAAjAMAAAAA&#10;" strokecolor="#404040 [2429]" strokeweight="1pt">
                  <v:stroke endarrow="classic"/>
                </v:shape>
                <v:shape id="Straight Arrow Connector 70" o:spid="_x0000_s1042" type="#_x0000_t32" style="position:absolute;left:11940;top:7208;width:14058;height:1517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1E7R7wAAADbAAAADwAAAGRycy9kb3ducmV2LnhtbERPSwrCMBDdC94hjOBOU0VUqlH8ghvB&#10;3wGGZmyLzaQ0UaunN4Lg8vH+03ltCvGgyuWWFfS6EQjixOqcUwWX87YzBuE8ssbCMil4kYP5rNmY&#10;Yqztk4/0OPlUhBB2MSrIvC9jKV2SkUHXtSVx4K62MugDrFKpK3yGcFPIfhQNpcGcQ0OGJa0ySm6n&#10;u/mW3HaXzf141YeBSVfvcq2X+7NS7Va9mIDwVPu/+OfeaQWjsD58CT9Azj4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B1E7R7wAAADbAAAADwAAAAAAAAAAAAAAAAChAgAA&#10;ZHJzL2Rvd25yZXYueG1sUEsFBgAAAAAEAAQA+QAAAIoDAAAAAA==&#10;" strokecolor="#404040 [2429]" strokeweight="1pt">
                  <v:stroke endarrow="classic"/>
                </v:shape>
                <v:shape id="Straight Arrow Connector 71" o:spid="_x0000_s1043" type="#_x0000_t32" style="position:absolute;left:12009;top:7208;width:13989;height:2009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2e3L4AAADbAAAADwAAAGRycy9kb3ducmV2LnhtbESPywrCMBBF94L/EEZwp6kiKtUoPsGN&#10;4OsDhmZsi82kNFGrX28EweXlPg53Oq9NIR5Uudyygl43AkGcWJ1zquBy3nbGIJxH1lhYJgUvcjCf&#10;NRtTjLV98pEeJ5+KMMIuRgWZ92UspUsyMui6tiQO3tVWBn2QVSp1hc8wbgrZj6KhNJhzIGRY0iqj&#10;5Ha6my/ktrts7serPgxMunqXa73cn5Vqt+rFBISn2v/Dv/ZOKxj14Psl/AA5+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oHZ7cvgAAANsAAAAPAAAAAAAAAAAAAAAAAKEC&#10;AABkcnMvZG93bnJldi54bWxQSwUGAAAAAAQABAD5AAAAjAMAAAAA&#10;" strokecolor="#404040 [2429]" strokeweight="1pt">
                  <v:stroke endarrow="classic"/>
                </v:shape>
                <v:shape id="Straight Arrow Connector 72" o:spid="_x0000_s1044" type="#_x0000_t32" style="position:absolute;left:12078;top:22177;width:1395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ziWMYAAADbAAAADwAAAGRycy9kb3ducmV2LnhtbESPT08CMRTE7yZ8h+aZeDHQlQPCSiFm&#10;DQbxJH/C9bl9bhe2r5u2suu3pyYmHicz85vMfNnbRlzIh9qxgodRBoK4dLrmSsF+txpOQYSIrLFx&#10;TAp+KMByMbiZY65dxx902cZKJAiHHBWYGNtcylAashhGriVO3pfzFmOSvpLaY5fgtpHjLJtIizWn&#10;BYMtFYbK8/bbKnjr7s/1+/FFHnaz15U/dcWn2RRK3d32z08gIvXxP/zXXmsFj2P4/ZJ+gFxc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Rc4ljGAAAA2wAAAA8AAAAAAAAA&#10;AAAAAAAAoQIAAGRycy9kb3ducmV2LnhtbFBLBQYAAAAABAAEAPkAAACUAwAAAAA=&#10;" strokecolor="#404040 [2429]" strokeweight="1pt">
                  <v:stroke endarrow="classic"/>
                </v:shape>
                <v:shape id="Straight Arrow Connector 73" o:spid="_x0000_s1045" type="#_x0000_t32" style="position:absolute;left:12010;top:17127;width:14040;height:514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BHw8YAAADbAAAADwAAAGRycy9kb3ducmV2LnhtbESPQUsDMRSE74X+h/AEL2KzKrS6Ni2y&#10;UtH21K3i9bl5brbdvCxJ7K7/3hSEHoeZ+YaZLwfbiiP50DhWcDPJQBBXTjdcK3jfra7vQYSIrLF1&#10;TAp+KcByMR7NMdeu5y0dy1iLBOGQowITY5dLGSpDFsPEdcTJ+3beYkzS11J77BPctvI2y6bSYsNp&#10;wWBHhaHqUP5YBW/91aHZfD7Lj93Dy8rv++LLrAulLi+Gp0cQkYZ4Dv+3X7WC2R2cvqQf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sQR8PGAAAA2wAAAA8AAAAAAAAA&#10;AAAAAAAAoQIAAGRycy9kb3ducmV2LnhtbFBLBQYAAAAABAAEAPkAAACUAwAAAAA=&#10;" strokecolor="#404040 [2429]" strokeweight="1pt">
                  <v:stroke endarrow="classic"/>
                </v:shape>
                <v:shape id="Straight Arrow Connector 74" o:spid="_x0000_s1046" type="#_x0000_t32" style="position:absolute;left:11941;top:22245;width:14002;height:504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o9RL4AAADbAAAADwAAAGRycy9kb3ducmV2LnhtbESPywrCMBBF94L/EEZwp6kiKtUoPsGN&#10;4OsDhmZsi82kNFGrX28EweXlPg53Oq9NIR5Uudyygl43AkGcWJ1zquBy3nbGIJxH1lhYJgUvcjCf&#10;NRtTjLV98pEeJ5+KMMIuRgWZ92UspUsyMui6tiQO3tVWBn2QVSp1hc8wbgrZj6KhNJhzIGRY0iqj&#10;5Ha6my/ktrts7serPgxMunqXa73cn5Vqt+rFBISn2v/Dv/ZOKxgN4Psl/AA5+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4aj1EvgAAANsAAAAPAAAAAAAAAAAAAAAAAKEC&#10;AABkcnMvZG93bnJldi54bWxQSwUGAAAAAAQABAD5AAAAjAMAAAAA&#10;" strokecolor="#404040 [2429]" strokeweight="1pt">
                  <v:stroke endarrow="classic"/>
                </v:shape>
                <v:shape id="Straight Arrow Connector 75" o:spid="_x0000_s1047" type="#_x0000_t32" style="position:absolute;left:12010;top:12214;width:14039;height:99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7V6LMYAAADbAAAADwAAAGRycy9kb3ducmV2LnhtbESPQUsDMRSE74X+h/AEL2KzCra6Ni2y&#10;UtH21K3i9bl5brbdvCxJ7K7/3hSEHoeZ+YaZLwfbiiP50DhWcDPJQBBXTjdcK3jfra7vQYSIrLF1&#10;TAp+KcByMR7NMdeu5y0dy1iLBOGQowITY5dLGSpDFsPEdcTJ+3beYkzS11J77BPctvI2y6bSYsNp&#10;wWBHhaHqUP5YBW/91aHZfD7Lj93Dy8rv++LLrAulLi+Gp0cQkYZ4Dv+3X7WC2R2cvqQf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u1eizGAAAA2wAAAA8AAAAAAAAA&#10;AAAAAAAAoQIAAGRycy9kb3ducmV2LnhtbFBLBQYAAAAABAAEAPkAAACUAwAAAAA=&#10;" strokecolor="#404040 [2429]" strokeweight="1pt">
                  <v:stroke endarrow="classic"/>
                </v:shape>
                <v:shape id="Straight Arrow Connector 76" o:spid="_x0000_s1048" type="#_x0000_t32" style="position:absolute;left:25589;top:14740;width:10795;height:0;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L5XMMAAADbAAAADwAAAGRycy9kb3ducmV2LnhtbESPwWrDMBBE74X+g9hCbo1cB5zgRgkl&#10;UCgtOcRx7ou1sUytlZFU2/37qhDIcZiZN8x2P9tejORD51jByzIDQdw43XGroD6/P29AhIissXdM&#10;Cn4pwH73+LDFUruJTzRWsRUJwqFEBSbGoZQyNIYshqUbiJN3dd5iTNK3UnucEtz2Ms+yQlrsOC0Y&#10;HOhgqPmufqwCn6+K9ddxGi/9VH8eqnOdX02m1OJpfnsFEWmO9/Ct/aEVrAv4/5J+gNz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ky+VzDAAAA2wAAAA8AAAAAAAAAAAAA&#10;AAAAoQIAAGRycy9kb3ducmV2LnhtbFBLBQYAAAAABAAEAPkAAACRAwAAAAA=&#10;" strokecolor="#404040 [2429]" strokeweight="1pt">
                  <v:stroke endarrow="classic"/>
                </v:shape>
                <v:shape id="Straight Arrow Connector 77" o:spid="_x0000_s1049" type="#_x0000_t32" style="position:absolute;left:44696;top:8529;width:3240;height:0;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5cx8MAAADbAAAADwAAAGRycy9kb3ducmV2LnhtbESPwWrDMBBE74X+g9hCbo1cB+LgRgkl&#10;UCgtOcRx7ou1sUytlZFU2/37qhDIcZiZN8x2P9tejORD51jByzIDQdw43XGroD6/P29AhIissXdM&#10;Cn4pwH73+LDFUruJTzRWsRUJwqFEBSbGoZQyNIYshqUbiJN3dd5iTNK3UnucEtz2Ms+ytbTYcVow&#10;ONDBUPNd/VgFPl+ti6/jNF76qf48VOc6v5pMqcXT/PYKItIc7+Fb+0MrKAr4/5J+gNz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Z+XMfDAAAA2wAAAA8AAAAAAAAAAAAA&#10;AAAAoQIAAGRycy9kb3ducmV2LnhtbFBLBQYAAAAABAAEAPkAAACRAwAAAAA=&#10;" strokecolor="#404040 [2429]" strokeweight="1pt">
                  <v:stroke endarrow="classic"/>
                </v:shape>
                <v:shape id="Straight Arrow Connector 78" o:spid="_x0000_s1050" type="#_x0000_t32" style="position:absolute;left:30980;top:17264;width:972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3QbwAAADbAAAADwAAAGRycy9kb3ducmV2LnhtbERPSwrCMBDdC94hjOBOU0VUqlH8ghvB&#10;3wGGZmyLzaQ0UaunN4Lg8vH+03ltCvGgyuWWFfS6EQjixOqcUwWX87YzBuE8ssbCMil4kYP5rNmY&#10;Yqztk4/0OPlUhBB2MSrIvC9jKV2SkUHXtSVx4K62MugDrFKpK3yGcFPIfhQNpcGcQ0OGJa0ySm6n&#10;u/mW3HaXzf141YeBSVfvcq2X+7NS7Va9mIDwVPu/+OfeaQWjMDZ8CT9Azj4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Sc3QbwAAADbAAAADwAAAAAAAAAAAAAAAAChAgAA&#10;ZHJzL2Rvd25yZXYueG1sUEsFBgAAAAAEAAQA+QAAAIoDAAAAAA==&#10;" strokecolor="#404040 [2429]" strokeweight="1pt">
                  <v:stroke endarrow="classic"/>
                </v:shape>
                <v:shape id="Straight Arrow Connector 79" o:spid="_x0000_s1051" type="#_x0000_t32" style="position:absolute;left:36064;top:7096;width:4606;height:51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hwKcUAAADbAAAADwAAAGRycy9kb3ducmV2LnhtbESPQU8CMRSE7yb8h+aReDHSxYPKSiFk&#10;CUTwJGi8PrfP7cL2ddMWdvn31MTE42RmvslM571txJl8qB0rGI8yEMSl0zVXCj72q/tnECEia2wc&#10;k4ILBZjPBjdTzLXr+J3Ou1iJBOGQowITY5tLGUpDFsPItcTJ+3HeYkzSV1J77BLcNvIhyx6lxZrT&#10;gsGWCkPlcXeyCjbd3bF++1rKz/1kvfKHrvg220Kp22G/eAERqY//4b/2q1bwNIHfL+kHyNk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vhwKcUAAADbAAAADwAAAAAAAAAA&#10;AAAAAAChAgAAZHJzL2Rvd25yZXYueG1sUEsFBgAAAAAEAAQA+QAAAJMDAAAAAA==&#10;" strokecolor="#404040 [2429]" strokeweight="1pt">
                  <v:stroke endarrow="classic"/>
                </v:shape>
                <v:shapetype id="_x0000_t202" coordsize="21600,21600" o:spt="202" path="m,l,21600r21600,l21600,xe">
                  <v:stroke joinstyle="miter"/>
                  <v:path gradientshapeok="t" o:connecttype="rect"/>
                </v:shapetype>
                <v:shape id="Text Box 80" o:spid="_x0000_s1052" type="#_x0000_t202" style="position:absolute;left:36234;top:7574;width:4828;height:2268;rotation:3194122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WJ/sEA&#10;AADbAAAADwAAAGRycy9kb3ducmV2LnhtbERPz2vCMBS+D/wfwhN2GZpuhaHVKDIqeBk4FfT4bJ5N&#10;sXkpTWzrf78cBjt+fL+X68HWoqPWV44VvE8TEMSF0xWXCk7H7WQGwgdkjbVjUvAkD+vV6GWJmXY9&#10;/1B3CKWIIewzVGBCaDIpfWHIop+6hjhyN9daDBG2pdQt9jHc1vIjST6lxYpjg8GGvgwV98PDKgh7&#10;8+bSPdH1e34+XvLU0DwflHodD5sFiEBD+Bf/uXdawSyuj1/iD5Cr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elif7BAAAA2wAAAA8AAAAAAAAAAAAAAAAAmAIAAGRycy9kb3du&#10;cmV2LnhtbFBLBQYAAAAABAAEAPUAAACGAwAAAAA=&#10;" filled="f" stroked="f" strokeweight=".5pt">
                  <v:textbox>
                    <w:txbxContent>
                      <w:p w14:paraId="4559F4D8" w14:textId="46CBCCC7" w:rsidR="0098666F" w:rsidRPr="00CE1C32" w:rsidRDefault="0098666F" w:rsidP="00CE1C32">
                        <w:pPr>
                          <w:spacing w:after="0"/>
                          <w:contextualSpacing/>
                          <w:rPr>
                            <w:sz w:val="20"/>
                            <w:lang w:val="sq-AL"/>
                          </w:rPr>
                        </w:pPr>
                        <w:r w:rsidRPr="00CE1C32">
                          <w:rPr>
                            <w:sz w:val="20"/>
                            <w:lang w:val="sq-AL"/>
                          </w:rPr>
                          <w:t>H1</w:t>
                        </w:r>
                        <w:r>
                          <w:rPr>
                            <w:sz w:val="20"/>
                            <w:lang w:val="sq-AL"/>
                          </w:rPr>
                          <w:t>a</w:t>
                        </w:r>
                      </w:p>
                    </w:txbxContent>
                  </v:textbox>
                </v:shape>
                <v:shape id="Straight Arrow Connector 81" o:spid="_x0000_s1053" type="#_x0000_t32" style="position:absolute;left:12145;top:12258;width:28525;height:484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ju+74AAADbAAAADwAAAGRycy9kb3ducmV2LnhtbESPywrCMBBF94L/EEZwp6kiItUoPsGN&#10;oNUPGJqxLTaT0kStfr0RBJeX+zjc2aIxpXhQ7QrLCgb9CARxanXBmYLLedebgHAeWWNpmRS8yMFi&#10;3m7NMNb2ySd6JD4TYYRdjApy76tYSpfmZND1bUUcvKutDfog60zqGp9h3JRyGEVjabDgQMixonVO&#10;6S25my/ktr9s76erPo5Mtn5XG706nJXqdprlFISnxv/Dv/ZeK5gM4Psl/AA5/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dyO77vgAAANsAAAAPAAAAAAAAAAAAAAAAAKEC&#10;AABkcnMvZG93bnJldi54bWxQSwUGAAAAAAQABAD5AAAAjAMAAAAA&#10;" strokecolor="#404040 [2429]" strokeweight="1pt">
                  <v:stroke endarrow="classic"/>
                </v:shape>
                <v:shape id="Straight Arrow Connector 82" o:spid="_x0000_s1054" type="#_x0000_t32" style="position:absolute;left:11940;top:12258;width:28730;height:987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pwjL4AAADbAAAADwAAAGRycy9kb3ducmV2LnhtbESPywrCMBBF94L/EEZwp6kiItUoPsGN&#10;oNUPGJqxLTaT0kStfr0RBJeX+zjc2aIxpXhQ7QrLCgb9CARxanXBmYLLedebgHAeWWNpmRS8yMFi&#10;3m7NMNb2ySd6JD4TYYRdjApy76tYSpfmZND1bUUcvKutDfog60zqGp9h3JRyGEVjabDgQMixonVO&#10;6S25my/ktr9s76erPo5Mtn5XG706nJXqdprlFISnxv/Dv/ZeK5gM4fsl/AA5/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tGnCMvgAAANsAAAAPAAAAAAAAAAAAAAAAAKEC&#10;AABkcnMvZG93bnJldi54bWxQSwUGAAAAAAQABAD5AAAAjAMAAAAA&#10;" strokecolor="#404040 [2429]" strokeweight="1pt">
                  <v:stroke endarrow="classic"/>
                </v:shape>
                <v:shape id="Text Box 83" o:spid="_x0000_s1055" type="#_x0000_t202" style="position:absolute;left:23815;top:12692;width:4828;height:2268;rotation:-62205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3ShMEA&#10;AADbAAAADwAAAGRycy9kb3ducmV2LnhtbESPwYrCQBBE7wv+w9CCl0UnKiwSHUWiguxNXdZrk2mT&#10;YKY7ZEaNf+8sCHssquoVtVh1rlZ3an0lbGA8SkAR52IrLgz8nHbDGSgfkC3WwmTgSR5Wy97HAlMr&#10;Dz7Q/RgKFSHsUzRQhtCkWvu8JId+JA1x9C7SOgxRtoW2LT4i3NV6kiRf2mHFcaHEhrKS8uvx5gyI&#10;bGUdvj9/pThnm+w0fTpLmTGDfreegwrUhf/wu723BmZT+PsSf4Be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B90oTBAAAA2wAAAA8AAAAAAAAAAAAAAAAAmAIAAGRycy9kb3du&#10;cmV2LnhtbFBLBQYAAAAABAAEAPUAAACGAwAAAAA=&#10;" filled="f" stroked="f" strokeweight=".5pt">
                  <v:textbox>
                    <w:txbxContent>
                      <w:p w14:paraId="09ADE247" w14:textId="15B7C607" w:rsidR="0098666F" w:rsidRPr="00CE1C32" w:rsidRDefault="0098666F" w:rsidP="00CE1C32">
                        <w:pPr>
                          <w:spacing w:after="0"/>
                          <w:contextualSpacing/>
                          <w:rPr>
                            <w:sz w:val="20"/>
                            <w:lang w:val="sq-AL"/>
                          </w:rPr>
                        </w:pPr>
                        <w:r w:rsidRPr="00CE1C32">
                          <w:rPr>
                            <w:sz w:val="20"/>
                            <w:lang w:val="sq-AL"/>
                          </w:rPr>
                          <w:t>H1</w:t>
                        </w:r>
                        <w:r>
                          <w:rPr>
                            <w:sz w:val="20"/>
                            <w:lang w:val="sq-AL"/>
                          </w:rPr>
                          <w:t>b</w:t>
                        </w:r>
                      </w:p>
                    </w:txbxContent>
                  </v:textbox>
                </v:shape>
                <v:shape id="Text Box 84" o:spid="_x0000_s1056" type="#_x0000_t202" style="position:absolute;left:23474;top:15285;width:4826;height:2267;rotation:-1237055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5tcQA&#10;AADbAAAADwAAAGRycy9kb3ducmV2LnhtbESPUWvCQBCE3wv9D8cWfKuXii0heooIRUGKra0+L7k1&#10;Ceb2wt2qsb++Vyj0cZiZb5jpvHetulCIjWcDT8MMFHHpbcOVga/P18ccVBRki61nMnCjCPPZ/d0U&#10;C+uv/EGXnVQqQTgWaKAW6QqtY1mTwzj0HXHyjj44lCRDpW3Aa4K7Vo+y7EU7bDgt1NjRsqbytDs7&#10;A8+j9233tlyPV/vtd583G9kcghgzeOgXE1BCvfyH/9prayAfw++X9AP07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13ubXEAAAA2wAAAA8AAAAAAAAAAAAAAAAAmAIAAGRycy9k&#10;b3ducmV2LnhtbFBLBQYAAAAABAAEAPUAAACJAwAAAAA=&#10;" filled="f" stroked="f" strokeweight=".5pt">
                  <v:textbox>
                    <w:txbxContent>
                      <w:p w14:paraId="34C6B51D" w14:textId="7040CDC0" w:rsidR="0098666F" w:rsidRPr="00CE1C32" w:rsidRDefault="0098666F" w:rsidP="00CE1C32">
                        <w:pPr>
                          <w:spacing w:after="0"/>
                          <w:contextualSpacing/>
                          <w:rPr>
                            <w:sz w:val="20"/>
                            <w:lang w:val="sq-AL"/>
                          </w:rPr>
                        </w:pPr>
                        <w:r w:rsidRPr="00CE1C32">
                          <w:rPr>
                            <w:sz w:val="20"/>
                            <w:lang w:val="sq-AL"/>
                          </w:rPr>
                          <w:t>H1</w:t>
                        </w:r>
                        <w:r>
                          <w:rPr>
                            <w:sz w:val="20"/>
                            <w:lang w:val="sq-AL"/>
                          </w:rPr>
                          <w:t>c</w:t>
                        </w:r>
                      </w:p>
                    </w:txbxContent>
                  </v:textbox>
                </v:shape>
                <v:shape id="Text Box 85" o:spid="_x0000_s1057" type="#_x0000_t202" style="position:absolute;left:16513;top:2524;width:4826;height:2267;rotation:1243940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xdm0sQA&#10;AADbAAAADwAAAGRycy9kb3ducmV2LnhtbESPQWvCQBSE7wX/w/KE3pqNgYqmrkECggd70Jba42v2&#10;NQlm34bsmqz/vlso9DjMzDfMpgimEyMNrrWsYJGkIIgrq1uuFby/7Z9WIJxH1thZJgV3clBsZw8b&#10;zLWd+ETj2dciQtjlqKDxvs+ldFVDBl1ie+LofdvBoI9yqKUecIpw08ksTZfSYMtxocGeyoaq6/lm&#10;FIyyLu+fh2U4el6H09eUXT5eM6Ue52H3AsJT8P/hv/ZBK1g9w++X+AP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cXZtLEAAAA2wAAAA8AAAAAAAAAAAAAAAAAmAIAAGRycy9k&#10;b3ducmV2LnhtbFBLBQYAAAAABAAEAPUAAACJAwAAAAA=&#10;" filled="f" stroked="f" strokeweight=".5pt">
                  <v:textbox>
                    <w:txbxContent>
                      <w:p w14:paraId="18CB6E96" w14:textId="2931E5FF" w:rsidR="0098666F" w:rsidRPr="00CE1C32" w:rsidRDefault="0098666F" w:rsidP="00CE1C32">
                        <w:pPr>
                          <w:spacing w:after="0"/>
                          <w:contextualSpacing/>
                          <w:rPr>
                            <w:sz w:val="20"/>
                            <w:lang w:val="sq-AL"/>
                          </w:rPr>
                        </w:pPr>
                        <w:r w:rsidRPr="00CE1C32">
                          <w:rPr>
                            <w:sz w:val="20"/>
                            <w:lang w:val="sq-AL"/>
                          </w:rPr>
                          <w:t>H</w:t>
                        </w:r>
                        <w:r>
                          <w:rPr>
                            <w:sz w:val="20"/>
                            <w:lang w:val="sq-AL"/>
                          </w:rPr>
                          <w:t>2a</w:t>
                        </w:r>
                      </w:p>
                    </w:txbxContent>
                  </v:textbox>
                </v:shape>
                <v:shape id="Text Box 86" o:spid="_x0000_s1058" type="#_x0000_t202" style="position:absolute;left:14534;top:5117;width:4828;height:22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iy58YA&#10;AADbAAAADwAAAGRycy9kb3ducmV2LnhtbESPQWvCQBSE70L/w/IK3sxGoRLSrCIBaSn2oM2lt9fs&#10;Mwlm36bZbZL213cFweMwM98w2XYyrRiod41lBcsoBkFcWt1wpaD42C8SEM4ja2wtk4JfcrDdPMwy&#10;TLUd+UjDyVciQNilqKD2vkuldGVNBl1kO+LgnW1v0AfZV1L3OAa4aeUqjtfSYMNhocaO8prKy+nH&#10;KHjL9+94/FqZ5K/NXw7nXfddfD4pNX+cds8gPE3+Hr61X7WCZA3XL+EHyM0/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Liy58YAAADbAAAADwAAAAAAAAAAAAAAAACYAgAAZHJz&#10;L2Rvd25yZXYueG1sUEsFBgAAAAAEAAQA9QAAAIsDAAAAAA==&#10;" filled="f" stroked="f" strokeweight=".5pt">
                  <v:textbox>
                    <w:txbxContent>
                      <w:p w14:paraId="2070628A" w14:textId="4B6C1603" w:rsidR="0098666F" w:rsidRPr="00CE1C32" w:rsidRDefault="0098666F" w:rsidP="00CE1C32">
                        <w:pPr>
                          <w:spacing w:after="0"/>
                          <w:contextualSpacing/>
                          <w:rPr>
                            <w:sz w:val="20"/>
                            <w:lang w:val="sq-AL"/>
                          </w:rPr>
                        </w:pPr>
                        <w:r w:rsidRPr="00CE1C32">
                          <w:rPr>
                            <w:sz w:val="20"/>
                            <w:lang w:val="sq-AL"/>
                          </w:rPr>
                          <w:t>H</w:t>
                        </w:r>
                        <w:r>
                          <w:rPr>
                            <w:sz w:val="20"/>
                            <w:lang w:val="sq-AL"/>
                          </w:rPr>
                          <w:t>2b</w:t>
                        </w:r>
                      </w:p>
                    </w:txbxContent>
                  </v:textbox>
                </v:shape>
                <v:shape id="Text Box 87" o:spid="_x0000_s1059" type="#_x0000_t202" style="position:absolute;left:14193;top:8529;width:4828;height:2268;rotation:-1295754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pStsUA&#10;AADbAAAADwAAAGRycy9kb3ducmV2LnhtbESPQWvCQBSE7wX/w/KE3pqNgbYSXSUILfZSqYbm+sg+&#10;s8Hs25BdNe2v7wpCj8PMfMMs16PtxIUG3zpWMEtSEMS10y03CsrD29MchA/IGjvHpOCHPKxXk4cl&#10;5tpd+Ysu+9CICGGfowITQp9L6WtDFn3ieuLoHd1gMUQ5NFIPeI1w28ksTV+kxZbjgsGeNobq0/5s&#10;FfQnkx3KYjdWv7vy/btqPvSnfVbqcToWCxCBxvAfvre3WsH8FW5f4g+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lK2xQAAANsAAAAPAAAAAAAAAAAAAAAAAJgCAABkcnMv&#10;ZG93bnJldi54bWxQSwUGAAAAAAQABAD1AAAAigMAAAAA&#10;" filled="f" stroked="f" strokeweight=".5pt">
                  <v:textbox>
                    <w:txbxContent>
                      <w:p w14:paraId="559E63F1" w14:textId="55C76560" w:rsidR="0098666F" w:rsidRPr="00CE1C32" w:rsidRDefault="0098666F" w:rsidP="00CE1C32">
                        <w:pPr>
                          <w:spacing w:after="0"/>
                          <w:contextualSpacing/>
                          <w:rPr>
                            <w:sz w:val="20"/>
                            <w:lang w:val="sq-AL"/>
                          </w:rPr>
                        </w:pPr>
                        <w:r w:rsidRPr="00CE1C32">
                          <w:rPr>
                            <w:sz w:val="20"/>
                            <w:lang w:val="sq-AL"/>
                          </w:rPr>
                          <w:t>H</w:t>
                        </w:r>
                        <w:r>
                          <w:rPr>
                            <w:sz w:val="20"/>
                            <w:lang w:val="sq-AL"/>
                          </w:rPr>
                          <w:t>2c</w:t>
                        </w:r>
                      </w:p>
                    </w:txbxContent>
                  </v:textbox>
                </v:shape>
                <v:shape id="Text Box 88" o:spid="_x0000_s1060" type="#_x0000_t202" style="position:absolute;left:16513;top:10031;width:4826;height:2267;rotation:-2370218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9Ieb8A&#10;AADbAAAADwAAAGRycy9kb3ducmV2LnhtbERPTYvCMBC9L/gfwgh7W1MVFq1GEUHwpKwKehyasSk2&#10;k9iktvvvzWFhj4/3vVz3thYvakLlWMF4lIEgLpyuuFRwOe++ZiBCRNZYOyYFvxRgvRp8LDHXruMf&#10;ep1iKVIIhxwVmBh9LmUoDFkMI+eJE3d3jcWYYFNK3WCXwm0tJ1n2LS1WnBoMetoaKh6n1io4+PGz&#10;n5r583Yw7bX153sXd0elPof9ZgEiUh//xX/uvVYwS2PTl/QD5Oo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YD0h5vwAAANsAAAAPAAAAAAAAAAAAAAAAAJgCAABkcnMvZG93bnJl&#10;di54bWxQSwUGAAAAAAQABAD1AAAAhAMAAAAA&#10;" filled="f" stroked="f" strokeweight=".5pt">
                  <v:textbox>
                    <w:txbxContent>
                      <w:p w14:paraId="22879038" w14:textId="691A16E4" w:rsidR="0098666F" w:rsidRPr="00CE1C32" w:rsidRDefault="0098666F" w:rsidP="00CE1C32">
                        <w:pPr>
                          <w:spacing w:after="0"/>
                          <w:contextualSpacing/>
                          <w:rPr>
                            <w:sz w:val="20"/>
                            <w:lang w:val="sq-AL"/>
                          </w:rPr>
                        </w:pPr>
                        <w:r w:rsidRPr="00CE1C32">
                          <w:rPr>
                            <w:sz w:val="20"/>
                            <w:lang w:val="sq-AL"/>
                          </w:rPr>
                          <w:t>H</w:t>
                        </w:r>
                        <w:r>
                          <w:rPr>
                            <w:sz w:val="20"/>
                            <w:lang w:val="sq-AL"/>
                          </w:rPr>
                          <w:t>2d</w:t>
                        </w:r>
                      </w:p>
                    </w:txbxContent>
                  </v:textbox>
                </v:shape>
                <v:shape id="Text Box 89" o:spid="_x0000_s1061" type="#_x0000_t202" style="position:absolute;left:17435;top:11565;width:4826;height:2267;rotation:-3083135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lqCMYA&#10;AADbAAAADwAAAGRycy9kb3ducmV2LnhtbESPQWvCQBSE74L/YXmFXkQ39hDS6CpFEFsoNrUePD6y&#10;r0lo9m3Mbkzy77tCocdhZr5h1tvB1OJGrassK1guIhDEudUVFwrOX/t5AsJ5ZI21ZVIwkoPtZjpZ&#10;Y6ptz590O/lCBAi7FBWU3jeplC4vyaBb2IY4eN+2NeiDbAupW+wD3NTyKYpiabDisFBiQ7uS8p9T&#10;ZxR02VV3x/x6GN71bMz2cf9xeeuVenwYXlYgPA3+P/zXftUKkme4fwk/QG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ulqCMYAAADbAAAADwAAAAAAAAAAAAAAAACYAgAAZHJz&#10;L2Rvd25yZXYueG1sUEsFBgAAAAAEAAQA9QAAAIsDAAAAAA==&#10;" filled="f" stroked="f" strokeweight=".5pt">
                  <v:textbox>
                    <w:txbxContent>
                      <w:p w14:paraId="253C2DE1" w14:textId="2BFE7895" w:rsidR="0098666F" w:rsidRPr="00CE1C32" w:rsidRDefault="0098666F" w:rsidP="00CE1C32">
                        <w:pPr>
                          <w:spacing w:after="0"/>
                          <w:contextualSpacing/>
                          <w:rPr>
                            <w:sz w:val="20"/>
                            <w:lang w:val="sq-AL"/>
                          </w:rPr>
                        </w:pPr>
                        <w:r w:rsidRPr="00CE1C32">
                          <w:rPr>
                            <w:sz w:val="20"/>
                            <w:lang w:val="sq-AL"/>
                          </w:rPr>
                          <w:t>H</w:t>
                        </w:r>
                        <w:r>
                          <w:rPr>
                            <w:sz w:val="20"/>
                            <w:lang w:val="sq-AL"/>
                          </w:rPr>
                          <w:t>2e</w:t>
                        </w:r>
                      </w:p>
                    </w:txbxContent>
                  </v:textbox>
                </v:shape>
                <v:shape id="Text Box 90" o:spid="_x0000_s1062" type="#_x0000_t202" style="position:absolute;left:11396;top:22381;width:4826;height:2267;rotation:-344651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8nUsEA&#10;AADbAAAADwAAAGRycy9kb3ducmV2LnhtbERPTWvCQBC9F/wPyxR6q5sIVZu6ihQEoYQQK/Q6ZKdJ&#10;MDsbsluT9td3DoLHx/ve7CbXqSsNofVsIJ0noIgrb1uuDZw/D89rUCEiW+w8k4FfCrDbzh42mFk/&#10;cknXU6yVhHDI0EATY59pHaqGHIa574mF+/aDwyhwqLUdcJRw1+lFkiy1w5alocGe3huqLqcfJ73F&#10;9LJeFdVX/tGlnPPfZVGmZ2OeHqf9G6hIU7yLb+6jNfAq6+WL/AC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G/J1LBAAAA2wAAAA8AAAAAAAAAAAAAAAAAmAIAAGRycy9kb3du&#10;cmV2LnhtbFBLBQYAAAAABAAEAPUAAACGAwAAAAA=&#10;" filled="f" stroked="f" strokeweight=".5pt">
                  <v:textbox>
                    <w:txbxContent>
                      <w:p w14:paraId="659CA4A5" w14:textId="1DE0F13D" w:rsidR="0098666F" w:rsidRPr="00CE1C32" w:rsidRDefault="0098666F" w:rsidP="00CE1C32">
                        <w:pPr>
                          <w:spacing w:after="0"/>
                          <w:contextualSpacing/>
                          <w:rPr>
                            <w:sz w:val="20"/>
                            <w:lang w:val="sq-AL"/>
                          </w:rPr>
                        </w:pPr>
                        <w:r w:rsidRPr="00CE1C32">
                          <w:rPr>
                            <w:sz w:val="20"/>
                            <w:lang w:val="sq-AL"/>
                          </w:rPr>
                          <w:t>H</w:t>
                        </w:r>
                        <w:r>
                          <w:rPr>
                            <w:sz w:val="20"/>
                            <w:lang w:val="sq-AL"/>
                          </w:rPr>
                          <w:t>2f</w:t>
                        </w:r>
                      </w:p>
                    </w:txbxContent>
                  </v:textbox>
                </v:shape>
                <v:shape id="Text Box 91" o:spid="_x0000_s1063" type="#_x0000_t202" style="position:absolute;left:18765;top:16513;width:4828;height:2268;rotation:2272613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azD8YA&#10;AADbAAAADwAAAGRycy9kb3ducmV2LnhtbESPT2vCQBTE7wW/w/KE3uomKUhNXYOUWFrowX/t+Zl9&#10;TYLZtyG7auKn7woFj8PM/IaZZ71pxJk6V1tWEE8iEMSF1TWXCva71dMLCOeRNTaWScFADrLF6GGO&#10;qbYX3tB560sRIOxSVFB536ZSuqIig25iW+Lg/drOoA+yK6Xu8BLgppFJFE2lwZrDQoUtvVVUHLcn&#10;o+BzWMvk+n3ITzpv46/nn/fhsEqUehz3y1cQnnp/D/+3P7SCWQy3L+EHyM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jazD8YAAADbAAAADwAAAAAAAAAAAAAAAACYAgAAZHJz&#10;L2Rvd25yZXYueG1sUEsFBgAAAAAEAAQA9QAAAIsDAAAAAA==&#10;" filled="f" stroked="f" strokeweight=".5pt">
                  <v:textbox>
                    <w:txbxContent>
                      <w:p w14:paraId="79D2AE00" w14:textId="5987A4AE" w:rsidR="0098666F" w:rsidRPr="00CE1C32" w:rsidRDefault="0098666F" w:rsidP="00CE1C32">
                        <w:pPr>
                          <w:spacing w:after="0"/>
                          <w:contextualSpacing/>
                          <w:rPr>
                            <w:sz w:val="20"/>
                            <w:lang w:val="sq-AL"/>
                          </w:rPr>
                        </w:pPr>
                        <w:r w:rsidRPr="00CE1C32">
                          <w:rPr>
                            <w:sz w:val="20"/>
                            <w:lang w:val="sq-AL"/>
                          </w:rPr>
                          <w:t>H</w:t>
                        </w:r>
                        <w:r>
                          <w:rPr>
                            <w:sz w:val="20"/>
                            <w:lang w:val="sq-AL"/>
                          </w:rPr>
                          <w:t>3a</w:t>
                        </w:r>
                      </w:p>
                    </w:txbxContent>
                  </v:textbox>
                </v:shape>
                <v:shape id="Text Box 92" o:spid="_x0000_s1064" type="#_x0000_t202" style="position:absolute;left:27568;top:10372;width:4828;height:252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sIwMUA&#10;AADbAAAADwAAAGRycy9kb3ducmV2LnhtbESPQWvCQBSE74X+h+UVetONOZQYXUMoiPbgoVFoj8/s&#10;M4nNvg3ZrSb++q4g9DjMzDfMMhtMKy7Uu8aygtk0AkFcWt1wpeCwX08SEM4ja2wtk4KRHGSr56cl&#10;ptpe+ZMuha9EgLBLUUHtfZdK6cqaDLqp7YiDd7K9QR9kX0nd4zXATSvjKHqTBhsOCzV29F5T+VP8&#10;GgVn447z5Eazr3wzmnhXfHcfG6vU68uQL0B4Gvx/+NHeagXzGO5fwg+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CwjAxQAAANsAAAAPAAAAAAAAAAAAAAAAAJgCAABkcnMv&#10;ZG93bnJldi54bWxQSwUGAAAAAAQABAD1AAAAigMAAAAA&#10;" filled="f" stroked="f" strokeweight=".5pt">
                  <v:textbox>
                    <w:txbxContent>
                      <w:p w14:paraId="351E9998" w14:textId="08268044" w:rsidR="0098666F" w:rsidRPr="00CE1C32" w:rsidRDefault="0098666F" w:rsidP="00CE1C32">
                        <w:pPr>
                          <w:spacing w:after="0"/>
                          <w:contextualSpacing/>
                          <w:rPr>
                            <w:sz w:val="20"/>
                            <w:lang w:val="sq-AL"/>
                          </w:rPr>
                        </w:pPr>
                        <w:r w:rsidRPr="00CE1C32">
                          <w:rPr>
                            <w:sz w:val="20"/>
                            <w:lang w:val="sq-AL"/>
                          </w:rPr>
                          <w:t>H</w:t>
                        </w:r>
                        <w:r>
                          <w:rPr>
                            <w:sz w:val="20"/>
                            <w:lang w:val="sq-AL"/>
                          </w:rPr>
                          <w:t>2g</w:t>
                        </w:r>
                      </w:p>
                    </w:txbxContent>
                  </v:textbox>
                </v:shape>
                <v:shape id="Text Box 93" o:spid="_x0000_s1065" type="#_x0000_t202" style="position:absolute;left:19500;top:18997;width:4826;height:2267;rotation:1248000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TfsQA&#10;AADbAAAADwAAAGRycy9kb3ducmV2LnhtbESPT2vCQBTE7wW/w/IEb83GGkqauor9EygIgrGHHh/Z&#10;ZxLMvg3ZjUm/fVcQehxm5jfMejuZVlypd41lBcsoBkFcWt1wpeD7lD+mIJxH1thaJgW/5GC7mT2s&#10;MdN25CNdC1+JAGGXoYLa+y6T0pU1GXSR7YiDd7a9QR9kX0nd4xjgppVPcfwsDTYcFmrs6L2m8lIM&#10;JlDyRL9NSTHsP0f3k3p32MuPQanFfNq9gvA0+f/wvf2lFbys4PYl/AC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vk37EAAAA2wAAAA8AAAAAAAAAAAAAAAAAmAIAAGRycy9k&#10;b3ducmV2LnhtbFBLBQYAAAAABAAEAPUAAACJAwAAAAA=&#10;" filled="f" stroked="f" strokeweight=".5pt">
                  <v:textbox>
                    <w:txbxContent>
                      <w:p w14:paraId="638307A5" w14:textId="21CED07D" w:rsidR="0098666F" w:rsidRPr="00CE1C32" w:rsidRDefault="0098666F" w:rsidP="00CE1C32">
                        <w:pPr>
                          <w:spacing w:after="0"/>
                          <w:contextualSpacing/>
                          <w:rPr>
                            <w:sz w:val="20"/>
                            <w:lang w:val="sq-AL"/>
                          </w:rPr>
                        </w:pPr>
                        <w:r w:rsidRPr="00CE1C32">
                          <w:rPr>
                            <w:sz w:val="20"/>
                            <w:lang w:val="sq-AL"/>
                          </w:rPr>
                          <w:t>H</w:t>
                        </w:r>
                        <w:r>
                          <w:rPr>
                            <w:sz w:val="20"/>
                            <w:lang w:val="sq-AL"/>
                          </w:rPr>
                          <w:t>3b</w:t>
                        </w:r>
                      </w:p>
                    </w:txbxContent>
                  </v:textbox>
                </v:shape>
                <v:shape id="Text Box 94" o:spid="_x0000_s1066" type="#_x0000_t202" style="position:absolute;left:17469;top:20266;width:4826;height:22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8f1sYA&#10;AADbAAAADwAAAGRycy9kb3ducmV2LnhtbESPQWvCQBSE74L/YXmF3nTTYMWmriKBYCl6SOqlt9fs&#10;MwnNvo3Zrab+elco9DjMzDfMcj2YVpypd41lBU/TCARxaXXDlYLDRzZZgHAeWWNrmRT8koP1ajxa&#10;YqLthXM6F74SAcIuQQW1910ipStrMuimtiMO3tH2Bn2QfSV1j5cAN62Mo2guDTYcFmrsKK2p/C5+&#10;jIL3NNtj/hWbxbVNt7vjpjsdPp+VenwYNq8gPA3+P/zXftMKXmZw/x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v8f1sYAAADbAAAADwAAAAAAAAAAAAAAAACYAgAAZHJz&#10;L2Rvd25yZXYueG1sUEsFBgAAAAAEAAQA9QAAAIsDAAAAAA==&#10;" filled="f" stroked="f" strokeweight=".5pt">
                  <v:textbox>
                    <w:txbxContent>
                      <w:p w14:paraId="60159BDC" w14:textId="5F33B3B2" w:rsidR="0098666F" w:rsidRPr="00CE1C32" w:rsidRDefault="0098666F" w:rsidP="00CE1C32">
                        <w:pPr>
                          <w:spacing w:after="0"/>
                          <w:contextualSpacing/>
                          <w:rPr>
                            <w:sz w:val="20"/>
                            <w:lang w:val="sq-AL"/>
                          </w:rPr>
                        </w:pPr>
                        <w:r w:rsidRPr="00CE1C32">
                          <w:rPr>
                            <w:sz w:val="20"/>
                            <w:lang w:val="sq-AL"/>
                          </w:rPr>
                          <w:t>H</w:t>
                        </w:r>
                        <w:r>
                          <w:rPr>
                            <w:sz w:val="20"/>
                            <w:lang w:val="sq-AL"/>
                          </w:rPr>
                          <w:t>3b</w:t>
                        </w:r>
                      </w:p>
                    </w:txbxContent>
                  </v:textbox>
                </v:shape>
                <v:shape id="Text Box 95" o:spid="_x0000_s1067" type="#_x0000_t202" style="position:absolute;left:16104;top:22860;width:4826;height:2266;rotation:-1353890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5TcGMUA&#10;AADbAAAADwAAAGRycy9kb3ducmV2LnhtbESPT2sCMRTE70K/Q3iFXkSzbWm1q1EWaaGngv/Q42Pz&#10;ulndvCxJqquf3hQKPQ4z8xtmOu9sI07kQ+1YweMwA0FcOl1zpWCz/hiMQYSIrLFxTAouFGA+u+tN&#10;MdfuzEs6rWIlEoRDjgpMjG0uZSgNWQxD1xIn79t5izFJX0nt8ZzgtpFPWfYqLdacFgy2tDBUHlc/&#10;VkF/Wzx/7dy7vYzMwu/b4iCP8arUw31XTEBE6uJ/+K/9qRW8vcDvl/QD5O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lNwYxQAAANsAAAAPAAAAAAAAAAAAAAAAAJgCAABkcnMv&#10;ZG93bnJldi54bWxQSwUGAAAAAAQABAD1AAAAigMAAAAA&#10;" filled="f" stroked="f" strokeweight=".5pt">
                  <v:textbox>
                    <w:txbxContent>
                      <w:p w14:paraId="159DC19F" w14:textId="167E0EF6" w:rsidR="0098666F" w:rsidRPr="00CE1C32" w:rsidRDefault="0098666F" w:rsidP="00CE1C32">
                        <w:pPr>
                          <w:spacing w:after="0"/>
                          <w:contextualSpacing/>
                          <w:rPr>
                            <w:sz w:val="20"/>
                            <w:lang w:val="sq-AL"/>
                          </w:rPr>
                        </w:pPr>
                        <w:r w:rsidRPr="00CE1C32">
                          <w:rPr>
                            <w:sz w:val="20"/>
                            <w:lang w:val="sq-AL"/>
                          </w:rPr>
                          <w:t>H</w:t>
                        </w:r>
                        <w:r>
                          <w:rPr>
                            <w:sz w:val="20"/>
                            <w:lang w:val="sq-AL"/>
                          </w:rPr>
                          <w:t>3d</w:t>
                        </w:r>
                      </w:p>
                    </w:txbxContent>
                  </v:textbox>
                </v:shape>
                <v:shape id="Text Box 96" o:spid="_x0000_s1068" type="#_x0000_t202" style="position:absolute;left:34119;top:15353;width:4826;height:22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EkOsUA&#10;AADbAAAADwAAAGRycy9kb3ducmV2LnhtbESPQWvCQBSE74L/YXlCb2ZToUHTrCIBUUo9mHrx9pp9&#10;JqHZtzG7atpf7xYKPQ4z8w2TrQbTihv1rrGs4DmKQRCXVjdcKTh+bKZzEM4ja2wtk4JvcrBajkcZ&#10;ptre+UC3wlciQNilqKD2vkuldGVNBl1kO+LgnW1v0AfZV1L3eA9w08pZHCfSYMNhocaO8prKr+Jq&#10;FLzlmz0ePmdm/tPm2/fzurscTy9KPU2G9SsIT4P/D/+1d1rBIoHfL+EH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YSQ6xQAAANsAAAAPAAAAAAAAAAAAAAAAAJgCAABkcnMv&#10;ZG93bnJldi54bWxQSwUGAAAAAAQABAD1AAAAigMAAAAA&#10;" filled="f" stroked="f" strokeweight=".5pt">
                  <v:textbox>
                    <w:txbxContent>
                      <w:p w14:paraId="4428B228" w14:textId="1D323442" w:rsidR="0098666F" w:rsidRPr="00CE1C32" w:rsidRDefault="0098666F" w:rsidP="00CE1C32">
                        <w:pPr>
                          <w:spacing w:after="0"/>
                          <w:contextualSpacing/>
                          <w:rPr>
                            <w:sz w:val="20"/>
                            <w:lang w:val="sq-AL"/>
                          </w:rPr>
                        </w:pPr>
                        <w:r w:rsidRPr="00CE1C32">
                          <w:rPr>
                            <w:sz w:val="20"/>
                            <w:lang w:val="sq-AL"/>
                          </w:rPr>
                          <w:t>H</w:t>
                        </w:r>
                        <w:r>
                          <w:rPr>
                            <w:sz w:val="20"/>
                            <w:lang w:val="sq-AL"/>
                          </w:rPr>
                          <w:t>4</w:t>
                        </w:r>
                      </w:p>
                    </w:txbxContent>
                  </v:textbox>
                </v:shape>
                <v:shape id="Text Box 97" o:spid="_x0000_s1069" type="#_x0000_t202" style="position:absolute;left:43229;top:7539;width:3594;height:2159;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yrWMMA&#10;AADbAAAADwAAAGRycy9kb3ducmV2LnhtbESPQYvCMBSE74L/ITxhb2uqh1WrUUQQdw8erIIen82z&#10;rTYvpYla/fVGWPA4zMw3zGTWmFLcqHaFZQW9bgSCOLW64EzBbrv8HoJwHlljaZkUPMjBbNpuTTDW&#10;9s4buiU+EwHCLkYFufdVLKVLczLourYiDt7J1gZ9kHUmdY33ADel7EfRjzRYcFjIsaJFTukluRoF&#10;Z+OOo+GTevv56mH66+RQ/a2sUl+dZj4G4anxn/B/+1crGA3g/SX8ADl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yrWMMAAADbAAAADwAAAAAAAAAAAAAAAACYAgAAZHJzL2Rv&#10;d25yZXYueG1sUEsFBgAAAAAEAAQA9QAAAIgDAAAAAA==&#10;" filled="f" stroked="f" strokeweight=".5pt">
                  <v:textbox>
                    <w:txbxContent>
                      <w:p w14:paraId="61AE3A2D" w14:textId="156C443D" w:rsidR="0098666F" w:rsidRPr="00CE1C32" w:rsidRDefault="0098666F" w:rsidP="00CE1C32">
                        <w:pPr>
                          <w:spacing w:after="0"/>
                          <w:contextualSpacing/>
                          <w:rPr>
                            <w:sz w:val="20"/>
                            <w:lang w:val="sq-AL"/>
                          </w:rPr>
                        </w:pPr>
                        <w:r w:rsidRPr="00CE1C32">
                          <w:rPr>
                            <w:sz w:val="20"/>
                            <w:lang w:val="sq-AL"/>
                          </w:rPr>
                          <w:t>H</w:t>
                        </w:r>
                        <w:r>
                          <w:rPr>
                            <w:sz w:val="20"/>
                            <w:lang w:val="sq-AL"/>
                          </w:rPr>
                          <w:t>5</w:t>
                        </w:r>
                      </w:p>
                    </w:txbxContent>
                  </v:textbox>
                </v:shape>
                <w10:anchorlock/>
              </v:group>
            </w:pict>
          </mc:Fallback>
        </mc:AlternateContent>
      </w:r>
    </w:p>
    <w:p w14:paraId="558A77B9" w14:textId="71C2ECC1" w:rsidR="0008255C" w:rsidRPr="000D44EC" w:rsidRDefault="0008255C" w:rsidP="00902868">
      <w:pPr>
        <w:pStyle w:val="Titulek"/>
        <w:jc w:val="center"/>
        <w:rPr>
          <w:rFonts w:ascii="Times New Roman" w:hAnsi="Times New Roman" w:cs="Times New Roman"/>
          <w:b w:val="0"/>
          <w:bCs w:val="0"/>
          <w:color w:val="auto"/>
          <w:sz w:val="22"/>
          <w:szCs w:val="20"/>
        </w:rPr>
      </w:pPr>
      <w:r w:rsidRPr="000D44EC">
        <w:rPr>
          <w:rFonts w:ascii="Times New Roman" w:hAnsi="Times New Roman" w:cs="Times New Roman"/>
          <w:color w:val="auto"/>
          <w:sz w:val="22"/>
          <w:szCs w:val="20"/>
        </w:rPr>
        <w:t xml:space="preserve">Figure </w:t>
      </w:r>
      <w:r w:rsidRPr="000D44EC">
        <w:rPr>
          <w:rFonts w:ascii="Times New Roman" w:hAnsi="Times New Roman" w:cs="Times New Roman"/>
          <w:color w:val="auto"/>
          <w:sz w:val="22"/>
          <w:szCs w:val="20"/>
        </w:rPr>
        <w:fldChar w:fldCharType="begin"/>
      </w:r>
      <w:r w:rsidRPr="000D44EC">
        <w:rPr>
          <w:rFonts w:ascii="Times New Roman" w:hAnsi="Times New Roman" w:cs="Times New Roman"/>
          <w:color w:val="auto"/>
          <w:sz w:val="22"/>
          <w:szCs w:val="20"/>
        </w:rPr>
        <w:instrText xml:space="preserve"> SEQ Figure \* ARABIC </w:instrText>
      </w:r>
      <w:r w:rsidRPr="000D44EC">
        <w:rPr>
          <w:rFonts w:ascii="Times New Roman" w:hAnsi="Times New Roman" w:cs="Times New Roman"/>
          <w:color w:val="auto"/>
          <w:sz w:val="22"/>
          <w:szCs w:val="20"/>
        </w:rPr>
        <w:fldChar w:fldCharType="separate"/>
      </w:r>
      <w:r w:rsidR="007F313E" w:rsidRPr="000D44EC">
        <w:rPr>
          <w:rFonts w:ascii="Times New Roman" w:hAnsi="Times New Roman" w:cs="Times New Roman"/>
          <w:noProof/>
          <w:color w:val="auto"/>
          <w:sz w:val="22"/>
          <w:szCs w:val="20"/>
        </w:rPr>
        <w:t>1</w:t>
      </w:r>
      <w:r w:rsidRPr="000D44EC">
        <w:rPr>
          <w:rFonts w:ascii="Times New Roman" w:hAnsi="Times New Roman" w:cs="Times New Roman"/>
          <w:color w:val="auto"/>
          <w:sz w:val="22"/>
          <w:szCs w:val="20"/>
        </w:rPr>
        <w:fldChar w:fldCharType="end"/>
      </w:r>
      <w:r w:rsidRPr="000D44EC">
        <w:rPr>
          <w:rFonts w:ascii="Times New Roman" w:hAnsi="Times New Roman" w:cs="Times New Roman"/>
          <w:color w:val="auto"/>
          <w:sz w:val="22"/>
          <w:szCs w:val="20"/>
        </w:rPr>
        <w:t xml:space="preserve">. </w:t>
      </w:r>
      <w:r w:rsidR="00DA6D79">
        <w:rPr>
          <w:rFonts w:ascii="Times New Roman" w:hAnsi="Times New Roman" w:cs="Times New Roman"/>
          <w:b w:val="0"/>
          <w:bCs w:val="0"/>
          <w:color w:val="auto"/>
          <w:sz w:val="22"/>
          <w:szCs w:val="20"/>
        </w:rPr>
        <w:t>T</w:t>
      </w:r>
      <w:r w:rsidRPr="000D44EC">
        <w:rPr>
          <w:rFonts w:ascii="Times New Roman" w:hAnsi="Times New Roman" w:cs="Times New Roman"/>
          <w:b w:val="0"/>
          <w:bCs w:val="0"/>
          <w:color w:val="auto"/>
          <w:sz w:val="22"/>
          <w:szCs w:val="20"/>
        </w:rPr>
        <w:t>heoretical model</w:t>
      </w:r>
    </w:p>
    <w:p w14:paraId="3E3A9430" w14:textId="026275DE" w:rsidR="00CF17DA" w:rsidRPr="0098666F" w:rsidRDefault="00CF17DA" w:rsidP="0098666F">
      <w:pPr>
        <w:pStyle w:val="Nadpis1"/>
      </w:pPr>
      <w:r w:rsidRPr="0098666F">
        <w:t>Data collection</w:t>
      </w:r>
      <w:r w:rsidR="009D57D6" w:rsidRPr="0098666F">
        <w:t xml:space="preserve"> and</w:t>
      </w:r>
      <w:r w:rsidRPr="0098666F">
        <w:t xml:space="preserve"> research </w:t>
      </w:r>
      <w:r w:rsidR="00BA090E" w:rsidRPr="0098666F">
        <w:t>methodology</w:t>
      </w:r>
    </w:p>
    <w:p w14:paraId="0FB6DEC6" w14:textId="2B3373DA" w:rsidR="008C1FA9" w:rsidRPr="000D44EC" w:rsidRDefault="00CF17DA" w:rsidP="00B17A12">
      <w:pPr>
        <w:rPr>
          <w:rFonts w:ascii="Times New Roman" w:hAnsi="Times New Roman" w:cs="Times New Roman"/>
        </w:rPr>
      </w:pPr>
      <w:r w:rsidRPr="000D44EC">
        <w:rPr>
          <w:rFonts w:ascii="Times New Roman" w:hAnsi="Times New Roman" w:cs="Times New Roman"/>
        </w:rPr>
        <w:t xml:space="preserve">To </w:t>
      </w:r>
      <w:r w:rsidR="00752FB5">
        <w:rPr>
          <w:rFonts w:ascii="Times New Roman" w:hAnsi="Times New Roman" w:cs="Times New Roman"/>
        </w:rPr>
        <w:t>examine</w:t>
      </w:r>
      <w:r w:rsidRPr="000D44EC">
        <w:rPr>
          <w:rFonts w:ascii="Times New Roman" w:hAnsi="Times New Roman" w:cs="Times New Roman"/>
        </w:rPr>
        <w:t xml:space="preserve"> the proposed theoretical model, a questionnaire in English language was designed and reviewed for content validity by academics of the field. </w:t>
      </w:r>
      <w:r w:rsidR="00752FB5">
        <w:rPr>
          <w:rFonts w:ascii="Times New Roman" w:hAnsi="Times New Roman" w:cs="Times New Roman"/>
        </w:rPr>
        <w:t>Afterwards</w:t>
      </w:r>
      <w:r w:rsidRPr="000D44EC">
        <w:rPr>
          <w:rFonts w:ascii="Times New Roman" w:hAnsi="Times New Roman" w:cs="Times New Roman"/>
        </w:rPr>
        <w:t>, it was translated into the local language</w:t>
      </w:r>
      <w:r w:rsidR="00752FB5">
        <w:rPr>
          <w:rFonts w:ascii="Times New Roman" w:hAnsi="Times New Roman" w:cs="Times New Roman"/>
        </w:rPr>
        <w:t xml:space="preserve"> of </w:t>
      </w:r>
      <w:r w:rsidR="002E6FA6" w:rsidRPr="000D44EC">
        <w:rPr>
          <w:rFonts w:ascii="Times New Roman" w:hAnsi="Times New Roman" w:cs="Times New Roman"/>
        </w:rPr>
        <w:t>Albania</w:t>
      </w:r>
      <w:r w:rsidRPr="000D44EC">
        <w:rPr>
          <w:rFonts w:ascii="Times New Roman" w:hAnsi="Times New Roman" w:cs="Times New Roman"/>
        </w:rPr>
        <w:t>.</w:t>
      </w:r>
      <w:r w:rsidR="002E6FA6" w:rsidRPr="000D44EC">
        <w:rPr>
          <w:rFonts w:ascii="Times New Roman" w:hAnsi="Times New Roman" w:cs="Times New Roman"/>
        </w:rPr>
        <w:t xml:space="preserve"> The data collection tool has been chosen questionnaire due to the fact that previous research which investigate </w:t>
      </w:r>
      <w:r w:rsidR="003418EE">
        <w:rPr>
          <w:rFonts w:ascii="Times New Roman" w:hAnsi="Times New Roman" w:cs="Times New Roman"/>
        </w:rPr>
        <w:t>m-banking</w:t>
      </w:r>
      <w:r w:rsidR="002E6FA6" w:rsidRPr="000D44EC">
        <w:rPr>
          <w:rFonts w:ascii="Times New Roman" w:hAnsi="Times New Roman" w:cs="Times New Roman"/>
        </w:rPr>
        <w:t xml:space="preserve"> and UTAUT2 model followed </w:t>
      </w:r>
      <w:r w:rsidR="00752FB5">
        <w:rPr>
          <w:rFonts w:ascii="Times New Roman" w:hAnsi="Times New Roman" w:cs="Times New Roman"/>
        </w:rPr>
        <w:t>identical</w:t>
      </w:r>
      <w:r w:rsidR="002E6FA6" w:rsidRPr="000D44EC">
        <w:rPr>
          <w:rFonts w:ascii="Times New Roman" w:hAnsi="Times New Roman" w:cs="Times New Roman"/>
        </w:rPr>
        <w:t xml:space="preserve"> data collection technique </w:t>
      </w:r>
      <w:r w:rsidR="002E6FA6"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{"citationItems":[{"id":"ITEM-1","itemData":{"DOI":"10.1108/IntR-10-2015-0295","ISSN":"1066-2243","abstract":"Purpose The purpose of this paper is to identify the potential impact of the utilization of game mechanics and game design techniques in the acceptance of mobile banking services. Design/methodology/approach The theoretical model was tested in a quantitative study using structural equation modelling, conducted in Brazil, with actual local banking customers. Findings The findings show that there is a direct and strong relationship between gamification and intention to use mobile banking services, supporting that, when used and designed properly, gamification can help make banking activities more exciting, more interesting and more enjoyable, and in turn increase customer acceptance, engagement and satisfaction. Research limitations/implications The research extends the unified theory of acceptance and use of technology (UTAUT2), and prior research to include gamification impact. The result is a more descriptive model that better explains consumers’ decision to use mobile banking services. Practical implica...","author":[{"dropping-particle":"","family":"Baptista","given":"Goncalo","non-dropping-particle":"","parse-names":false,"suffix":""},{"dropping-particle":"","family":"Oliveira","given":"Tiago","non-dropping-particle":"","parse-names":false,"suffix":""}],"container-title":"Internet Research","id":"ITEM-1","issue":"1","issued":{"date-parts":[["2017","2"]]},"page":"118-139","publisher":"Emerald Publishing Limited","title":"Why so serious? Gamification impact in the acceptance of mobile banking services","type":"article-journal","volume":"27"},"uris":["http://www.mendeley.com/documents/?uuid=0b3f374e-8b77-42e6-bc77-b7919247f6cf"]}],"mendeley":{"formattedCitation":"(Baptista &amp; Oliveira, 2017)","plainTextFormattedCitation":"(Baptista &amp; Oliveira, 2017)","previouslyFormattedCitation":"(Baptista &amp; Oliveira, 2017)"},"properties":{"noteIndex":0},"schema":"https://github.com/citation-style-language/schema/raw/master/csl-citation.json"}</w:instrText>
      </w:r>
      <w:r w:rsidR="002E6FA6" w:rsidRPr="000D44EC">
        <w:rPr>
          <w:rFonts w:ascii="Times New Roman" w:hAnsi="Times New Roman" w:cs="Times New Roman"/>
        </w:rPr>
        <w:fldChar w:fldCharType="separate"/>
      </w:r>
      <w:r w:rsidR="0056686A" w:rsidRPr="0056686A">
        <w:rPr>
          <w:rFonts w:ascii="Times New Roman" w:hAnsi="Times New Roman" w:cs="Times New Roman"/>
          <w:noProof/>
        </w:rPr>
        <w:t>(Baptista &amp; Oliveira, 2017)</w:t>
      </w:r>
      <w:r w:rsidR="002E6FA6" w:rsidRPr="000D44EC">
        <w:rPr>
          <w:rFonts w:ascii="Times New Roman" w:hAnsi="Times New Roman" w:cs="Times New Roman"/>
        </w:rPr>
        <w:fldChar w:fldCharType="end"/>
      </w:r>
      <w:r w:rsidR="002E6FA6" w:rsidRPr="000D44EC">
        <w:rPr>
          <w:rFonts w:ascii="Times New Roman" w:hAnsi="Times New Roman" w:cs="Times New Roman"/>
        </w:rPr>
        <w:t xml:space="preserve">. </w:t>
      </w:r>
      <w:r w:rsidR="005418A6" w:rsidRPr="000D44EC">
        <w:rPr>
          <w:rFonts w:ascii="Times New Roman" w:hAnsi="Times New Roman" w:cs="Times New Roman"/>
        </w:rPr>
        <w:t xml:space="preserve">The questionnaire contains three main sections: indicators </w:t>
      </w:r>
      <w:r w:rsidR="00752FB5">
        <w:rPr>
          <w:rFonts w:ascii="Times New Roman" w:hAnsi="Times New Roman" w:cs="Times New Roman"/>
        </w:rPr>
        <w:t xml:space="preserve">of </w:t>
      </w:r>
      <w:r w:rsidR="005418A6" w:rsidRPr="000D44EC">
        <w:rPr>
          <w:rFonts w:ascii="Times New Roman" w:hAnsi="Times New Roman" w:cs="Times New Roman"/>
        </w:rPr>
        <w:t xml:space="preserve">UTAUT2 constructs, gamification indicators, and demographic </w:t>
      </w:r>
      <w:r w:rsidR="00752FB5">
        <w:rPr>
          <w:rFonts w:ascii="Times New Roman" w:hAnsi="Times New Roman" w:cs="Times New Roman"/>
        </w:rPr>
        <w:t>profile of the respondents</w:t>
      </w:r>
      <w:r w:rsidR="005418A6" w:rsidRPr="000D44EC">
        <w:rPr>
          <w:rFonts w:ascii="Times New Roman" w:hAnsi="Times New Roman" w:cs="Times New Roman"/>
        </w:rPr>
        <w:t xml:space="preserve">. The items for the UTAUT2 constructs were adapted mainly from Venkatesh et al. </w:t>
      </w:r>
      <w:r w:rsidR="005418A6" w:rsidRPr="000D44EC">
        <w:rPr>
          <w:rFonts w:ascii="Times New Roman" w:hAnsi="Times New Roman" w:cs="Times New Roman"/>
        </w:rPr>
        <w:fldChar w:fldCharType="begin" w:fldLock="1"/>
      </w:r>
      <w:r w:rsidR="003266B5">
        <w:rPr>
          <w:rFonts w:ascii="Times New Roman" w:hAnsi="Times New Roman" w:cs="Times New Roman"/>
        </w:rPr>
        <w:instrText>ADDIN CSL_CITATION {"citationItems":[{"id":"ITEM-1","itemData":{"DOI":"10.2307/30036540","abstract":"Information technology (IT) acceptance research has yielded many competing models, each with different sets of acceptance determinants. In this paper, we (1) review user acceptance literature and discuss eight prominent models, (2) empirically compare the eight models and their extensions, (3) formulate a unified model that integrates elements across the eight models, and (4) empirically validate the unified model. The eight models reviewed are the theory of reasoned action, the technology acceptance model, the motivational model, the theory of planned behavior, a model combining the technology acceptance model and the theory of planned behavior, the model of PC utilization, the innovation diffusion theory, and the social cognitive theory. Using data from four organizations over a six-month period with three points of measurement, the eight models explained between 17 percent and 53 percent of the variance in user intentions to use information technology. Next, a unified model, called the Unified Theory of Acceptance and Use of Technology (UTAUT), was formulated, with four core determinants of intention and usage, and up to four moderators of key relationships. UTAUT was then tested using the original data and found to outperform the eight individual models (adjusted R of 69 percent). UTAUT was then confirmed with data from two new organizations with similar results (adjusted R of 70 percent). UTAUT thus provides a useful tool for managers needing to assess the likelihood of success for new technology introductions and helps them understand the drivers of acceptance in order to proactively design interventions (including training, marketing, etc.) targeted at populations of users that may be less inclined to adopt and use new systems. The paper also makes several recommendations for future research including developing a deeper understanding of the dynamic influences studied here, refining measurement of the core constructs used in UTAUT, and understanding the organizational outcomes associated with new technology use.","author":[{"dropping-particle":"","family":"Venkatesh","given":"Viswanath","non-dropping-particle":"","parse-names":false,"suffix":""},{"dropping-particle":"","family":"Morris","given":"Michael G.","non-dropping-particle":"","parse-names":false,"suffix":""},{"dropping-particle":"","family":"Davis","given":"Gordon B.","non-dropping-particle":"","parse-names":false,"suffix":""},{"dropping-particle":"","family":"Davis","given":"Fred D.","non-dropping-particle":"","parse-names":false,"suffix":""}],"container-title":"MIS Quarterly","id":"ITEM-1","issue":"3","issued":{"date-parts":[["2003"]]},"page":"425","publisher":"Management Information Systems Research Center, University of Minnesota","title":"User Acceptance of Information Technology: Toward a Unified View","type":"article-journal","volume":"27"},"suppress-author":1,"uris":["http://www.mendeley.com/documents/?uuid=07f868c3-3adf-4f1e-91bf-d93a91d07210"]},{"id":"ITEM-2","itemData":{"abstract":"This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quarterly","id":"ITEM-2","issued":{"date-parts":[["2012"]]},"page":"157-178","title":"Consumer acceptance and use of information technology: Extending the unified theory of acceptance and use of technology","type":"article-journal","volume":"36"},"suppress-author":1,"uris":["http://www.mendeley.com/documents/?uuid=47aaf082-83a2-46f0-b062-9c6987a306c3"]}],"mendeley":{"formattedCitation":"(2003, 2012)","plainTextFormattedCitation":"(2003, 2012)","previouslyFormattedCitation":"(2003, 2012)"},"properties":{"noteIndex":0},"schema":"https://github.com/citation-style-language/schema/raw/master/csl-citation.json"}</w:instrText>
      </w:r>
      <w:r w:rsidR="005418A6" w:rsidRPr="000D44EC">
        <w:rPr>
          <w:rFonts w:ascii="Times New Roman" w:hAnsi="Times New Roman" w:cs="Times New Roman"/>
        </w:rPr>
        <w:fldChar w:fldCharType="separate"/>
      </w:r>
      <w:r w:rsidR="00E437E3" w:rsidRPr="00E437E3">
        <w:rPr>
          <w:rFonts w:ascii="Times New Roman" w:hAnsi="Times New Roman" w:cs="Times New Roman"/>
          <w:noProof/>
        </w:rPr>
        <w:t>(2003, 2012)</w:t>
      </w:r>
      <w:r w:rsidR="005418A6" w:rsidRPr="000D44EC">
        <w:rPr>
          <w:rFonts w:ascii="Times New Roman" w:hAnsi="Times New Roman" w:cs="Times New Roman"/>
        </w:rPr>
        <w:fldChar w:fldCharType="end"/>
      </w:r>
      <w:r w:rsidR="00752FB5">
        <w:rPr>
          <w:rFonts w:ascii="Times New Roman" w:hAnsi="Times New Roman" w:cs="Times New Roman"/>
        </w:rPr>
        <w:t>;</w:t>
      </w:r>
      <w:r w:rsidR="005418A6" w:rsidRPr="000D44EC">
        <w:rPr>
          <w:rFonts w:ascii="Times New Roman" w:hAnsi="Times New Roman" w:cs="Times New Roman"/>
        </w:rPr>
        <w:t xml:space="preserve"> the </w:t>
      </w:r>
      <w:r w:rsidR="008C1FA9" w:rsidRPr="000D44EC">
        <w:rPr>
          <w:rFonts w:ascii="Times New Roman" w:hAnsi="Times New Roman" w:cs="Times New Roman"/>
        </w:rPr>
        <w:t>UB, IR and GM</w:t>
      </w:r>
      <w:r w:rsidR="005418A6" w:rsidRPr="000D44EC">
        <w:rPr>
          <w:rFonts w:ascii="Times New Roman" w:hAnsi="Times New Roman" w:cs="Times New Roman"/>
        </w:rPr>
        <w:t xml:space="preserve"> from</w:t>
      </w:r>
      <w:r w:rsidR="00CB5580" w:rsidRPr="000D44EC">
        <w:rPr>
          <w:rFonts w:ascii="Times New Roman" w:hAnsi="Times New Roman" w:cs="Times New Roman"/>
        </w:rPr>
        <w:t xml:space="preserve"> </w:t>
      </w:r>
      <w:r w:rsidR="00CB5580" w:rsidRPr="000D44EC">
        <w:rPr>
          <w:rFonts w:ascii="Times New Roman" w:hAnsi="Times New Roman" w:cs="Times New Roman"/>
          <w:noProof/>
        </w:rPr>
        <w:t>Martins, Oliveira and Popovič</w:t>
      </w:r>
      <w:r w:rsidR="00CB5580" w:rsidRPr="000D44EC">
        <w:rPr>
          <w:rFonts w:ascii="Times New Roman" w:hAnsi="Times New Roman" w:cs="Times New Roman"/>
        </w:rPr>
        <w:t xml:space="preserve"> </w:t>
      </w:r>
      <w:r w:rsidR="00CB5580"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{"citationItems":[{"id":"ITEM-1","itemData":{"DOI":"10.1016/J.IJINFOMGT.2013.06.002","ISSN":"0268-4012","abstract":"Understanding the main determinants of Internet banking adoption is important for banks and users; our understanding of the role of users’ perceived risk in Internet banking adoption is limited. In response, we develop a conceptual model that combines unified theory of acceptance and use of technology (UTAUT) with perceived risk to explain behaviour intention and usage behaviour of Internet banking. To test the conceptual model we collected data from Portugal (249 valid cases). Our results support some relationships of UTAUT, such as performance expectancy, effort expectancy, and social influence, and also the role of risk as a stronger predictor of intention. To explain usage behaviour of Internet banking the most important factor is behavioural intention to use Internet banking.","author":[{"dropping-particle":"","family":"Martins","given":"Carolina","non-dropping-particle":"","parse-names":false,"suffix":""},{"dropping-particle":"","family":"Oliveira","given":"Tiago","non-dropping-particle":"","parse-names":false,"suffix":""},{"dropping-particle":"","family":"Popovič","given":"Aleš","non-dropping-particle":"","parse-names":false,"suffix":""}],"container-title":"International Journal of Information Management","id":"ITEM-1","issue":"1","issued":{"date-parts":[["2014","2"]]},"page":"1-13","publisher":"Pergamon","title":"Understanding the Internet banking adoption: A unified theory of acceptance and use of technology and perceived risk application","type":"article-journal","volume":"34"},"uris":["http://www.mendeley.com/documents/?uuid=96813dcc-876f-4822-b605-c49b13f34395"]}],"mendeley":{"formattedCitation":"(Martins, Oliveira, &amp; Popovič, 2014)","plainTextFormattedCitation":"(Martins, Oliveira, &amp; Popovič, 2014)","previouslyFormattedCitation":"(Martins, Oliveira, &amp; Popovič, 2014)"},"properties":{"noteIndex":0},"schema":"https://github.com/citation-style-language/schema/raw/master/csl-citation.json"}</w:instrText>
      </w:r>
      <w:r w:rsidR="00CB5580" w:rsidRPr="000D44EC">
        <w:rPr>
          <w:rFonts w:ascii="Times New Roman" w:hAnsi="Times New Roman" w:cs="Times New Roman"/>
        </w:rPr>
        <w:fldChar w:fldCharType="separate"/>
      </w:r>
      <w:r w:rsidR="0056686A" w:rsidRPr="0056686A">
        <w:rPr>
          <w:rFonts w:ascii="Times New Roman" w:hAnsi="Times New Roman" w:cs="Times New Roman"/>
          <w:noProof/>
        </w:rPr>
        <w:t>(Martins, Oliveira, &amp; Popovič, 2014)</w:t>
      </w:r>
      <w:r w:rsidR="00CB5580" w:rsidRPr="000D44EC">
        <w:rPr>
          <w:rFonts w:ascii="Times New Roman" w:hAnsi="Times New Roman" w:cs="Times New Roman"/>
        </w:rPr>
        <w:fldChar w:fldCharType="end"/>
      </w:r>
      <w:r w:rsidR="00CB5580" w:rsidRPr="000D44EC">
        <w:rPr>
          <w:rFonts w:ascii="Times New Roman" w:hAnsi="Times New Roman" w:cs="Times New Roman"/>
        </w:rPr>
        <w:t>,</w:t>
      </w:r>
      <w:r w:rsidR="00752FB5">
        <w:rPr>
          <w:rFonts w:ascii="Times New Roman" w:hAnsi="Times New Roman" w:cs="Times New Roman"/>
        </w:rPr>
        <w:t xml:space="preserve"> </w:t>
      </w:r>
      <w:r w:rsidR="008C1FA9" w:rsidRPr="000D44EC">
        <w:rPr>
          <w:rFonts w:ascii="Times New Roman" w:hAnsi="Times New Roman" w:cs="Times New Roman"/>
          <w:bCs/>
        </w:rPr>
        <w:t xml:space="preserve">Baptista and Oliveira </w:t>
      </w:r>
      <w:r w:rsidR="008C1FA9" w:rsidRPr="000D44EC">
        <w:rPr>
          <w:rFonts w:ascii="Times New Roman" w:hAnsi="Times New Roman" w:cs="Times New Roman"/>
          <w:bCs/>
        </w:rPr>
        <w:fldChar w:fldCharType="begin" w:fldLock="1"/>
      </w:r>
      <w:r w:rsidR="00E437E3">
        <w:rPr>
          <w:rFonts w:ascii="Times New Roman" w:hAnsi="Times New Roman" w:cs="Times New Roman"/>
          <w:bCs/>
        </w:rPr>
        <w:instrText>ADDIN CSL_CITATION {"citationItems":[{"id":"ITEM-1","itemData":{"DOI":"10.1108/IntR-10-2015-0295","ISSN":"1066-2243","abstract":"Purpose The purpose of this paper is to identify the potential impact of the utilization of game mechanics and game design techniques in the acceptance of mobile banking services. Design/methodology/approach The theoretical model was tested in a quantitative study using structural equation modelling, conducted in Brazil, with actual local banking customers. Findings The findings show that there is a direct and strong relationship between gamification and intention to use mobile banking services, supporting that, when used and designed properly, gamification can help make banking activities more exciting, more interesting and more enjoyable, and in turn increase customer acceptance, engagement and satisfaction. Research limitations/implications The research extends the unified theory of acceptance and use of technology (UTAUT2), and prior research to include gamification impact. The result is a more descriptive model that better explains consumers’ decision to use mobile banking services. Practical implica...","author":[{"dropping-particle":"","family":"Baptista","given":"Goncalo","non-dropping-particle":"","parse-names":false,"suffix":""},{"dropping-particle":"","family":"Oliveira","given":"Tiago","non-dropping-particle":"","parse-names":false,"suffix":""}],"container-title":"Internet Research","id":"ITEM-1","issue":"1","issued":{"date-parts":[["2017","2"]]},"page":"118-139","publisher":"Emerald Publishing Limited","title":"Why so serious? Gamification impact in the acceptance of mobile banking services","type":"article-journal","volume":"27"},"suppress-author":1,"uris":["http://www.mendeley.com/documents/?uuid=0b3f374e-8b77-42e6-bc77-b7919247f6cf"]}],"mendeley":{"formattedCitation":"(2017)","plainTextFormattedCitation":"(2017)","previouslyFormattedCitation":"(2017)"},"properties":{"noteIndex":0},"schema":"https://github.com/citation-style-language/schema/raw/master/csl-citation.json"}</w:instrText>
      </w:r>
      <w:r w:rsidR="008C1FA9" w:rsidRPr="000D44EC">
        <w:rPr>
          <w:rFonts w:ascii="Times New Roman" w:hAnsi="Times New Roman" w:cs="Times New Roman"/>
          <w:bCs/>
        </w:rPr>
        <w:fldChar w:fldCharType="separate"/>
      </w:r>
      <w:r w:rsidR="00E437E3" w:rsidRPr="00E437E3">
        <w:rPr>
          <w:rFonts w:ascii="Times New Roman" w:hAnsi="Times New Roman" w:cs="Times New Roman"/>
          <w:bCs/>
          <w:noProof/>
        </w:rPr>
        <w:t>(2017)</w:t>
      </w:r>
      <w:r w:rsidR="008C1FA9" w:rsidRPr="000D44EC">
        <w:rPr>
          <w:rFonts w:ascii="Times New Roman" w:hAnsi="Times New Roman" w:cs="Times New Roman"/>
        </w:rPr>
        <w:fldChar w:fldCharType="end"/>
      </w:r>
      <w:r w:rsidR="008C1FA9" w:rsidRPr="000D44EC">
        <w:rPr>
          <w:rFonts w:ascii="Times New Roman" w:hAnsi="Times New Roman" w:cs="Times New Roman"/>
          <w:bCs/>
        </w:rPr>
        <w:t xml:space="preserve"> and Sigala </w:t>
      </w:r>
      <w:r w:rsidR="008C1FA9" w:rsidRPr="000D44EC">
        <w:rPr>
          <w:rFonts w:ascii="Times New Roman" w:hAnsi="Times New Roman" w:cs="Times New Roman"/>
          <w:bCs/>
        </w:rPr>
        <w:fldChar w:fldCharType="begin" w:fldLock="1"/>
      </w:r>
      <w:r w:rsidR="00E437E3">
        <w:rPr>
          <w:rFonts w:ascii="Times New Roman" w:hAnsi="Times New Roman" w:cs="Times New Roman"/>
          <w:bCs/>
        </w:rPr>
        <w:instrText>ADDIN CSL_CITATION {"citationItems":[{"id":"ITEM-1","itemData":{"DOI":"10.1007/s12525-014-0179-1","abstract":"Despite the wide diffusion of gamification in business, limited research exists investigating the application and impacts of gamification. As the gamification effects are heavily dependent on the context of its implementation, this study used the design of the TripAdvisor’s funware for investigating the use and the impacts of gamification in a specific tourism context. After reviewing the literature for understanding how to design funwares that can lead to desired experiential and behavioural user outcomes, the paper discusses the way in which the TripAdvisor designed its funware for motivating the travellers to engage with its website and for enhancing the travellers’ online experiential values and trip planning processes. Data from TripAdvisor users were also collected for investigating the impacts of the TripAdvisor’s funware design on the following users’ outcomes: experiential values gained by using TripAdvisor; impacts of TripAdvisor on travellers’ trip planning processes; impacts of Tripadvisor on trip experiences. Finally, the paper discusses the implications of the findings to researchers, designers and tourism organisations.","author":[{"dropping-particle":"","family":"Sigala","given":"Marianna","non-dropping-particle":"","parse-names":false,"suffix":""}],"container-title":"Electronic Markets","id":"ITEM-1","issue":"3","issued":{"date-parts":[["2015","9"]]},"page":"189-209","publisher":"Springer Berlin Heidelberg","title":"The application and impact of gamification funware on trip planning and experiences: the case of TripAdvisor’s funware","type":"article-journal","volume":"25"},"suppress-author":1,"uris":["http://www.mendeley.com/documents/?uuid=f3c2cc86-dcf7-4b70-95ef-08b4b978e185"]}],"mendeley":{"formattedCitation":"(2015)","plainTextFormattedCitation":"(2015)","previouslyFormattedCitation":"(2015)"},"properties":{"noteIndex":0},"schema":"https://github.com/citation-style-language/schema/raw/master/csl-citation.json"}</w:instrText>
      </w:r>
      <w:r w:rsidR="008C1FA9" w:rsidRPr="000D44EC">
        <w:rPr>
          <w:rFonts w:ascii="Times New Roman" w:hAnsi="Times New Roman" w:cs="Times New Roman"/>
          <w:bCs/>
        </w:rPr>
        <w:fldChar w:fldCharType="separate"/>
      </w:r>
      <w:r w:rsidR="00E437E3" w:rsidRPr="00E437E3">
        <w:rPr>
          <w:rFonts w:ascii="Times New Roman" w:hAnsi="Times New Roman" w:cs="Times New Roman"/>
          <w:bCs/>
          <w:noProof/>
        </w:rPr>
        <w:t>(2015)</w:t>
      </w:r>
      <w:r w:rsidR="008C1FA9" w:rsidRPr="000D44EC">
        <w:rPr>
          <w:rFonts w:ascii="Times New Roman" w:hAnsi="Times New Roman" w:cs="Times New Roman"/>
        </w:rPr>
        <w:fldChar w:fldCharType="end"/>
      </w:r>
      <w:r w:rsidR="008C1FA9" w:rsidRPr="000D44EC">
        <w:rPr>
          <w:rFonts w:ascii="Times New Roman" w:hAnsi="Times New Roman" w:cs="Times New Roman"/>
        </w:rPr>
        <w:t xml:space="preserve">. </w:t>
      </w:r>
      <w:r w:rsidR="00A216D3" w:rsidRPr="000D44EC">
        <w:rPr>
          <w:rFonts w:ascii="Times New Roman" w:hAnsi="Times New Roman" w:cs="Times New Roman"/>
        </w:rPr>
        <w:t xml:space="preserve">The original UTAUT2 </w:t>
      </w:r>
      <w:r w:rsidR="00A216D3"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quarterly","id":"ITEM-1","issued":{"date-parts":[["2012"]]},"page":"157-178","title":"Consumer acceptance and use of information technology: Extending the unified theory of acceptance and use of technology","type":"article-journal","volume":"36"},"uris":["http://www.mendeley.com/documents/?uuid=47aaf082-83a2-46f0-b062-9c6987a306c3"]}],"mendeley":{"formattedCitation":"(Venkatesh et al., 2012)","plainTextFormattedCitation":"(Venkatesh et al., 2012)","previouslyFormattedCitation":"(Venkatesh et al., 2012)"},"properties":{"noteIndex":0},"schema":"https://github.com/citation-style-language/schema/raw/master/csl-citation.json"}</w:instrText>
      </w:r>
      <w:r w:rsidR="00A216D3" w:rsidRPr="000D44EC">
        <w:rPr>
          <w:rFonts w:ascii="Times New Roman" w:hAnsi="Times New Roman" w:cs="Times New Roman"/>
        </w:rPr>
        <w:fldChar w:fldCharType="separate"/>
      </w:r>
      <w:r w:rsidR="0056686A" w:rsidRPr="0056686A">
        <w:rPr>
          <w:rFonts w:ascii="Times New Roman" w:hAnsi="Times New Roman" w:cs="Times New Roman"/>
          <w:noProof/>
        </w:rPr>
        <w:t>(Venkatesh et al., 2012)</w:t>
      </w:r>
      <w:r w:rsidR="00A216D3" w:rsidRPr="000D44EC">
        <w:rPr>
          <w:rFonts w:ascii="Times New Roman" w:hAnsi="Times New Roman" w:cs="Times New Roman"/>
        </w:rPr>
        <w:fldChar w:fldCharType="end"/>
      </w:r>
      <w:r w:rsidR="00A216D3" w:rsidRPr="000D44EC">
        <w:rPr>
          <w:rFonts w:ascii="Times New Roman" w:hAnsi="Times New Roman" w:cs="Times New Roman"/>
        </w:rPr>
        <w:t xml:space="preserve"> includes even price value construct, however, it was not relevant for this research, since the mobile service in Albania </w:t>
      </w:r>
      <w:r w:rsidR="00A177A1" w:rsidRPr="000D44EC">
        <w:rPr>
          <w:rFonts w:ascii="Times New Roman" w:hAnsi="Times New Roman" w:cs="Times New Roman"/>
        </w:rPr>
        <w:t>is</w:t>
      </w:r>
      <w:r w:rsidR="00A216D3" w:rsidRPr="000D44EC">
        <w:rPr>
          <w:rFonts w:ascii="Times New Roman" w:hAnsi="Times New Roman" w:cs="Times New Roman"/>
        </w:rPr>
        <w:t xml:space="preserve"> provided free of charge. </w:t>
      </w:r>
      <w:r w:rsidR="00752FB5">
        <w:rPr>
          <w:rFonts w:ascii="Times New Roman" w:hAnsi="Times New Roman" w:cs="Times New Roman"/>
        </w:rPr>
        <w:t>The level of agreement for</w:t>
      </w:r>
      <w:r w:rsidR="008C1FA9" w:rsidRPr="000D44EC">
        <w:rPr>
          <w:rFonts w:ascii="Times New Roman" w:hAnsi="Times New Roman" w:cs="Times New Roman"/>
        </w:rPr>
        <w:t xml:space="preserve"> indicator </w:t>
      </w:r>
      <w:r w:rsidR="00752FB5">
        <w:rPr>
          <w:rFonts w:ascii="Times New Roman" w:hAnsi="Times New Roman" w:cs="Times New Roman"/>
        </w:rPr>
        <w:t xml:space="preserve">have been </w:t>
      </w:r>
      <w:r w:rsidR="008C1FA9" w:rsidRPr="000D44EC">
        <w:rPr>
          <w:rFonts w:ascii="Times New Roman" w:hAnsi="Times New Roman" w:cs="Times New Roman"/>
        </w:rPr>
        <w:t xml:space="preserve">measured </w:t>
      </w:r>
      <w:r w:rsidR="00752FB5">
        <w:rPr>
          <w:rFonts w:ascii="Times New Roman" w:hAnsi="Times New Roman" w:cs="Times New Roman"/>
        </w:rPr>
        <w:t xml:space="preserve">with </w:t>
      </w:r>
      <w:r w:rsidR="008C1FA9" w:rsidRPr="000D44EC">
        <w:rPr>
          <w:rFonts w:ascii="Times New Roman" w:hAnsi="Times New Roman" w:cs="Times New Roman"/>
        </w:rPr>
        <w:t>a five-point Likert scale</w:t>
      </w:r>
      <w:r w:rsidR="003D4045">
        <w:rPr>
          <w:rFonts w:ascii="Times New Roman" w:hAnsi="Times New Roman" w:cs="Times New Roman"/>
        </w:rPr>
        <w:t xml:space="preserve"> (</w:t>
      </w:r>
      <w:r w:rsidR="008C1FA9" w:rsidRPr="000D44EC">
        <w:rPr>
          <w:rFonts w:ascii="Times New Roman" w:hAnsi="Times New Roman" w:cs="Times New Roman"/>
        </w:rPr>
        <w:t xml:space="preserve">1 = </w:t>
      </w:r>
      <w:r w:rsidR="00B17A12" w:rsidRPr="000D44EC">
        <w:rPr>
          <w:rFonts w:ascii="Times New Roman" w:hAnsi="Times New Roman" w:cs="Times New Roman"/>
        </w:rPr>
        <w:t>‘</w:t>
      </w:r>
      <w:r w:rsidR="008C1FA9" w:rsidRPr="000D44EC">
        <w:rPr>
          <w:rFonts w:ascii="Times New Roman" w:hAnsi="Times New Roman" w:cs="Times New Roman"/>
        </w:rPr>
        <w:t xml:space="preserve">strongly disagree’ to 5 = </w:t>
      </w:r>
      <w:r w:rsidR="00B17A12" w:rsidRPr="000D44EC">
        <w:rPr>
          <w:rFonts w:ascii="Times New Roman" w:hAnsi="Times New Roman" w:cs="Times New Roman"/>
        </w:rPr>
        <w:t>‘</w:t>
      </w:r>
      <w:r w:rsidR="008C1FA9" w:rsidRPr="000D44EC">
        <w:rPr>
          <w:rFonts w:ascii="Times New Roman" w:hAnsi="Times New Roman" w:cs="Times New Roman"/>
        </w:rPr>
        <w:t>strongly agree’</w:t>
      </w:r>
      <w:r w:rsidR="003D4045">
        <w:rPr>
          <w:rFonts w:ascii="Times New Roman" w:hAnsi="Times New Roman" w:cs="Times New Roman"/>
        </w:rPr>
        <w:t>)</w:t>
      </w:r>
      <w:r w:rsidR="008C1FA9" w:rsidRPr="000D44EC">
        <w:rPr>
          <w:rFonts w:ascii="Times New Roman" w:hAnsi="Times New Roman" w:cs="Times New Roman"/>
        </w:rPr>
        <w:t>.</w:t>
      </w:r>
      <w:r w:rsidR="00CB5580" w:rsidRPr="000D44EC">
        <w:rPr>
          <w:rFonts w:ascii="Times New Roman" w:hAnsi="Times New Roman" w:cs="Times New Roman"/>
        </w:rPr>
        <w:t xml:space="preserve"> </w:t>
      </w:r>
      <w:r w:rsidR="00752FB5">
        <w:rPr>
          <w:rFonts w:ascii="Times New Roman" w:hAnsi="Times New Roman" w:cs="Times New Roman"/>
        </w:rPr>
        <w:t>Within the questionnaire</w:t>
      </w:r>
      <w:r w:rsidR="003D4045">
        <w:rPr>
          <w:rFonts w:ascii="Times New Roman" w:hAnsi="Times New Roman" w:cs="Times New Roman"/>
        </w:rPr>
        <w:t>,</w:t>
      </w:r>
      <w:r w:rsidR="00752FB5">
        <w:rPr>
          <w:rFonts w:ascii="Times New Roman" w:hAnsi="Times New Roman" w:cs="Times New Roman"/>
        </w:rPr>
        <w:t xml:space="preserve"> UB scale was reworded from </w:t>
      </w:r>
      <w:r w:rsidR="00CB5580" w:rsidRPr="000D44EC">
        <w:rPr>
          <w:rFonts w:ascii="Times New Roman" w:hAnsi="Times New Roman" w:cs="Times New Roman"/>
        </w:rPr>
        <w:t xml:space="preserve">Martins et al. </w:t>
      </w:r>
      <w:r w:rsidR="00CB5580"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{"citationItems":[{"id":"ITEM-1","itemData":{"DOI":"10.1016/J.IJINFOMGT.2013.06.002","ISSN":"0268-4012","abstract":"Understanding the main determinants of Internet banking adoption is important for banks and users; our understanding of the role of users’ perceived risk in Internet banking adoption is limited. In response, we develop a conceptual model that combines unified theory of acceptance and use of technology (UTAUT) with perceived risk to explain behaviour intention and usage behaviour of Internet banking. To test the conceptual model we collected data from Portugal (249 valid cases). Our results support some relationships of UTAUT, such as performance expectancy, effort expectancy, and social influence, and also the role of risk as a stronger predictor of intention. To explain usage behaviour of Internet banking the most important factor is behavioural intention to use Internet banking.","author":[{"dropping-particle":"","family":"Martins","given":"Carolina","non-dropping-particle":"","parse-names":false,"suffix":""},{"dropping-particle":"","family":"Oliveira","given":"Tiago","non-dropping-particle":"","parse-names":false,"suffix":""},{"dropping-particle":"","family":"Popovič","given":"Aleš","non-dropping-particle":"","parse-names":false,"suffix":""}],"container-title":"International Journal of Information Management","id":"ITEM-1","issue":"1","issued":{"date-parts":[["2014","2"]]},"page":"1-13","publisher":"Pergamon","title":"Understanding the Internet banking adoption: A unified theory of acceptance and use of technology and perceived risk application","type":"article-journal","volume":"34"},"uris":["http://www.mendeley.com/documents/?uuid=96813dcc-876f-4822-b605-c49b13f34395"]}],"mendeley":{"formattedCitation":"(Martins et al., 2014)","plainTextFormattedCitation":"(Martins et al., 2014)","previouslyFormattedCitation":"(Martins et al., 2014)"},"properties":{"noteIndex":0},"schema":"https://github.com/citation-style-language/schema/raw/master/csl-citation.json"}</w:instrText>
      </w:r>
      <w:r w:rsidR="00CB5580" w:rsidRPr="000D44EC">
        <w:rPr>
          <w:rFonts w:ascii="Times New Roman" w:hAnsi="Times New Roman" w:cs="Times New Roman"/>
        </w:rPr>
        <w:fldChar w:fldCharType="separate"/>
      </w:r>
      <w:r w:rsidR="0056686A" w:rsidRPr="0056686A">
        <w:rPr>
          <w:rFonts w:ascii="Times New Roman" w:hAnsi="Times New Roman" w:cs="Times New Roman"/>
          <w:noProof/>
        </w:rPr>
        <w:t>(Martins et al., 2014)</w:t>
      </w:r>
      <w:r w:rsidR="00CB5580" w:rsidRPr="000D44EC">
        <w:rPr>
          <w:rFonts w:ascii="Times New Roman" w:hAnsi="Times New Roman" w:cs="Times New Roman"/>
        </w:rPr>
        <w:fldChar w:fldCharType="end"/>
      </w:r>
      <w:r w:rsidR="00CB5580" w:rsidRPr="000D44EC">
        <w:rPr>
          <w:rFonts w:ascii="Times New Roman" w:hAnsi="Times New Roman" w:cs="Times New Roman"/>
        </w:rPr>
        <w:t xml:space="preserve"> </w:t>
      </w:r>
      <w:r w:rsidR="00752FB5">
        <w:rPr>
          <w:rFonts w:ascii="Times New Roman" w:hAnsi="Times New Roman" w:cs="Times New Roman"/>
        </w:rPr>
        <w:t>a</w:t>
      </w:r>
      <w:r w:rsidR="00CB5580" w:rsidRPr="000D44EC">
        <w:rPr>
          <w:rFonts w:ascii="Times New Roman" w:hAnsi="Times New Roman" w:cs="Times New Roman"/>
        </w:rPr>
        <w:t xml:space="preserve">iming to </w:t>
      </w:r>
      <w:r w:rsidR="00752FB5">
        <w:rPr>
          <w:rFonts w:ascii="Times New Roman" w:hAnsi="Times New Roman" w:cs="Times New Roman"/>
        </w:rPr>
        <w:t>measure</w:t>
      </w:r>
      <w:r w:rsidR="00CB5580" w:rsidRPr="000D44EC">
        <w:rPr>
          <w:rFonts w:ascii="Times New Roman" w:hAnsi="Times New Roman" w:cs="Times New Roman"/>
        </w:rPr>
        <w:t xml:space="preserve"> the </w:t>
      </w:r>
      <w:r w:rsidR="003418EE">
        <w:rPr>
          <w:rFonts w:ascii="Times New Roman" w:hAnsi="Times New Roman" w:cs="Times New Roman"/>
        </w:rPr>
        <w:t>m-banking</w:t>
      </w:r>
      <w:r w:rsidR="00CB5580" w:rsidRPr="000D44EC">
        <w:rPr>
          <w:rFonts w:ascii="Times New Roman" w:hAnsi="Times New Roman" w:cs="Times New Roman"/>
        </w:rPr>
        <w:t xml:space="preserve"> usage frequency. Since </w:t>
      </w:r>
      <w:r w:rsidR="00752FB5">
        <w:rPr>
          <w:rFonts w:ascii="Times New Roman" w:hAnsi="Times New Roman" w:cs="Times New Roman"/>
        </w:rPr>
        <w:t xml:space="preserve">the </w:t>
      </w:r>
      <w:r w:rsidR="00CB5580" w:rsidRPr="000D44EC">
        <w:rPr>
          <w:rFonts w:ascii="Times New Roman" w:hAnsi="Times New Roman" w:cs="Times New Roman"/>
        </w:rPr>
        <w:t xml:space="preserve">respondents had used </w:t>
      </w:r>
      <w:r w:rsidR="003418EE">
        <w:rPr>
          <w:rFonts w:ascii="Times New Roman" w:hAnsi="Times New Roman" w:cs="Times New Roman"/>
        </w:rPr>
        <w:t>m-banking</w:t>
      </w:r>
      <w:r w:rsidR="00CB5580" w:rsidRPr="000D44EC">
        <w:rPr>
          <w:rFonts w:ascii="Times New Roman" w:hAnsi="Times New Roman" w:cs="Times New Roman"/>
        </w:rPr>
        <w:t xml:space="preserve"> at least once in a year, the UB scale was modified from 11 into </w:t>
      </w:r>
      <w:r w:rsidR="00B17A12" w:rsidRPr="000D44EC">
        <w:rPr>
          <w:rFonts w:ascii="Times New Roman" w:hAnsi="Times New Roman" w:cs="Times New Roman"/>
        </w:rPr>
        <w:t>10</w:t>
      </w:r>
      <w:r w:rsidR="00CB5580" w:rsidRPr="000D44EC">
        <w:rPr>
          <w:rFonts w:ascii="Times New Roman" w:hAnsi="Times New Roman" w:cs="Times New Roman"/>
        </w:rPr>
        <w:t xml:space="preserve"> answers by removing the ‘never’ answer</w:t>
      </w:r>
      <w:r w:rsidR="00B17A12" w:rsidRPr="000D44EC">
        <w:rPr>
          <w:rFonts w:ascii="Times New Roman" w:hAnsi="Times New Roman" w:cs="Times New Roman"/>
        </w:rPr>
        <w:t>: 1 = ‘o</w:t>
      </w:r>
      <w:r w:rsidR="008C1FA9" w:rsidRPr="000D44EC">
        <w:rPr>
          <w:rFonts w:ascii="Times New Roman" w:hAnsi="Times New Roman" w:cs="Times New Roman"/>
        </w:rPr>
        <w:t>nce a year</w:t>
      </w:r>
      <w:r w:rsidR="00B17A12" w:rsidRPr="000D44EC">
        <w:rPr>
          <w:rFonts w:ascii="Times New Roman" w:hAnsi="Times New Roman" w:cs="Times New Roman"/>
        </w:rPr>
        <w:t>’,</w:t>
      </w:r>
      <w:r w:rsidR="008C1FA9" w:rsidRPr="000D44EC">
        <w:rPr>
          <w:rFonts w:ascii="Times New Roman" w:hAnsi="Times New Roman" w:cs="Times New Roman"/>
        </w:rPr>
        <w:t xml:space="preserve"> </w:t>
      </w:r>
      <w:r w:rsidR="00B17A12" w:rsidRPr="000D44EC">
        <w:rPr>
          <w:rFonts w:ascii="Times New Roman" w:hAnsi="Times New Roman" w:cs="Times New Roman"/>
        </w:rPr>
        <w:t>2 = ‘</w:t>
      </w:r>
      <w:r w:rsidR="008C1FA9" w:rsidRPr="000D44EC">
        <w:rPr>
          <w:rFonts w:ascii="Times New Roman" w:hAnsi="Times New Roman" w:cs="Times New Roman"/>
        </w:rPr>
        <w:t>once in six months</w:t>
      </w:r>
      <w:r w:rsidR="00B17A12" w:rsidRPr="000D44EC">
        <w:rPr>
          <w:rFonts w:ascii="Times New Roman" w:hAnsi="Times New Roman" w:cs="Times New Roman"/>
        </w:rPr>
        <w:t>’,</w:t>
      </w:r>
      <w:r w:rsidR="008C1FA9" w:rsidRPr="000D44EC">
        <w:rPr>
          <w:rFonts w:ascii="Times New Roman" w:hAnsi="Times New Roman" w:cs="Times New Roman"/>
        </w:rPr>
        <w:t xml:space="preserve"> </w:t>
      </w:r>
      <w:r w:rsidR="00B17A12" w:rsidRPr="000D44EC">
        <w:rPr>
          <w:rFonts w:ascii="Times New Roman" w:hAnsi="Times New Roman" w:cs="Times New Roman"/>
        </w:rPr>
        <w:t>3 = ‘</w:t>
      </w:r>
      <w:r w:rsidR="008C1FA9" w:rsidRPr="000D44EC">
        <w:rPr>
          <w:rFonts w:ascii="Times New Roman" w:hAnsi="Times New Roman" w:cs="Times New Roman"/>
        </w:rPr>
        <w:t>once in three months</w:t>
      </w:r>
      <w:r w:rsidR="00B17A12" w:rsidRPr="000D44EC">
        <w:rPr>
          <w:rFonts w:ascii="Times New Roman" w:hAnsi="Times New Roman" w:cs="Times New Roman"/>
        </w:rPr>
        <w:t>’,</w:t>
      </w:r>
      <w:r w:rsidR="008C1FA9" w:rsidRPr="000D44EC">
        <w:rPr>
          <w:rFonts w:ascii="Times New Roman" w:hAnsi="Times New Roman" w:cs="Times New Roman"/>
        </w:rPr>
        <w:t xml:space="preserve"> </w:t>
      </w:r>
      <w:r w:rsidR="00B17A12" w:rsidRPr="000D44EC">
        <w:rPr>
          <w:rFonts w:ascii="Times New Roman" w:hAnsi="Times New Roman" w:cs="Times New Roman"/>
        </w:rPr>
        <w:t>4 = ‘</w:t>
      </w:r>
      <w:r w:rsidR="008C1FA9" w:rsidRPr="000D44EC">
        <w:rPr>
          <w:rFonts w:ascii="Times New Roman" w:hAnsi="Times New Roman" w:cs="Times New Roman"/>
        </w:rPr>
        <w:t>once a month</w:t>
      </w:r>
      <w:r w:rsidR="00B17A12" w:rsidRPr="000D44EC">
        <w:rPr>
          <w:rFonts w:ascii="Times New Roman" w:hAnsi="Times New Roman" w:cs="Times New Roman"/>
        </w:rPr>
        <w:t>’,</w:t>
      </w:r>
      <w:r w:rsidR="008C1FA9" w:rsidRPr="000D44EC">
        <w:rPr>
          <w:rFonts w:ascii="Times New Roman" w:hAnsi="Times New Roman" w:cs="Times New Roman"/>
        </w:rPr>
        <w:t xml:space="preserve"> </w:t>
      </w:r>
      <w:r w:rsidR="00B17A12" w:rsidRPr="000D44EC">
        <w:rPr>
          <w:rFonts w:ascii="Times New Roman" w:hAnsi="Times New Roman" w:cs="Times New Roman"/>
        </w:rPr>
        <w:t>5 = ‘</w:t>
      </w:r>
      <w:r w:rsidR="008C1FA9" w:rsidRPr="000D44EC">
        <w:rPr>
          <w:rFonts w:ascii="Times New Roman" w:hAnsi="Times New Roman" w:cs="Times New Roman"/>
        </w:rPr>
        <w:t>once a week</w:t>
      </w:r>
      <w:r w:rsidR="00B17A12" w:rsidRPr="000D44EC">
        <w:rPr>
          <w:rFonts w:ascii="Times New Roman" w:hAnsi="Times New Roman" w:cs="Times New Roman"/>
        </w:rPr>
        <w:t>’,</w:t>
      </w:r>
      <w:r w:rsidR="008C1FA9" w:rsidRPr="000D44EC">
        <w:rPr>
          <w:rFonts w:ascii="Times New Roman" w:hAnsi="Times New Roman" w:cs="Times New Roman"/>
        </w:rPr>
        <w:t xml:space="preserve"> </w:t>
      </w:r>
      <w:r w:rsidR="00B17A12" w:rsidRPr="000D44EC">
        <w:rPr>
          <w:rFonts w:ascii="Times New Roman" w:hAnsi="Times New Roman" w:cs="Times New Roman"/>
        </w:rPr>
        <w:t>6 = ‘</w:t>
      </w:r>
      <w:r w:rsidR="008C1FA9" w:rsidRPr="000D44EC">
        <w:rPr>
          <w:rFonts w:ascii="Times New Roman" w:hAnsi="Times New Roman" w:cs="Times New Roman"/>
        </w:rPr>
        <w:t>once in 4-5 days</w:t>
      </w:r>
      <w:r w:rsidR="00B17A12" w:rsidRPr="000D44EC">
        <w:rPr>
          <w:rFonts w:ascii="Times New Roman" w:hAnsi="Times New Roman" w:cs="Times New Roman"/>
        </w:rPr>
        <w:t>’,</w:t>
      </w:r>
      <w:r w:rsidR="008C1FA9" w:rsidRPr="000D44EC">
        <w:rPr>
          <w:rFonts w:ascii="Times New Roman" w:hAnsi="Times New Roman" w:cs="Times New Roman"/>
        </w:rPr>
        <w:t xml:space="preserve"> </w:t>
      </w:r>
      <w:r w:rsidR="00B17A12" w:rsidRPr="000D44EC">
        <w:rPr>
          <w:rFonts w:ascii="Times New Roman" w:hAnsi="Times New Roman" w:cs="Times New Roman"/>
        </w:rPr>
        <w:t>7 = ‘</w:t>
      </w:r>
      <w:r w:rsidR="008C1FA9" w:rsidRPr="000D44EC">
        <w:rPr>
          <w:rFonts w:ascii="Times New Roman" w:hAnsi="Times New Roman" w:cs="Times New Roman"/>
        </w:rPr>
        <w:t>once in 2-3 days</w:t>
      </w:r>
      <w:r w:rsidR="00B17A12" w:rsidRPr="000D44EC">
        <w:rPr>
          <w:rFonts w:ascii="Times New Roman" w:hAnsi="Times New Roman" w:cs="Times New Roman"/>
        </w:rPr>
        <w:t>’, 8 =</w:t>
      </w:r>
      <w:r w:rsidR="008C1FA9" w:rsidRPr="000D44EC">
        <w:rPr>
          <w:rFonts w:ascii="Times New Roman" w:hAnsi="Times New Roman" w:cs="Times New Roman"/>
        </w:rPr>
        <w:t xml:space="preserve"> </w:t>
      </w:r>
      <w:r w:rsidR="00B17A12" w:rsidRPr="000D44EC">
        <w:rPr>
          <w:rFonts w:ascii="Times New Roman" w:hAnsi="Times New Roman" w:cs="Times New Roman"/>
        </w:rPr>
        <w:t>‘</w:t>
      </w:r>
      <w:r w:rsidR="008C1FA9" w:rsidRPr="000D44EC">
        <w:rPr>
          <w:rFonts w:ascii="Times New Roman" w:hAnsi="Times New Roman" w:cs="Times New Roman"/>
        </w:rPr>
        <w:t>almost every day</w:t>
      </w:r>
      <w:r w:rsidR="00B17A12" w:rsidRPr="000D44EC">
        <w:rPr>
          <w:rFonts w:ascii="Times New Roman" w:hAnsi="Times New Roman" w:cs="Times New Roman"/>
        </w:rPr>
        <w:t>’,</w:t>
      </w:r>
      <w:r w:rsidR="008C1FA9" w:rsidRPr="000D44EC">
        <w:rPr>
          <w:rFonts w:ascii="Times New Roman" w:hAnsi="Times New Roman" w:cs="Times New Roman"/>
        </w:rPr>
        <w:t xml:space="preserve"> </w:t>
      </w:r>
      <w:r w:rsidR="00B17A12" w:rsidRPr="000D44EC">
        <w:rPr>
          <w:rFonts w:ascii="Times New Roman" w:hAnsi="Times New Roman" w:cs="Times New Roman"/>
        </w:rPr>
        <w:t>9 = ‘</w:t>
      </w:r>
      <w:r w:rsidR="008C1FA9" w:rsidRPr="000D44EC">
        <w:rPr>
          <w:rFonts w:ascii="Times New Roman" w:hAnsi="Times New Roman" w:cs="Times New Roman"/>
        </w:rPr>
        <w:t>every day</w:t>
      </w:r>
      <w:r w:rsidR="00B17A12" w:rsidRPr="000D44EC">
        <w:rPr>
          <w:rFonts w:ascii="Times New Roman" w:hAnsi="Times New Roman" w:cs="Times New Roman"/>
        </w:rPr>
        <w:t>’, 10 = ‘</w:t>
      </w:r>
      <w:r w:rsidR="008C1FA9" w:rsidRPr="000D44EC">
        <w:rPr>
          <w:rFonts w:ascii="Times New Roman" w:hAnsi="Times New Roman" w:cs="Times New Roman"/>
        </w:rPr>
        <w:t>several times a day</w:t>
      </w:r>
      <w:r w:rsidR="00B17A12" w:rsidRPr="000D44EC">
        <w:rPr>
          <w:rFonts w:ascii="Times New Roman" w:hAnsi="Times New Roman" w:cs="Times New Roman"/>
        </w:rPr>
        <w:t>’</w:t>
      </w:r>
      <w:r w:rsidR="008C1FA9" w:rsidRPr="000D44EC">
        <w:rPr>
          <w:rFonts w:ascii="Times New Roman" w:hAnsi="Times New Roman" w:cs="Times New Roman"/>
        </w:rPr>
        <w:t>.</w:t>
      </w:r>
      <w:r w:rsidR="00B17A12" w:rsidRPr="000D44EC">
        <w:rPr>
          <w:rFonts w:ascii="Times New Roman" w:hAnsi="Times New Roman" w:cs="Times New Roman"/>
        </w:rPr>
        <w:t xml:space="preserve"> </w:t>
      </w:r>
      <w:r w:rsidR="00752FB5">
        <w:rPr>
          <w:rFonts w:ascii="Times New Roman" w:hAnsi="Times New Roman" w:cs="Times New Roman"/>
        </w:rPr>
        <w:t xml:space="preserve">Furthermore, the respondents were request to write the year they were born, however, for </w:t>
      </w:r>
      <w:r w:rsidR="00B17A12" w:rsidRPr="000D44EC">
        <w:rPr>
          <w:rFonts w:ascii="Times New Roman" w:hAnsi="Times New Roman" w:cs="Times New Roman"/>
        </w:rPr>
        <w:t xml:space="preserve">analysis purposes, </w:t>
      </w:r>
      <w:r w:rsidR="00752FB5">
        <w:rPr>
          <w:rFonts w:ascii="Times New Roman" w:hAnsi="Times New Roman" w:cs="Times New Roman"/>
        </w:rPr>
        <w:t>codes used were</w:t>
      </w:r>
      <w:r w:rsidR="002E5540" w:rsidRPr="000D44EC">
        <w:rPr>
          <w:rFonts w:ascii="Times New Roman" w:hAnsi="Times New Roman" w:cs="Times New Roman"/>
        </w:rPr>
        <w:t xml:space="preserve"> 0</w:t>
      </w:r>
      <w:r w:rsidR="007E09A1" w:rsidRPr="000D44EC">
        <w:rPr>
          <w:rFonts w:ascii="Times New Roman" w:hAnsi="Times New Roman" w:cs="Times New Roman"/>
        </w:rPr>
        <w:t xml:space="preserve"> for </w:t>
      </w:r>
      <w:r w:rsidR="001440E7" w:rsidRPr="000D44EC">
        <w:rPr>
          <w:rFonts w:ascii="Times New Roman" w:hAnsi="Times New Roman" w:cs="Times New Roman"/>
        </w:rPr>
        <w:t>G</w:t>
      </w:r>
      <w:r w:rsidR="00B17A12" w:rsidRPr="000D44EC">
        <w:rPr>
          <w:rFonts w:ascii="Times New Roman" w:hAnsi="Times New Roman" w:cs="Times New Roman"/>
        </w:rPr>
        <w:t>eneration Z</w:t>
      </w:r>
      <w:r w:rsidR="007E09A1" w:rsidRPr="000D44EC">
        <w:rPr>
          <w:rFonts w:ascii="Times New Roman" w:hAnsi="Times New Roman" w:cs="Times New Roman"/>
        </w:rPr>
        <w:t xml:space="preserve"> (</w:t>
      </w:r>
      <w:r w:rsidR="00B17A12" w:rsidRPr="000D44EC">
        <w:rPr>
          <w:rFonts w:ascii="Times New Roman" w:hAnsi="Times New Roman" w:cs="Times New Roman"/>
        </w:rPr>
        <w:t xml:space="preserve">covering </w:t>
      </w:r>
      <w:r w:rsidR="00752FB5">
        <w:rPr>
          <w:rFonts w:ascii="Times New Roman" w:hAnsi="Times New Roman" w:cs="Times New Roman"/>
        </w:rPr>
        <w:t>respondents</w:t>
      </w:r>
      <w:r w:rsidR="001440E7" w:rsidRPr="000D44EC">
        <w:rPr>
          <w:rFonts w:ascii="Times New Roman" w:hAnsi="Times New Roman" w:cs="Times New Roman"/>
        </w:rPr>
        <w:t xml:space="preserve"> </w:t>
      </w:r>
      <w:r w:rsidR="00752FB5">
        <w:rPr>
          <w:rFonts w:ascii="Times New Roman" w:hAnsi="Times New Roman" w:cs="Times New Roman"/>
        </w:rPr>
        <w:t xml:space="preserve">born </w:t>
      </w:r>
      <w:r w:rsidR="001440E7" w:rsidRPr="000D44EC">
        <w:rPr>
          <w:rFonts w:ascii="Times New Roman" w:hAnsi="Times New Roman" w:cs="Times New Roman"/>
        </w:rPr>
        <w:t>after 1996</w:t>
      </w:r>
      <w:r w:rsidR="007E09A1" w:rsidRPr="000D44EC">
        <w:rPr>
          <w:rFonts w:ascii="Times New Roman" w:hAnsi="Times New Roman" w:cs="Times New Roman"/>
        </w:rPr>
        <w:t xml:space="preserve">) and 1 for </w:t>
      </w:r>
      <w:r w:rsidR="00B17A12" w:rsidRPr="000D44EC">
        <w:rPr>
          <w:rFonts w:ascii="Times New Roman" w:hAnsi="Times New Roman" w:cs="Times New Roman"/>
        </w:rPr>
        <w:t>Generation Y</w:t>
      </w:r>
      <w:r w:rsidR="007E09A1" w:rsidRPr="000D44EC">
        <w:rPr>
          <w:rFonts w:ascii="Times New Roman" w:hAnsi="Times New Roman" w:cs="Times New Roman"/>
        </w:rPr>
        <w:t xml:space="preserve"> (</w:t>
      </w:r>
      <w:r w:rsidR="00610E0F">
        <w:rPr>
          <w:rFonts w:ascii="Times New Roman" w:hAnsi="Times New Roman" w:cs="Times New Roman"/>
        </w:rPr>
        <w:t>respondents inborn between 1</w:t>
      </w:r>
      <w:r w:rsidR="001440E7" w:rsidRPr="000D44EC">
        <w:rPr>
          <w:rFonts w:ascii="Times New Roman" w:hAnsi="Times New Roman" w:cs="Times New Roman"/>
        </w:rPr>
        <w:t xml:space="preserve">985 </w:t>
      </w:r>
      <w:r w:rsidR="00610E0F">
        <w:rPr>
          <w:rFonts w:ascii="Times New Roman" w:hAnsi="Times New Roman" w:cs="Times New Roman"/>
        </w:rPr>
        <w:t xml:space="preserve">and </w:t>
      </w:r>
      <w:r w:rsidR="001440E7" w:rsidRPr="000D44EC">
        <w:rPr>
          <w:rFonts w:ascii="Times New Roman" w:hAnsi="Times New Roman" w:cs="Times New Roman"/>
        </w:rPr>
        <w:t>1996</w:t>
      </w:r>
      <w:r w:rsidR="00B17A12" w:rsidRPr="000D44EC">
        <w:rPr>
          <w:rFonts w:ascii="Times New Roman" w:hAnsi="Times New Roman" w:cs="Times New Roman"/>
        </w:rPr>
        <w:t>).</w:t>
      </w:r>
    </w:p>
    <w:p w14:paraId="1F9DFE7E" w14:textId="695B00D4" w:rsidR="00CF17DA" w:rsidRPr="000D44EC" w:rsidRDefault="002E6FA6" w:rsidP="00FC58E2">
      <w:pPr>
        <w:rPr>
          <w:rFonts w:ascii="Times New Roman" w:hAnsi="Times New Roman" w:cs="Times New Roman"/>
        </w:rPr>
      </w:pPr>
      <w:r w:rsidRPr="000D44EC">
        <w:rPr>
          <w:rFonts w:ascii="Times New Roman" w:hAnsi="Times New Roman" w:cs="Times New Roman"/>
        </w:rPr>
        <w:t xml:space="preserve">The convenience sampling technique has been followed </w:t>
      </w:r>
      <w:r w:rsidR="00610E0F">
        <w:rPr>
          <w:rFonts w:ascii="Times New Roman" w:hAnsi="Times New Roman" w:cs="Times New Roman"/>
        </w:rPr>
        <w:t>due to the fact that</w:t>
      </w:r>
      <w:r w:rsidRPr="000D44EC">
        <w:rPr>
          <w:rFonts w:ascii="Times New Roman" w:hAnsi="Times New Roman" w:cs="Times New Roman"/>
        </w:rPr>
        <w:t xml:space="preserve"> the study focuses on the behaviour of </w:t>
      </w:r>
      <w:r w:rsidR="003418EE">
        <w:rPr>
          <w:rFonts w:ascii="Times New Roman" w:hAnsi="Times New Roman" w:cs="Times New Roman"/>
        </w:rPr>
        <w:t>m-banking</w:t>
      </w:r>
      <w:r w:rsidRPr="000D44EC">
        <w:rPr>
          <w:rFonts w:ascii="Times New Roman" w:hAnsi="Times New Roman" w:cs="Times New Roman"/>
        </w:rPr>
        <w:t xml:space="preserve"> users only. </w:t>
      </w:r>
      <w:r w:rsidR="00B511C5" w:rsidRPr="000D44EC">
        <w:rPr>
          <w:rFonts w:ascii="Times New Roman" w:hAnsi="Times New Roman" w:cs="Times New Roman"/>
        </w:rPr>
        <w:t>Thus, t</w:t>
      </w:r>
      <w:r w:rsidR="008E5ED3" w:rsidRPr="000D44EC">
        <w:rPr>
          <w:rFonts w:ascii="Times New Roman" w:hAnsi="Times New Roman" w:cs="Times New Roman"/>
        </w:rPr>
        <w:t>he target population consist of individual</w:t>
      </w:r>
      <w:r w:rsidR="00B511C5" w:rsidRPr="000D44EC">
        <w:rPr>
          <w:rFonts w:ascii="Times New Roman" w:hAnsi="Times New Roman" w:cs="Times New Roman"/>
        </w:rPr>
        <w:t>s</w:t>
      </w:r>
      <w:r w:rsidR="008E5ED3" w:rsidRPr="000D44EC">
        <w:rPr>
          <w:rFonts w:ascii="Times New Roman" w:hAnsi="Times New Roman" w:cs="Times New Roman"/>
        </w:rPr>
        <w:t xml:space="preserve"> </w:t>
      </w:r>
      <w:r w:rsidR="007E09A1" w:rsidRPr="000D44EC">
        <w:rPr>
          <w:rFonts w:ascii="Times New Roman" w:hAnsi="Times New Roman" w:cs="Times New Roman"/>
        </w:rPr>
        <w:t xml:space="preserve">(above 18 years old) </w:t>
      </w:r>
      <w:r w:rsidR="008E5ED3" w:rsidRPr="000D44EC">
        <w:rPr>
          <w:rFonts w:ascii="Times New Roman" w:hAnsi="Times New Roman" w:cs="Times New Roman"/>
        </w:rPr>
        <w:t>who poses a mobile phone</w:t>
      </w:r>
      <w:r w:rsidR="00B511C5" w:rsidRPr="000D44EC">
        <w:rPr>
          <w:rFonts w:ascii="Times New Roman" w:hAnsi="Times New Roman" w:cs="Times New Roman"/>
        </w:rPr>
        <w:t xml:space="preserve"> or tablet with</w:t>
      </w:r>
      <w:r w:rsidR="008E5ED3" w:rsidRPr="000D44EC">
        <w:rPr>
          <w:rFonts w:ascii="Times New Roman" w:hAnsi="Times New Roman" w:cs="Times New Roman"/>
        </w:rPr>
        <w:t xml:space="preserve"> </w:t>
      </w:r>
      <w:r w:rsidR="00B511C5" w:rsidRPr="000D44EC">
        <w:rPr>
          <w:rFonts w:ascii="Times New Roman" w:hAnsi="Times New Roman" w:cs="Times New Roman"/>
        </w:rPr>
        <w:t>i</w:t>
      </w:r>
      <w:r w:rsidR="008E5ED3" w:rsidRPr="000D44EC">
        <w:rPr>
          <w:rFonts w:ascii="Times New Roman" w:hAnsi="Times New Roman" w:cs="Times New Roman"/>
        </w:rPr>
        <w:t xml:space="preserve">nternet </w:t>
      </w:r>
      <w:r w:rsidR="008C1FA9" w:rsidRPr="000D44EC">
        <w:rPr>
          <w:rFonts w:ascii="Times New Roman" w:hAnsi="Times New Roman" w:cs="Times New Roman"/>
        </w:rPr>
        <w:t xml:space="preserve">access, </w:t>
      </w:r>
      <w:r w:rsidR="00B511C5" w:rsidRPr="000D44EC">
        <w:rPr>
          <w:rFonts w:ascii="Times New Roman" w:hAnsi="Times New Roman" w:cs="Times New Roman"/>
        </w:rPr>
        <w:t xml:space="preserve">have </w:t>
      </w:r>
      <w:r w:rsidR="005418A6" w:rsidRPr="000D44EC">
        <w:rPr>
          <w:rFonts w:ascii="Times New Roman" w:hAnsi="Times New Roman" w:cs="Times New Roman"/>
        </w:rPr>
        <w:t xml:space="preserve">at least </w:t>
      </w:r>
      <w:r w:rsidR="00B511C5" w:rsidRPr="000D44EC">
        <w:rPr>
          <w:rFonts w:ascii="Times New Roman" w:hAnsi="Times New Roman" w:cs="Times New Roman"/>
        </w:rPr>
        <w:t>one bank accounts</w:t>
      </w:r>
      <w:r w:rsidR="008C1FA9" w:rsidRPr="000D44EC">
        <w:rPr>
          <w:rFonts w:ascii="Times New Roman" w:hAnsi="Times New Roman" w:cs="Times New Roman"/>
        </w:rPr>
        <w:t xml:space="preserve"> and have used </w:t>
      </w:r>
      <w:r w:rsidR="003418EE">
        <w:rPr>
          <w:rFonts w:ascii="Times New Roman" w:hAnsi="Times New Roman" w:cs="Times New Roman"/>
        </w:rPr>
        <w:t>m-banking</w:t>
      </w:r>
      <w:r w:rsidR="008C1FA9" w:rsidRPr="000D44EC">
        <w:rPr>
          <w:rFonts w:ascii="Times New Roman" w:hAnsi="Times New Roman" w:cs="Times New Roman"/>
        </w:rPr>
        <w:t xml:space="preserve"> at least once a year</w:t>
      </w:r>
      <w:r w:rsidR="00B511C5" w:rsidRPr="000D44EC">
        <w:rPr>
          <w:rFonts w:ascii="Times New Roman" w:hAnsi="Times New Roman" w:cs="Times New Roman"/>
        </w:rPr>
        <w:t xml:space="preserve">. </w:t>
      </w:r>
      <w:r w:rsidRPr="000D44EC">
        <w:rPr>
          <w:rFonts w:ascii="Times New Roman" w:hAnsi="Times New Roman" w:cs="Times New Roman"/>
        </w:rPr>
        <w:t xml:space="preserve">Before distribution, a pilot test with 100 respondents randomly chosen was conducted, to be able to revise </w:t>
      </w:r>
      <w:r w:rsidR="008E6847" w:rsidRPr="000D44EC">
        <w:rPr>
          <w:rFonts w:ascii="Times New Roman" w:hAnsi="Times New Roman" w:cs="Times New Roman"/>
        </w:rPr>
        <w:t>the accuracy of the translation</w:t>
      </w:r>
      <w:r w:rsidR="005418A6" w:rsidRPr="000D44EC">
        <w:rPr>
          <w:rFonts w:ascii="Times New Roman" w:hAnsi="Times New Roman" w:cs="Times New Roman"/>
        </w:rPr>
        <w:t xml:space="preserve"> and to ensure consistency</w:t>
      </w:r>
      <w:r w:rsidRPr="000D44EC">
        <w:rPr>
          <w:rFonts w:ascii="Times New Roman" w:hAnsi="Times New Roman" w:cs="Times New Roman"/>
        </w:rPr>
        <w:t>. The</w:t>
      </w:r>
      <w:r w:rsidR="00B727AE">
        <w:rPr>
          <w:rFonts w:ascii="Times New Roman" w:hAnsi="Times New Roman" w:cs="Times New Roman"/>
        </w:rPr>
        <w:t xml:space="preserve"> gathered data from pilot test</w:t>
      </w:r>
      <w:r w:rsidRPr="000D44EC">
        <w:rPr>
          <w:rFonts w:ascii="Times New Roman" w:hAnsi="Times New Roman" w:cs="Times New Roman"/>
        </w:rPr>
        <w:t xml:space="preserve"> were not included in the final sample. The collection of the data took place during Spring 2019</w:t>
      </w:r>
      <w:r w:rsidR="004F1437">
        <w:rPr>
          <w:rFonts w:ascii="Times New Roman" w:hAnsi="Times New Roman" w:cs="Times New Roman"/>
        </w:rPr>
        <w:t xml:space="preserve"> in Albani</w:t>
      </w:r>
      <w:r w:rsidR="00B727AE">
        <w:rPr>
          <w:rFonts w:ascii="Times New Roman" w:hAnsi="Times New Roman" w:cs="Times New Roman"/>
        </w:rPr>
        <w:t xml:space="preserve">a. </w:t>
      </w:r>
      <w:r w:rsidRPr="000D44EC">
        <w:rPr>
          <w:rFonts w:ascii="Times New Roman" w:hAnsi="Times New Roman" w:cs="Times New Roman"/>
        </w:rPr>
        <w:t xml:space="preserve">After filtering the final sample, 380 valid </w:t>
      </w:r>
      <w:r w:rsidR="005418A6" w:rsidRPr="000D44EC">
        <w:rPr>
          <w:rFonts w:ascii="Times New Roman" w:hAnsi="Times New Roman" w:cs="Times New Roman"/>
        </w:rPr>
        <w:t>records</w:t>
      </w:r>
      <w:r w:rsidR="001440E7" w:rsidRPr="000D44EC">
        <w:rPr>
          <w:rFonts w:ascii="Times New Roman" w:hAnsi="Times New Roman" w:cs="Times New Roman"/>
        </w:rPr>
        <w:t xml:space="preserve"> were used for further analyse</w:t>
      </w:r>
      <w:r w:rsidR="00A0149F" w:rsidRPr="000D44EC">
        <w:rPr>
          <w:rFonts w:ascii="Times New Roman" w:hAnsi="Times New Roman" w:cs="Times New Roman"/>
        </w:rPr>
        <w:t>s</w:t>
      </w:r>
      <w:r w:rsidR="001440E7" w:rsidRPr="000D44EC">
        <w:rPr>
          <w:rFonts w:ascii="Times New Roman" w:hAnsi="Times New Roman" w:cs="Times New Roman"/>
        </w:rPr>
        <w:t xml:space="preserve">, above the suggested level of 200 </w:t>
      </w:r>
      <w:r w:rsidR="003E4959"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{"citationItems":[{"id":"ITEM-1","itemData":{"DOI":"10.1007/s11747-011-0278-x","ISSN":"00920703","abstract":"We provide a comprehensive and user-friendly compendium of standards for the use and interpretation of structural equation models (SEMs). To both read about and do research that employs SEMs, it is necessary to master the art and science of the statistical procedures underpinning SEMs in an integrative way with the substantive concepts, theories, and hypotheses that researchers desire to examine. Our aim is to remove some of the mystery and uncertainty of the use of SEMs, while conveying the spirit of their possibilities.","author":[{"dropping-particle":"","family":"Bagozzi","given":"Richard P.","non-dropping-particle":"","parse-names":false,"suffix":""},{"dropping-particle":"","family":"Yi","given":"Youjae","non-dropping-particle":"","parse-names":false,"suffix":""}],"container-title":"Journal of the Academy of Marketing Science","id":"ITEM-1","issue":"1","issued":{"date-parts":[["2012"]]},"page":"8-34","title":"Specification, evaluation, and interpretation of structural equation models","type":"article-journal","volume":"40"},"uris":["http://www.mendeley.com/documents/?uuid=4831936e-6aa8-3bf0-bc64-896ee32bad6c","http://www.mendeley.com/documents/?uuid=a315dca5-7761-4021-9ba2-e7fceb51a690"]}],"mendeley":{"formattedCitation":"(Bagozzi &amp; Yi, 2012)","plainTextFormattedCitation":"(Bagozzi &amp; Yi, 2012)","previouslyFormattedCitation":"(Bagozzi &amp; Yi, 2012)"},"properties":{"noteIndex":0},"schema":"https://github.com/citation-style-language/schema/raw/master/csl-citation.json"}</w:instrText>
      </w:r>
      <w:r w:rsidR="003E4959" w:rsidRPr="000D44EC">
        <w:rPr>
          <w:rFonts w:ascii="Times New Roman" w:hAnsi="Times New Roman" w:cs="Times New Roman"/>
        </w:rPr>
        <w:fldChar w:fldCharType="separate"/>
      </w:r>
      <w:r w:rsidR="0056686A" w:rsidRPr="0056686A">
        <w:rPr>
          <w:rFonts w:ascii="Times New Roman" w:hAnsi="Times New Roman" w:cs="Times New Roman"/>
          <w:noProof/>
        </w:rPr>
        <w:t>(Bagozzi &amp; Yi, 2012)</w:t>
      </w:r>
      <w:r w:rsidR="003E4959" w:rsidRPr="000D44EC">
        <w:rPr>
          <w:rFonts w:ascii="Times New Roman" w:hAnsi="Times New Roman" w:cs="Times New Roman"/>
        </w:rPr>
        <w:fldChar w:fldCharType="end"/>
      </w:r>
      <w:r w:rsidR="003E4959" w:rsidRPr="000D44EC">
        <w:rPr>
          <w:rFonts w:ascii="Times New Roman" w:hAnsi="Times New Roman" w:cs="Times New Roman"/>
        </w:rPr>
        <w:t>.</w:t>
      </w:r>
    </w:p>
    <w:p w14:paraId="4284E0E0" w14:textId="0EBE0212" w:rsidR="007A34F6" w:rsidRPr="000D44EC" w:rsidRDefault="007E09A1" w:rsidP="007C5145">
      <w:pPr>
        <w:rPr>
          <w:rFonts w:ascii="Times New Roman" w:hAnsi="Times New Roman" w:cs="Times New Roman"/>
        </w:rPr>
      </w:pPr>
      <w:r w:rsidRPr="000D44EC">
        <w:rPr>
          <w:rFonts w:ascii="Times New Roman" w:hAnsi="Times New Roman" w:cs="Times New Roman"/>
        </w:rPr>
        <w:t xml:space="preserve">Table 1 demonstrates the sample profile. </w:t>
      </w:r>
      <w:r w:rsidR="009F686F" w:rsidRPr="000D44EC">
        <w:rPr>
          <w:rFonts w:ascii="Times New Roman" w:hAnsi="Times New Roman" w:cs="Times New Roman"/>
        </w:rPr>
        <w:t>H</w:t>
      </w:r>
      <w:r w:rsidRPr="000D44EC">
        <w:rPr>
          <w:rFonts w:ascii="Times New Roman" w:hAnsi="Times New Roman" w:cs="Times New Roman"/>
        </w:rPr>
        <w:t xml:space="preserve">alf of the sample consists of Generation Z </w:t>
      </w:r>
      <w:r w:rsidR="00DA3C42" w:rsidRPr="000D44EC">
        <w:rPr>
          <w:rFonts w:ascii="Times New Roman" w:hAnsi="Times New Roman" w:cs="Times New Roman"/>
        </w:rPr>
        <w:t xml:space="preserve">individuals </w:t>
      </w:r>
      <w:r w:rsidRPr="000D44EC">
        <w:rPr>
          <w:rFonts w:ascii="Times New Roman" w:hAnsi="Times New Roman" w:cs="Times New Roman"/>
        </w:rPr>
        <w:t>(49%)</w:t>
      </w:r>
      <w:r w:rsidR="00DA3C42" w:rsidRPr="000D44EC">
        <w:rPr>
          <w:rFonts w:ascii="Times New Roman" w:hAnsi="Times New Roman" w:cs="Times New Roman"/>
        </w:rPr>
        <w:t xml:space="preserve">. The majority of the respondents were female (68.7%). </w:t>
      </w:r>
      <w:r w:rsidR="00C70195" w:rsidRPr="000D44EC">
        <w:rPr>
          <w:rFonts w:ascii="Times New Roman" w:hAnsi="Times New Roman" w:cs="Times New Roman"/>
        </w:rPr>
        <w:t>15</w:t>
      </w:r>
      <w:r w:rsidR="00DA3C42" w:rsidRPr="000D44EC">
        <w:rPr>
          <w:rFonts w:ascii="Times New Roman" w:hAnsi="Times New Roman" w:cs="Times New Roman"/>
        </w:rPr>
        <w:t xml:space="preserve"> in 100 respondents had high school as the highest level of education and the rest had at least university degree (84% = 52.4% </w:t>
      </w:r>
      <w:r w:rsidR="009F686F" w:rsidRPr="000D44EC">
        <w:rPr>
          <w:rFonts w:ascii="Times New Roman" w:hAnsi="Times New Roman" w:cs="Times New Roman"/>
        </w:rPr>
        <w:t xml:space="preserve">university </w:t>
      </w:r>
      <w:r w:rsidR="00DA3C42" w:rsidRPr="000D44EC">
        <w:rPr>
          <w:rFonts w:ascii="Times New Roman" w:hAnsi="Times New Roman" w:cs="Times New Roman"/>
        </w:rPr>
        <w:t>+ 31.6%</w:t>
      </w:r>
      <w:r w:rsidR="009F686F" w:rsidRPr="000D44EC">
        <w:rPr>
          <w:rFonts w:ascii="Times New Roman" w:hAnsi="Times New Roman" w:cs="Times New Roman"/>
        </w:rPr>
        <w:t xml:space="preserve"> post-university and more</w:t>
      </w:r>
      <w:r w:rsidR="00DA3C42" w:rsidRPr="000D44EC">
        <w:rPr>
          <w:rFonts w:ascii="Times New Roman" w:hAnsi="Times New Roman" w:cs="Times New Roman"/>
        </w:rPr>
        <w:t>). Concerning the employment status, approximately two in five respondents were unemployed. Regarding the occupation profile, the majority of those who were employed worked in the private sector (</w:t>
      </w:r>
      <w:r w:rsidR="00105464" w:rsidRPr="000D44EC">
        <w:rPr>
          <w:rFonts w:ascii="Times New Roman" w:hAnsi="Times New Roman" w:cs="Times New Roman"/>
        </w:rPr>
        <w:t>78.6</w:t>
      </w:r>
      <w:r w:rsidR="00DA3C42" w:rsidRPr="000D44EC">
        <w:rPr>
          <w:rFonts w:ascii="Times New Roman" w:hAnsi="Times New Roman" w:cs="Times New Roman"/>
        </w:rPr>
        <w:t>%), 1</w:t>
      </w:r>
      <w:r w:rsidR="00105464" w:rsidRPr="000D44EC">
        <w:rPr>
          <w:rFonts w:ascii="Times New Roman" w:hAnsi="Times New Roman" w:cs="Times New Roman"/>
        </w:rPr>
        <w:t>6</w:t>
      </w:r>
      <w:r w:rsidR="00DA3C42" w:rsidRPr="000D44EC">
        <w:rPr>
          <w:rFonts w:ascii="Times New Roman" w:hAnsi="Times New Roman" w:cs="Times New Roman"/>
        </w:rPr>
        <w:t>.</w:t>
      </w:r>
      <w:r w:rsidR="00105464" w:rsidRPr="000D44EC">
        <w:rPr>
          <w:rFonts w:ascii="Times New Roman" w:hAnsi="Times New Roman" w:cs="Times New Roman"/>
        </w:rPr>
        <w:t>3</w:t>
      </w:r>
      <w:r w:rsidR="00DA3C42" w:rsidRPr="000D44EC">
        <w:rPr>
          <w:rFonts w:ascii="Times New Roman" w:hAnsi="Times New Roman" w:cs="Times New Roman"/>
        </w:rPr>
        <w:t xml:space="preserve">% in the public sector and </w:t>
      </w:r>
      <w:r w:rsidR="00105464" w:rsidRPr="000D44EC">
        <w:rPr>
          <w:rFonts w:ascii="Times New Roman" w:hAnsi="Times New Roman" w:cs="Times New Roman"/>
        </w:rPr>
        <w:t>5</w:t>
      </w:r>
      <w:r w:rsidR="00DA3C42" w:rsidRPr="000D44EC">
        <w:rPr>
          <w:rFonts w:ascii="Times New Roman" w:hAnsi="Times New Roman" w:cs="Times New Roman"/>
        </w:rPr>
        <w:t>.</w:t>
      </w:r>
      <w:r w:rsidR="00105464" w:rsidRPr="000D44EC">
        <w:rPr>
          <w:rFonts w:ascii="Times New Roman" w:hAnsi="Times New Roman" w:cs="Times New Roman"/>
        </w:rPr>
        <w:t>1</w:t>
      </w:r>
      <w:r w:rsidR="00DA3C42" w:rsidRPr="000D44EC">
        <w:rPr>
          <w:rFonts w:ascii="Times New Roman" w:hAnsi="Times New Roman" w:cs="Times New Roman"/>
        </w:rPr>
        <w:t xml:space="preserve">% in both sectors. Further information regarding sample characteristics </w:t>
      </w:r>
      <w:r w:rsidR="007A34F6" w:rsidRPr="000D44EC">
        <w:rPr>
          <w:rFonts w:ascii="Times New Roman" w:hAnsi="Times New Roman" w:cs="Times New Roman"/>
        </w:rPr>
        <w:t xml:space="preserve">within generational cohorts </w:t>
      </w:r>
      <w:r w:rsidR="00DA3C42" w:rsidRPr="000D44EC">
        <w:rPr>
          <w:rFonts w:ascii="Times New Roman" w:hAnsi="Times New Roman" w:cs="Times New Roman"/>
        </w:rPr>
        <w:t>are presented in Table 1.</w:t>
      </w:r>
      <w:r w:rsidR="003D5C5C" w:rsidRPr="000D44EC">
        <w:rPr>
          <w:rFonts w:ascii="Times New Roman" w:hAnsi="Times New Roman" w:cs="Times New Roman"/>
        </w:rPr>
        <w:t xml:space="preserve"> </w:t>
      </w:r>
      <w:r w:rsidR="00610E0F">
        <w:rPr>
          <w:rFonts w:ascii="Times New Roman" w:hAnsi="Times New Roman" w:cs="Times New Roman"/>
        </w:rPr>
        <w:t>The</w:t>
      </w:r>
      <w:r w:rsidR="00301246" w:rsidRPr="000D44EC">
        <w:rPr>
          <w:rFonts w:ascii="Times New Roman" w:hAnsi="Times New Roman" w:cs="Times New Roman"/>
        </w:rPr>
        <w:t xml:space="preserve"> sample profile </w:t>
      </w:r>
      <w:r w:rsidR="00610E0F">
        <w:rPr>
          <w:rFonts w:ascii="Times New Roman" w:hAnsi="Times New Roman" w:cs="Times New Roman"/>
        </w:rPr>
        <w:t xml:space="preserve">correspond with </w:t>
      </w:r>
      <w:r w:rsidR="00301246" w:rsidRPr="000D44EC">
        <w:rPr>
          <w:rFonts w:ascii="Times New Roman" w:hAnsi="Times New Roman" w:cs="Times New Roman"/>
        </w:rPr>
        <w:t>the study</w:t>
      </w:r>
      <w:r w:rsidR="00610E0F">
        <w:rPr>
          <w:rFonts w:ascii="Times New Roman" w:hAnsi="Times New Roman" w:cs="Times New Roman"/>
        </w:rPr>
        <w:t xml:space="preserve"> conducted by</w:t>
      </w:r>
      <w:r w:rsidR="00301246" w:rsidRPr="000D44EC">
        <w:rPr>
          <w:rFonts w:ascii="Times New Roman" w:hAnsi="Times New Roman" w:cs="Times New Roman"/>
        </w:rPr>
        <w:t xml:space="preserve"> Chaouali, Souiden and Ladhari </w:t>
      </w:r>
      <w:r w:rsidR="00301246"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{"citationItems":[{"id":"ITEM-1","itemData":{"DOI":"10.1016/J.JRETCONSER.2016.11.009","ISSN":"0969-6989","abstract":"Drawing upon the theory of trying, the present study goes a step further by including two important, but rarely addressed factors in the context of new technology adoption: general self-confidence and cynicism. Both of these variables are considered significant precursors of attitudes, particularly in the context of emerging and developing countries. The data were collected from 557 bank customers and then analyzed using Smart PLS. The findings reveal that intention of adopting mobile banking is determined by attitude toward mobile banking, which in turn is determined by attitude toward success, attitude toward failure, and attitude toward learning to use mobile banking. The last three attitudes are significantly influenced by general self-confidence and cynicism.","author":[{"dropping-particle":"","family":"Chaouali","given":"Walid","non-dropping-particle":"","parse-names":false,"suffix":""},{"dropping-particle":"","family":"Souiden","given":"Nizar","non-dropping-particle":"","parse-names":false,"suffix":""},{"dropping-particle":"","family":"Ladhari","given":"Riadh","non-dropping-particle":"","parse-names":false,"suffix":""}],"container-title":"Journal of Retailing and Consumer Services","id":"ITEM-1","issued":{"date-parts":[["2017","3","1"]]},"page":"57-67","publisher":"Pergamon","title":"Explaining adoption of mobile banking with the theory of trying, general self-confidence, and cynicism","type":"article-journal","volume":"35"},"uris":["http://www.mendeley.com/documents/?uuid=0a129301-4a42-3db2-8593-9754de9f9cc8"]}],"mendeley":{"formattedCitation":"(Chaouali, Souiden, &amp; Ladhari, 2017)","plainTextFormattedCitation":"(Chaouali, Souiden, &amp; Ladhari, 2017)","previouslyFormattedCitation":"(Chaouali, Souiden, &amp; Ladhari, 2017)"},"properties":{"noteIndex":0},"schema":"https://github.com/citation-style-language/schema/raw/master/csl-citation.json"}</w:instrText>
      </w:r>
      <w:r w:rsidR="00301246" w:rsidRPr="000D44EC">
        <w:rPr>
          <w:rFonts w:ascii="Times New Roman" w:hAnsi="Times New Roman" w:cs="Times New Roman"/>
        </w:rPr>
        <w:fldChar w:fldCharType="separate"/>
      </w:r>
      <w:r w:rsidR="0056686A" w:rsidRPr="0056686A">
        <w:rPr>
          <w:rFonts w:ascii="Times New Roman" w:hAnsi="Times New Roman" w:cs="Times New Roman"/>
          <w:noProof/>
        </w:rPr>
        <w:t>(Chaouali, Souiden, &amp; Ladhari, 2017)</w:t>
      </w:r>
      <w:r w:rsidR="00301246" w:rsidRPr="000D44EC">
        <w:rPr>
          <w:rFonts w:ascii="Times New Roman" w:hAnsi="Times New Roman" w:cs="Times New Roman"/>
        </w:rPr>
        <w:fldChar w:fldCharType="end"/>
      </w:r>
      <w:r w:rsidR="00301246" w:rsidRPr="000D44EC">
        <w:rPr>
          <w:rFonts w:ascii="Times New Roman" w:hAnsi="Times New Roman" w:cs="Times New Roman"/>
        </w:rPr>
        <w:t xml:space="preserve">. </w:t>
      </w:r>
    </w:p>
    <w:p w14:paraId="27604D42" w14:textId="530D87B3" w:rsidR="00637729" w:rsidRPr="000D44EC" w:rsidRDefault="007A34F6" w:rsidP="000140EA">
      <w:pPr>
        <w:spacing w:after="0"/>
        <w:jc w:val="center"/>
        <w:rPr>
          <w:rFonts w:ascii="Times New Roman" w:hAnsi="Times New Roman" w:cs="Times New Roman"/>
        </w:rPr>
      </w:pPr>
      <w:r w:rsidRPr="000D44EC">
        <w:rPr>
          <w:rFonts w:ascii="Times New Roman" w:hAnsi="Times New Roman" w:cs="Times New Roman"/>
          <w:b/>
        </w:rPr>
        <w:t>Table 1</w:t>
      </w:r>
      <w:r w:rsidRPr="000D44EC">
        <w:rPr>
          <w:rFonts w:ascii="Times New Roman" w:hAnsi="Times New Roman" w:cs="Times New Roman"/>
        </w:rPr>
        <w:t>. Sample profile</w:t>
      </w:r>
    </w:p>
    <w:tbl>
      <w:tblPr>
        <w:tblStyle w:val="Mkatabulky"/>
        <w:tblW w:w="5000" w:type="pct"/>
        <w:jc w:val="center"/>
        <w:tblBorders>
          <w:insideH w:val="none" w:sz="0" w:space="0" w:color="auto"/>
          <w:insideV w:val="none" w:sz="0" w:space="0" w:color="auto"/>
        </w:tblBorders>
        <w:tblLook w:val="04A0" w:firstRow="1" w:lastRow="0" w:firstColumn="1" w:lastColumn="0" w:noHBand="0" w:noVBand="1"/>
      </w:tblPr>
      <w:tblGrid>
        <w:gridCol w:w="1265"/>
        <w:gridCol w:w="2713"/>
        <w:gridCol w:w="800"/>
        <w:gridCol w:w="1150"/>
        <w:gridCol w:w="800"/>
        <w:gridCol w:w="1150"/>
        <w:gridCol w:w="606"/>
        <w:gridCol w:w="866"/>
      </w:tblGrid>
      <w:tr w:rsidR="009734B6" w:rsidRPr="000D44EC" w14:paraId="1EE26194" w14:textId="77777777" w:rsidTr="00E437E3">
        <w:trPr>
          <w:trHeight w:val="20"/>
          <w:jc w:val="center"/>
        </w:trPr>
        <w:tc>
          <w:tcPr>
            <w:tcW w:w="676" w:type="pct"/>
            <w:vMerge w:val="restart"/>
            <w:tcBorders>
              <w:top w:val="single" w:sz="4" w:space="0" w:color="auto"/>
            </w:tcBorders>
            <w:noWrap/>
            <w:vAlign w:val="center"/>
            <w:hideMark/>
          </w:tcPr>
          <w:p w14:paraId="3BFA302C" w14:textId="3A6F41B6" w:rsidR="009734B6" w:rsidRPr="000D44EC" w:rsidRDefault="009734B6" w:rsidP="009734B6">
            <w:pPr>
              <w:spacing w:after="0"/>
              <w:contextualSpacing/>
              <w:jc w:val="left"/>
              <w:rPr>
                <w:rFonts w:ascii="Times New Roman" w:hAnsi="Times New Roman" w:cs="Times New Roman"/>
              </w:rPr>
            </w:pPr>
            <w:r w:rsidRPr="000D44EC">
              <w:rPr>
                <w:rFonts w:ascii="Times New Roman" w:hAnsi="Times New Roman" w:cs="Times New Roman"/>
              </w:rPr>
              <w:t>Category</w:t>
            </w:r>
          </w:p>
        </w:tc>
        <w:tc>
          <w:tcPr>
            <w:tcW w:w="1451" w:type="pct"/>
            <w:vMerge w:val="restart"/>
            <w:tcBorders>
              <w:top w:val="single" w:sz="4" w:space="0" w:color="auto"/>
            </w:tcBorders>
            <w:noWrap/>
            <w:vAlign w:val="center"/>
            <w:hideMark/>
          </w:tcPr>
          <w:p w14:paraId="0816E101" w14:textId="173CD3AA" w:rsidR="009734B6" w:rsidRPr="000D44EC" w:rsidRDefault="009734B6" w:rsidP="009734B6">
            <w:pPr>
              <w:spacing w:after="0"/>
              <w:contextualSpacing/>
              <w:jc w:val="left"/>
              <w:rPr>
                <w:rFonts w:ascii="Times New Roman" w:hAnsi="Times New Roman" w:cs="Times New Roman"/>
              </w:rPr>
            </w:pPr>
            <w:r w:rsidRPr="000D44EC">
              <w:rPr>
                <w:rFonts w:ascii="Times New Roman" w:hAnsi="Times New Roman" w:cs="Times New Roman"/>
              </w:rPr>
              <w:t>Sub-category</w:t>
            </w:r>
          </w:p>
        </w:tc>
        <w:tc>
          <w:tcPr>
            <w:tcW w:w="2086" w:type="pct"/>
            <w:gridSpan w:val="4"/>
            <w:tcBorders>
              <w:top w:val="single" w:sz="4" w:space="0" w:color="auto"/>
              <w:bottom w:val="nil"/>
              <w:right w:val="nil"/>
            </w:tcBorders>
            <w:noWrap/>
            <w:hideMark/>
          </w:tcPr>
          <w:p w14:paraId="12DB0FB8" w14:textId="2C3E9B38" w:rsidR="009734B6" w:rsidRPr="000D44EC" w:rsidRDefault="009734B6" w:rsidP="00064BEE">
            <w:pPr>
              <w:spacing w:after="0"/>
              <w:contextualSpacing/>
              <w:jc w:val="center"/>
              <w:rPr>
                <w:rFonts w:ascii="Times New Roman" w:hAnsi="Times New Roman" w:cs="Times New Roman"/>
              </w:rPr>
            </w:pPr>
            <w:r w:rsidRPr="000D44EC">
              <w:rPr>
                <w:rFonts w:ascii="Times New Roman" w:hAnsi="Times New Roman" w:cs="Times New Roman"/>
              </w:rPr>
              <w:t>Generational cohort</w:t>
            </w:r>
          </w:p>
        </w:tc>
        <w:tc>
          <w:tcPr>
            <w:tcW w:w="787" w:type="pct"/>
            <w:gridSpan w:val="2"/>
            <w:tcBorders>
              <w:top w:val="single" w:sz="4" w:space="0" w:color="auto"/>
              <w:left w:val="nil"/>
              <w:bottom w:val="nil"/>
            </w:tcBorders>
            <w:noWrap/>
            <w:vAlign w:val="center"/>
            <w:hideMark/>
          </w:tcPr>
          <w:p w14:paraId="2F244E73" w14:textId="131D577C" w:rsidR="009734B6" w:rsidRPr="000D44EC" w:rsidRDefault="009734B6" w:rsidP="002339C4">
            <w:pPr>
              <w:spacing w:after="0"/>
              <w:contextualSpacing/>
              <w:jc w:val="center"/>
              <w:rPr>
                <w:rFonts w:ascii="Times New Roman" w:hAnsi="Times New Roman" w:cs="Times New Roman"/>
              </w:rPr>
            </w:pPr>
            <w:r w:rsidRPr="000D44EC">
              <w:rPr>
                <w:rFonts w:ascii="Times New Roman" w:hAnsi="Times New Roman" w:cs="Times New Roman"/>
              </w:rPr>
              <w:t>Total</w:t>
            </w:r>
          </w:p>
        </w:tc>
      </w:tr>
      <w:tr w:rsidR="009734B6" w:rsidRPr="000D44EC" w14:paraId="6CE46945" w14:textId="77777777" w:rsidTr="00E437E3">
        <w:trPr>
          <w:trHeight w:val="20"/>
          <w:jc w:val="center"/>
        </w:trPr>
        <w:tc>
          <w:tcPr>
            <w:tcW w:w="676" w:type="pct"/>
            <w:vMerge/>
            <w:tcBorders>
              <w:bottom w:val="single" w:sz="4" w:space="0" w:color="auto"/>
            </w:tcBorders>
            <w:noWrap/>
            <w:hideMark/>
          </w:tcPr>
          <w:p w14:paraId="6DC62F66" w14:textId="2CCC7347" w:rsidR="009734B6" w:rsidRPr="000D44EC" w:rsidRDefault="009734B6" w:rsidP="00064BEE">
            <w:pPr>
              <w:spacing w:after="0"/>
              <w:contextualSpacing/>
              <w:rPr>
                <w:rFonts w:ascii="Times New Roman" w:hAnsi="Times New Roman" w:cs="Times New Roman"/>
              </w:rPr>
            </w:pPr>
          </w:p>
        </w:tc>
        <w:tc>
          <w:tcPr>
            <w:tcW w:w="1451" w:type="pct"/>
            <w:vMerge/>
            <w:tcBorders>
              <w:bottom w:val="single" w:sz="4" w:space="0" w:color="auto"/>
            </w:tcBorders>
            <w:noWrap/>
            <w:hideMark/>
          </w:tcPr>
          <w:p w14:paraId="67154494" w14:textId="35479C1D" w:rsidR="009734B6" w:rsidRPr="000D44EC" w:rsidRDefault="009734B6" w:rsidP="00064BEE">
            <w:pPr>
              <w:spacing w:after="0"/>
              <w:contextualSpacing/>
              <w:jc w:val="center"/>
              <w:rPr>
                <w:rFonts w:ascii="Times New Roman" w:hAnsi="Times New Roman" w:cs="Times New Roman"/>
              </w:rPr>
            </w:pPr>
          </w:p>
        </w:tc>
        <w:tc>
          <w:tcPr>
            <w:tcW w:w="1043" w:type="pct"/>
            <w:gridSpan w:val="2"/>
            <w:tcBorders>
              <w:top w:val="nil"/>
              <w:bottom w:val="single" w:sz="4" w:space="0" w:color="auto"/>
              <w:right w:val="nil"/>
            </w:tcBorders>
            <w:noWrap/>
            <w:hideMark/>
          </w:tcPr>
          <w:p w14:paraId="0B0CE11E" w14:textId="030ED297" w:rsidR="009734B6" w:rsidRPr="000D44EC" w:rsidRDefault="009734B6" w:rsidP="00064BEE">
            <w:pPr>
              <w:spacing w:after="0"/>
              <w:contextualSpacing/>
              <w:jc w:val="center"/>
              <w:rPr>
                <w:rFonts w:ascii="Times New Roman" w:hAnsi="Times New Roman" w:cs="Times New Roman"/>
              </w:rPr>
            </w:pPr>
            <w:r w:rsidRPr="000D44EC">
              <w:rPr>
                <w:rFonts w:ascii="Times New Roman" w:hAnsi="Times New Roman" w:cs="Times New Roman"/>
              </w:rPr>
              <w:t>Z (</w:t>
            </w:r>
            <w:r w:rsidRPr="000D44EC">
              <w:rPr>
                <w:rFonts w:ascii="Times New Roman" w:hAnsi="Times New Roman" w:cs="Times New Roman"/>
                <w:i/>
              </w:rPr>
              <w:t>n</w:t>
            </w:r>
            <w:r w:rsidRPr="000D44EC">
              <w:rPr>
                <w:rFonts w:ascii="Times New Roman" w:hAnsi="Times New Roman" w:cs="Times New Roman"/>
              </w:rPr>
              <w:t xml:space="preserve"> = 188, 49%)</w:t>
            </w:r>
          </w:p>
        </w:tc>
        <w:tc>
          <w:tcPr>
            <w:tcW w:w="1043" w:type="pct"/>
            <w:gridSpan w:val="2"/>
            <w:tcBorders>
              <w:top w:val="nil"/>
              <w:left w:val="nil"/>
              <w:bottom w:val="single" w:sz="4" w:space="0" w:color="auto"/>
              <w:right w:val="single" w:sz="4" w:space="0" w:color="auto"/>
            </w:tcBorders>
            <w:noWrap/>
            <w:hideMark/>
          </w:tcPr>
          <w:p w14:paraId="0EE5A62F" w14:textId="23B74F5E" w:rsidR="009734B6" w:rsidRPr="000D44EC" w:rsidRDefault="009734B6" w:rsidP="00064BEE">
            <w:pPr>
              <w:spacing w:after="0"/>
              <w:contextualSpacing/>
              <w:jc w:val="center"/>
              <w:rPr>
                <w:rFonts w:ascii="Times New Roman" w:hAnsi="Times New Roman" w:cs="Times New Roman"/>
              </w:rPr>
            </w:pPr>
            <w:r w:rsidRPr="000D44EC">
              <w:rPr>
                <w:rFonts w:ascii="Times New Roman" w:hAnsi="Times New Roman" w:cs="Times New Roman"/>
              </w:rPr>
              <w:t>Y (</w:t>
            </w:r>
            <w:r w:rsidRPr="000D44EC">
              <w:rPr>
                <w:rFonts w:ascii="Times New Roman" w:hAnsi="Times New Roman" w:cs="Times New Roman"/>
                <w:i/>
              </w:rPr>
              <w:t>n</w:t>
            </w:r>
            <w:r w:rsidRPr="000D44EC">
              <w:rPr>
                <w:rFonts w:ascii="Times New Roman" w:hAnsi="Times New Roman" w:cs="Times New Roman"/>
              </w:rPr>
              <w:t xml:space="preserve"> = 192, 51%)</w:t>
            </w:r>
          </w:p>
        </w:tc>
        <w:tc>
          <w:tcPr>
            <w:tcW w:w="324" w:type="pct"/>
            <w:tcBorders>
              <w:top w:val="nil"/>
              <w:left w:val="single" w:sz="4" w:space="0" w:color="auto"/>
              <w:bottom w:val="single" w:sz="4" w:space="0" w:color="auto"/>
            </w:tcBorders>
            <w:noWrap/>
            <w:hideMark/>
          </w:tcPr>
          <w:p w14:paraId="1B25170B" w14:textId="56255AD7" w:rsidR="009734B6" w:rsidRPr="000D44EC" w:rsidRDefault="009734B6" w:rsidP="002339C4">
            <w:pPr>
              <w:spacing w:after="0"/>
              <w:contextualSpacing/>
              <w:jc w:val="center"/>
              <w:rPr>
                <w:rFonts w:ascii="Times New Roman" w:hAnsi="Times New Roman" w:cs="Times New Roman"/>
                <w:i/>
              </w:rPr>
            </w:pPr>
            <w:r w:rsidRPr="000D44EC">
              <w:rPr>
                <w:rFonts w:ascii="Times New Roman" w:hAnsi="Times New Roman" w:cs="Times New Roman"/>
                <w:i/>
              </w:rPr>
              <w:t>n</w:t>
            </w:r>
          </w:p>
        </w:tc>
        <w:tc>
          <w:tcPr>
            <w:tcW w:w="463" w:type="pct"/>
            <w:tcBorders>
              <w:top w:val="nil"/>
              <w:bottom w:val="single" w:sz="4" w:space="0" w:color="auto"/>
            </w:tcBorders>
            <w:noWrap/>
            <w:hideMark/>
          </w:tcPr>
          <w:p w14:paraId="78F1BCC9" w14:textId="436D3928" w:rsidR="009734B6" w:rsidRPr="000D44EC" w:rsidRDefault="009734B6" w:rsidP="002339C4">
            <w:pPr>
              <w:spacing w:after="0"/>
              <w:contextualSpacing/>
              <w:jc w:val="center"/>
              <w:rPr>
                <w:rFonts w:ascii="Times New Roman" w:hAnsi="Times New Roman" w:cs="Times New Roman"/>
              </w:rPr>
            </w:pPr>
            <w:r w:rsidRPr="000D44EC">
              <w:rPr>
                <w:rFonts w:ascii="Times New Roman" w:hAnsi="Times New Roman" w:cs="Times New Roman"/>
              </w:rPr>
              <w:t>Share</w:t>
            </w:r>
          </w:p>
        </w:tc>
      </w:tr>
      <w:tr w:rsidR="00105464" w:rsidRPr="000D44EC" w14:paraId="1BCD07E8" w14:textId="77777777" w:rsidTr="00E437E3">
        <w:trPr>
          <w:trHeight w:val="20"/>
          <w:jc w:val="center"/>
        </w:trPr>
        <w:tc>
          <w:tcPr>
            <w:tcW w:w="676" w:type="pct"/>
            <w:tcBorders>
              <w:top w:val="single" w:sz="4" w:space="0" w:color="auto"/>
              <w:bottom w:val="nil"/>
            </w:tcBorders>
            <w:noWrap/>
            <w:hideMark/>
          </w:tcPr>
          <w:p w14:paraId="05405889" w14:textId="08F31BED" w:rsidR="00064BEE" w:rsidRPr="000D44EC" w:rsidRDefault="002339C4" w:rsidP="00064BEE">
            <w:pPr>
              <w:spacing w:after="0"/>
              <w:contextualSpacing/>
              <w:rPr>
                <w:rFonts w:ascii="Times New Roman" w:hAnsi="Times New Roman" w:cs="Times New Roman"/>
              </w:rPr>
            </w:pPr>
            <w:r w:rsidRPr="000D44EC">
              <w:rPr>
                <w:rFonts w:ascii="Times New Roman" w:hAnsi="Times New Roman" w:cs="Times New Roman"/>
              </w:rPr>
              <w:t>Gender</w:t>
            </w:r>
          </w:p>
        </w:tc>
        <w:tc>
          <w:tcPr>
            <w:tcW w:w="1451" w:type="pct"/>
            <w:tcBorders>
              <w:top w:val="single" w:sz="4" w:space="0" w:color="auto"/>
              <w:bottom w:val="nil"/>
            </w:tcBorders>
            <w:noWrap/>
            <w:hideMark/>
          </w:tcPr>
          <w:p w14:paraId="10913832" w14:textId="25AB2EE0" w:rsidR="00064BEE" w:rsidRPr="000D44EC" w:rsidRDefault="00064BEE" w:rsidP="009734B6">
            <w:pPr>
              <w:spacing w:after="0"/>
              <w:contextualSpacing/>
              <w:jc w:val="left"/>
              <w:rPr>
                <w:rFonts w:ascii="Times New Roman" w:hAnsi="Times New Roman" w:cs="Times New Roman"/>
              </w:rPr>
            </w:pPr>
            <w:r w:rsidRPr="000D44EC">
              <w:rPr>
                <w:rFonts w:ascii="Times New Roman" w:hAnsi="Times New Roman" w:cs="Times New Roman"/>
              </w:rPr>
              <w:t>Female</w:t>
            </w:r>
          </w:p>
        </w:tc>
        <w:tc>
          <w:tcPr>
            <w:tcW w:w="428" w:type="pct"/>
            <w:tcBorders>
              <w:top w:val="single" w:sz="4" w:space="0" w:color="auto"/>
              <w:bottom w:val="nil"/>
            </w:tcBorders>
            <w:noWrap/>
            <w:hideMark/>
          </w:tcPr>
          <w:p w14:paraId="2E258106" w14:textId="77777777"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134</w:t>
            </w:r>
          </w:p>
        </w:tc>
        <w:tc>
          <w:tcPr>
            <w:tcW w:w="615" w:type="pct"/>
            <w:tcBorders>
              <w:top w:val="single" w:sz="4" w:space="0" w:color="auto"/>
              <w:bottom w:val="nil"/>
              <w:right w:val="single" w:sz="4" w:space="0" w:color="auto"/>
            </w:tcBorders>
            <w:noWrap/>
            <w:hideMark/>
          </w:tcPr>
          <w:p w14:paraId="6FD3991F" w14:textId="102242A2"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71.3</w:t>
            </w:r>
            <w:r w:rsidR="002339C4" w:rsidRPr="000D44EC">
              <w:rPr>
                <w:rFonts w:ascii="Times New Roman" w:hAnsi="Times New Roman" w:cs="Times New Roman"/>
              </w:rPr>
              <w:t>%</w:t>
            </w:r>
          </w:p>
        </w:tc>
        <w:tc>
          <w:tcPr>
            <w:tcW w:w="428" w:type="pct"/>
            <w:tcBorders>
              <w:top w:val="single" w:sz="4" w:space="0" w:color="auto"/>
              <w:left w:val="single" w:sz="4" w:space="0" w:color="auto"/>
              <w:bottom w:val="nil"/>
            </w:tcBorders>
            <w:noWrap/>
            <w:hideMark/>
          </w:tcPr>
          <w:p w14:paraId="23A62137" w14:textId="77777777"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127</w:t>
            </w:r>
          </w:p>
        </w:tc>
        <w:tc>
          <w:tcPr>
            <w:tcW w:w="615" w:type="pct"/>
            <w:tcBorders>
              <w:top w:val="single" w:sz="4" w:space="0" w:color="auto"/>
              <w:bottom w:val="nil"/>
              <w:right w:val="single" w:sz="4" w:space="0" w:color="auto"/>
            </w:tcBorders>
            <w:noWrap/>
            <w:hideMark/>
          </w:tcPr>
          <w:p w14:paraId="375504A3" w14:textId="271359E6"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66.1</w:t>
            </w:r>
            <w:r w:rsidR="002339C4" w:rsidRPr="000D44EC">
              <w:rPr>
                <w:rFonts w:ascii="Times New Roman" w:hAnsi="Times New Roman" w:cs="Times New Roman"/>
              </w:rPr>
              <w:t>%</w:t>
            </w:r>
          </w:p>
        </w:tc>
        <w:tc>
          <w:tcPr>
            <w:tcW w:w="324" w:type="pct"/>
            <w:tcBorders>
              <w:top w:val="single" w:sz="4" w:space="0" w:color="auto"/>
              <w:left w:val="single" w:sz="4" w:space="0" w:color="auto"/>
              <w:bottom w:val="nil"/>
            </w:tcBorders>
            <w:noWrap/>
            <w:hideMark/>
          </w:tcPr>
          <w:p w14:paraId="539FA9E5" w14:textId="77777777"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261</w:t>
            </w:r>
          </w:p>
        </w:tc>
        <w:tc>
          <w:tcPr>
            <w:tcW w:w="463" w:type="pct"/>
            <w:tcBorders>
              <w:top w:val="single" w:sz="4" w:space="0" w:color="auto"/>
              <w:bottom w:val="nil"/>
            </w:tcBorders>
            <w:noWrap/>
            <w:hideMark/>
          </w:tcPr>
          <w:p w14:paraId="2F459760" w14:textId="721AD015"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68.7%</w:t>
            </w:r>
          </w:p>
        </w:tc>
      </w:tr>
      <w:tr w:rsidR="00105464" w:rsidRPr="000D44EC" w14:paraId="4EB14BA0" w14:textId="77777777" w:rsidTr="00E437E3">
        <w:trPr>
          <w:trHeight w:val="20"/>
          <w:jc w:val="center"/>
        </w:trPr>
        <w:tc>
          <w:tcPr>
            <w:tcW w:w="676" w:type="pct"/>
            <w:tcBorders>
              <w:top w:val="nil"/>
              <w:bottom w:val="nil"/>
            </w:tcBorders>
            <w:noWrap/>
            <w:hideMark/>
          </w:tcPr>
          <w:p w14:paraId="23B51471" w14:textId="77777777" w:rsidR="00064BEE" w:rsidRPr="000D44EC" w:rsidRDefault="00064BEE" w:rsidP="00064BEE">
            <w:pPr>
              <w:spacing w:after="0"/>
              <w:contextualSpacing/>
              <w:rPr>
                <w:rFonts w:ascii="Times New Roman" w:hAnsi="Times New Roman" w:cs="Times New Roman"/>
              </w:rPr>
            </w:pPr>
          </w:p>
        </w:tc>
        <w:tc>
          <w:tcPr>
            <w:tcW w:w="1451" w:type="pct"/>
            <w:tcBorders>
              <w:top w:val="nil"/>
              <w:bottom w:val="single" w:sz="4" w:space="0" w:color="auto"/>
            </w:tcBorders>
            <w:noWrap/>
            <w:hideMark/>
          </w:tcPr>
          <w:p w14:paraId="74DDFFA0" w14:textId="0FA1C31D" w:rsidR="00064BEE" w:rsidRPr="000D44EC" w:rsidRDefault="00064BEE" w:rsidP="009734B6">
            <w:pPr>
              <w:spacing w:after="0"/>
              <w:contextualSpacing/>
              <w:jc w:val="left"/>
              <w:rPr>
                <w:rFonts w:ascii="Times New Roman" w:hAnsi="Times New Roman" w:cs="Times New Roman"/>
              </w:rPr>
            </w:pPr>
            <w:r w:rsidRPr="000D44EC">
              <w:rPr>
                <w:rFonts w:ascii="Times New Roman" w:hAnsi="Times New Roman" w:cs="Times New Roman"/>
              </w:rPr>
              <w:t>Male</w:t>
            </w:r>
          </w:p>
        </w:tc>
        <w:tc>
          <w:tcPr>
            <w:tcW w:w="428" w:type="pct"/>
            <w:tcBorders>
              <w:top w:val="nil"/>
              <w:bottom w:val="single" w:sz="4" w:space="0" w:color="auto"/>
            </w:tcBorders>
            <w:noWrap/>
            <w:hideMark/>
          </w:tcPr>
          <w:p w14:paraId="03A48F65" w14:textId="77777777"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54</w:t>
            </w:r>
          </w:p>
        </w:tc>
        <w:tc>
          <w:tcPr>
            <w:tcW w:w="615" w:type="pct"/>
            <w:tcBorders>
              <w:top w:val="nil"/>
              <w:bottom w:val="single" w:sz="4" w:space="0" w:color="auto"/>
              <w:right w:val="single" w:sz="4" w:space="0" w:color="auto"/>
            </w:tcBorders>
            <w:noWrap/>
            <w:hideMark/>
          </w:tcPr>
          <w:p w14:paraId="5B1DC951" w14:textId="5BA06BBF"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28.7</w:t>
            </w:r>
            <w:r w:rsidR="002339C4" w:rsidRPr="000D44EC">
              <w:rPr>
                <w:rFonts w:ascii="Times New Roman" w:hAnsi="Times New Roman" w:cs="Times New Roman"/>
              </w:rPr>
              <w:t>%</w:t>
            </w:r>
          </w:p>
        </w:tc>
        <w:tc>
          <w:tcPr>
            <w:tcW w:w="428" w:type="pct"/>
            <w:tcBorders>
              <w:top w:val="nil"/>
              <w:left w:val="single" w:sz="4" w:space="0" w:color="auto"/>
              <w:bottom w:val="single" w:sz="4" w:space="0" w:color="auto"/>
            </w:tcBorders>
            <w:noWrap/>
            <w:hideMark/>
          </w:tcPr>
          <w:p w14:paraId="20C10809" w14:textId="77777777"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65</w:t>
            </w:r>
          </w:p>
        </w:tc>
        <w:tc>
          <w:tcPr>
            <w:tcW w:w="615" w:type="pct"/>
            <w:tcBorders>
              <w:top w:val="nil"/>
              <w:bottom w:val="single" w:sz="4" w:space="0" w:color="auto"/>
              <w:right w:val="single" w:sz="4" w:space="0" w:color="auto"/>
            </w:tcBorders>
            <w:noWrap/>
            <w:hideMark/>
          </w:tcPr>
          <w:p w14:paraId="285E126B" w14:textId="582622B0"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33.9</w:t>
            </w:r>
            <w:r w:rsidR="002339C4" w:rsidRPr="000D44EC">
              <w:rPr>
                <w:rFonts w:ascii="Times New Roman" w:hAnsi="Times New Roman" w:cs="Times New Roman"/>
              </w:rPr>
              <w:t>%</w:t>
            </w:r>
          </w:p>
        </w:tc>
        <w:tc>
          <w:tcPr>
            <w:tcW w:w="324" w:type="pct"/>
            <w:tcBorders>
              <w:top w:val="nil"/>
              <w:left w:val="single" w:sz="4" w:space="0" w:color="auto"/>
              <w:bottom w:val="single" w:sz="4" w:space="0" w:color="auto"/>
            </w:tcBorders>
            <w:noWrap/>
            <w:hideMark/>
          </w:tcPr>
          <w:p w14:paraId="3BF561D9" w14:textId="77777777"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119</w:t>
            </w:r>
          </w:p>
        </w:tc>
        <w:tc>
          <w:tcPr>
            <w:tcW w:w="463" w:type="pct"/>
            <w:tcBorders>
              <w:top w:val="nil"/>
              <w:bottom w:val="single" w:sz="4" w:space="0" w:color="auto"/>
            </w:tcBorders>
            <w:noWrap/>
            <w:hideMark/>
          </w:tcPr>
          <w:p w14:paraId="4FB7868A" w14:textId="639F122B" w:rsidR="00064BEE" w:rsidRPr="000D44EC" w:rsidRDefault="002339C4" w:rsidP="009734B6">
            <w:pPr>
              <w:spacing w:after="0"/>
              <w:contextualSpacing/>
              <w:jc w:val="right"/>
              <w:rPr>
                <w:rFonts w:ascii="Times New Roman" w:hAnsi="Times New Roman" w:cs="Times New Roman"/>
              </w:rPr>
            </w:pPr>
            <w:r w:rsidRPr="000D44EC">
              <w:rPr>
                <w:rFonts w:ascii="Times New Roman" w:hAnsi="Times New Roman" w:cs="Times New Roman"/>
              </w:rPr>
              <w:t>31.3</w:t>
            </w:r>
            <w:r w:rsidR="00064BEE" w:rsidRPr="000D44EC">
              <w:rPr>
                <w:rFonts w:ascii="Times New Roman" w:hAnsi="Times New Roman" w:cs="Times New Roman"/>
              </w:rPr>
              <w:t>%</w:t>
            </w:r>
          </w:p>
        </w:tc>
      </w:tr>
      <w:tr w:rsidR="00105464" w:rsidRPr="000D44EC" w14:paraId="1C41F50E" w14:textId="77777777" w:rsidTr="00E437E3">
        <w:trPr>
          <w:trHeight w:val="20"/>
          <w:jc w:val="center"/>
        </w:trPr>
        <w:tc>
          <w:tcPr>
            <w:tcW w:w="676" w:type="pct"/>
            <w:tcBorders>
              <w:top w:val="nil"/>
              <w:bottom w:val="nil"/>
            </w:tcBorders>
            <w:noWrap/>
            <w:hideMark/>
          </w:tcPr>
          <w:p w14:paraId="4D2ADA8B" w14:textId="73FA2FA4" w:rsidR="00064BEE" w:rsidRPr="000D44EC" w:rsidRDefault="002339C4" w:rsidP="00064BEE">
            <w:pPr>
              <w:spacing w:after="0"/>
              <w:contextualSpacing/>
              <w:rPr>
                <w:rFonts w:ascii="Times New Roman" w:hAnsi="Times New Roman" w:cs="Times New Roman"/>
              </w:rPr>
            </w:pPr>
            <w:r w:rsidRPr="000D44EC">
              <w:rPr>
                <w:rFonts w:ascii="Times New Roman" w:hAnsi="Times New Roman" w:cs="Times New Roman"/>
              </w:rPr>
              <w:t>Employed</w:t>
            </w:r>
          </w:p>
        </w:tc>
        <w:tc>
          <w:tcPr>
            <w:tcW w:w="1451" w:type="pct"/>
            <w:tcBorders>
              <w:top w:val="single" w:sz="4" w:space="0" w:color="auto"/>
              <w:bottom w:val="nil"/>
            </w:tcBorders>
            <w:noWrap/>
            <w:hideMark/>
          </w:tcPr>
          <w:p w14:paraId="000EDE2B" w14:textId="3234912C" w:rsidR="00064BEE" w:rsidRPr="000D44EC" w:rsidRDefault="002339C4" w:rsidP="009734B6">
            <w:pPr>
              <w:tabs>
                <w:tab w:val="left" w:pos="780"/>
                <w:tab w:val="center" w:pos="906"/>
              </w:tabs>
              <w:spacing w:after="0"/>
              <w:contextualSpacing/>
              <w:jc w:val="left"/>
              <w:rPr>
                <w:rFonts w:ascii="Times New Roman" w:hAnsi="Times New Roman" w:cs="Times New Roman"/>
              </w:rPr>
            </w:pPr>
            <w:r w:rsidRPr="000D44EC">
              <w:rPr>
                <w:rFonts w:ascii="Times New Roman" w:hAnsi="Times New Roman" w:cs="Times New Roman"/>
              </w:rPr>
              <w:t>No</w:t>
            </w:r>
          </w:p>
        </w:tc>
        <w:tc>
          <w:tcPr>
            <w:tcW w:w="428" w:type="pct"/>
            <w:tcBorders>
              <w:top w:val="single" w:sz="4" w:space="0" w:color="auto"/>
              <w:bottom w:val="nil"/>
            </w:tcBorders>
            <w:noWrap/>
            <w:hideMark/>
          </w:tcPr>
          <w:p w14:paraId="556DB8AA" w14:textId="77777777"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121</w:t>
            </w:r>
          </w:p>
        </w:tc>
        <w:tc>
          <w:tcPr>
            <w:tcW w:w="615" w:type="pct"/>
            <w:tcBorders>
              <w:top w:val="single" w:sz="4" w:space="0" w:color="auto"/>
              <w:bottom w:val="nil"/>
              <w:right w:val="single" w:sz="4" w:space="0" w:color="auto"/>
            </w:tcBorders>
            <w:noWrap/>
            <w:hideMark/>
          </w:tcPr>
          <w:p w14:paraId="6D522F91" w14:textId="34A30DEB"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64.4</w:t>
            </w:r>
            <w:r w:rsidR="002339C4" w:rsidRPr="000D44EC">
              <w:rPr>
                <w:rFonts w:ascii="Times New Roman" w:hAnsi="Times New Roman" w:cs="Times New Roman"/>
              </w:rPr>
              <w:t>%</w:t>
            </w:r>
          </w:p>
        </w:tc>
        <w:tc>
          <w:tcPr>
            <w:tcW w:w="428" w:type="pct"/>
            <w:tcBorders>
              <w:top w:val="single" w:sz="4" w:space="0" w:color="auto"/>
              <w:left w:val="single" w:sz="4" w:space="0" w:color="auto"/>
              <w:bottom w:val="nil"/>
            </w:tcBorders>
            <w:noWrap/>
            <w:hideMark/>
          </w:tcPr>
          <w:p w14:paraId="04F7C50A" w14:textId="77777777"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44</w:t>
            </w:r>
          </w:p>
        </w:tc>
        <w:tc>
          <w:tcPr>
            <w:tcW w:w="615" w:type="pct"/>
            <w:tcBorders>
              <w:top w:val="single" w:sz="4" w:space="0" w:color="auto"/>
              <w:bottom w:val="nil"/>
              <w:right w:val="single" w:sz="4" w:space="0" w:color="auto"/>
            </w:tcBorders>
            <w:noWrap/>
            <w:hideMark/>
          </w:tcPr>
          <w:p w14:paraId="304ED1BF" w14:textId="05E02918"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22.9</w:t>
            </w:r>
            <w:r w:rsidR="002339C4" w:rsidRPr="000D44EC">
              <w:rPr>
                <w:rFonts w:ascii="Times New Roman" w:hAnsi="Times New Roman" w:cs="Times New Roman"/>
              </w:rPr>
              <w:t>%</w:t>
            </w:r>
          </w:p>
        </w:tc>
        <w:tc>
          <w:tcPr>
            <w:tcW w:w="324" w:type="pct"/>
            <w:tcBorders>
              <w:top w:val="single" w:sz="4" w:space="0" w:color="auto"/>
              <w:left w:val="single" w:sz="4" w:space="0" w:color="auto"/>
              <w:bottom w:val="nil"/>
            </w:tcBorders>
            <w:noWrap/>
            <w:hideMark/>
          </w:tcPr>
          <w:p w14:paraId="5AD1604E" w14:textId="77777777"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165</w:t>
            </w:r>
          </w:p>
        </w:tc>
        <w:tc>
          <w:tcPr>
            <w:tcW w:w="463" w:type="pct"/>
            <w:tcBorders>
              <w:top w:val="single" w:sz="4" w:space="0" w:color="auto"/>
              <w:bottom w:val="nil"/>
            </w:tcBorders>
            <w:noWrap/>
            <w:hideMark/>
          </w:tcPr>
          <w:p w14:paraId="2D687AF6" w14:textId="33855BCD"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43.4%</w:t>
            </w:r>
          </w:p>
        </w:tc>
      </w:tr>
      <w:tr w:rsidR="00105464" w:rsidRPr="000D44EC" w14:paraId="1BE56FAC" w14:textId="77777777" w:rsidTr="00E437E3">
        <w:trPr>
          <w:trHeight w:val="20"/>
          <w:jc w:val="center"/>
        </w:trPr>
        <w:tc>
          <w:tcPr>
            <w:tcW w:w="676" w:type="pct"/>
            <w:tcBorders>
              <w:top w:val="nil"/>
              <w:bottom w:val="nil"/>
            </w:tcBorders>
            <w:noWrap/>
            <w:hideMark/>
          </w:tcPr>
          <w:p w14:paraId="2962CAB7" w14:textId="77777777" w:rsidR="00064BEE" w:rsidRPr="000D44EC" w:rsidRDefault="00064BEE" w:rsidP="00064BEE">
            <w:pPr>
              <w:spacing w:after="0"/>
              <w:contextualSpacing/>
              <w:rPr>
                <w:rFonts w:ascii="Times New Roman" w:hAnsi="Times New Roman" w:cs="Times New Roman"/>
              </w:rPr>
            </w:pPr>
          </w:p>
        </w:tc>
        <w:tc>
          <w:tcPr>
            <w:tcW w:w="1451" w:type="pct"/>
            <w:tcBorders>
              <w:top w:val="nil"/>
              <w:bottom w:val="single" w:sz="4" w:space="0" w:color="auto"/>
            </w:tcBorders>
            <w:noWrap/>
            <w:hideMark/>
          </w:tcPr>
          <w:p w14:paraId="4E07A3E6" w14:textId="243EB187" w:rsidR="00064BEE" w:rsidRPr="000D44EC" w:rsidRDefault="002339C4" w:rsidP="009734B6">
            <w:pPr>
              <w:spacing w:after="0"/>
              <w:contextualSpacing/>
              <w:jc w:val="left"/>
              <w:rPr>
                <w:rFonts w:ascii="Times New Roman" w:hAnsi="Times New Roman" w:cs="Times New Roman"/>
              </w:rPr>
            </w:pPr>
            <w:r w:rsidRPr="000D44EC">
              <w:rPr>
                <w:rFonts w:ascii="Times New Roman" w:hAnsi="Times New Roman" w:cs="Times New Roman"/>
              </w:rPr>
              <w:t>Yes</w:t>
            </w:r>
          </w:p>
        </w:tc>
        <w:tc>
          <w:tcPr>
            <w:tcW w:w="428" w:type="pct"/>
            <w:tcBorders>
              <w:top w:val="nil"/>
              <w:bottom w:val="single" w:sz="4" w:space="0" w:color="auto"/>
            </w:tcBorders>
            <w:noWrap/>
            <w:hideMark/>
          </w:tcPr>
          <w:p w14:paraId="16278B18" w14:textId="77777777"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67</w:t>
            </w:r>
          </w:p>
        </w:tc>
        <w:tc>
          <w:tcPr>
            <w:tcW w:w="615" w:type="pct"/>
            <w:tcBorders>
              <w:top w:val="nil"/>
              <w:bottom w:val="single" w:sz="4" w:space="0" w:color="auto"/>
              <w:right w:val="single" w:sz="4" w:space="0" w:color="auto"/>
            </w:tcBorders>
            <w:noWrap/>
            <w:hideMark/>
          </w:tcPr>
          <w:p w14:paraId="060FD7B6" w14:textId="0E7E91FA"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35.6</w:t>
            </w:r>
            <w:r w:rsidR="002339C4" w:rsidRPr="000D44EC">
              <w:rPr>
                <w:rFonts w:ascii="Times New Roman" w:hAnsi="Times New Roman" w:cs="Times New Roman"/>
              </w:rPr>
              <w:t>%</w:t>
            </w:r>
          </w:p>
        </w:tc>
        <w:tc>
          <w:tcPr>
            <w:tcW w:w="428" w:type="pct"/>
            <w:tcBorders>
              <w:top w:val="nil"/>
              <w:left w:val="single" w:sz="4" w:space="0" w:color="auto"/>
              <w:bottom w:val="single" w:sz="4" w:space="0" w:color="auto"/>
            </w:tcBorders>
            <w:noWrap/>
            <w:hideMark/>
          </w:tcPr>
          <w:p w14:paraId="28D3193D" w14:textId="77777777"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148</w:t>
            </w:r>
          </w:p>
        </w:tc>
        <w:tc>
          <w:tcPr>
            <w:tcW w:w="615" w:type="pct"/>
            <w:tcBorders>
              <w:top w:val="nil"/>
              <w:bottom w:val="single" w:sz="4" w:space="0" w:color="auto"/>
              <w:right w:val="single" w:sz="4" w:space="0" w:color="auto"/>
            </w:tcBorders>
            <w:noWrap/>
            <w:hideMark/>
          </w:tcPr>
          <w:p w14:paraId="457C14DF" w14:textId="6FC6929B"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77.1</w:t>
            </w:r>
            <w:r w:rsidR="002339C4" w:rsidRPr="000D44EC">
              <w:rPr>
                <w:rFonts w:ascii="Times New Roman" w:hAnsi="Times New Roman" w:cs="Times New Roman"/>
              </w:rPr>
              <w:t>%</w:t>
            </w:r>
          </w:p>
        </w:tc>
        <w:tc>
          <w:tcPr>
            <w:tcW w:w="324" w:type="pct"/>
            <w:tcBorders>
              <w:top w:val="nil"/>
              <w:left w:val="single" w:sz="4" w:space="0" w:color="auto"/>
              <w:bottom w:val="single" w:sz="4" w:space="0" w:color="auto"/>
            </w:tcBorders>
            <w:noWrap/>
            <w:hideMark/>
          </w:tcPr>
          <w:p w14:paraId="44399570" w14:textId="77777777"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215</w:t>
            </w:r>
          </w:p>
        </w:tc>
        <w:tc>
          <w:tcPr>
            <w:tcW w:w="463" w:type="pct"/>
            <w:tcBorders>
              <w:top w:val="nil"/>
              <w:bottom w:val="single" w:sz="4" w:space="0" w:color="auto"/>
            </w:tcBorders>
            <w:noWrap/>
            <w:hideMark/>
          </w:tcPr>
          <w:p w14:paraId="7026CF23" w14:textId="1E1F9ADF" w:rsidR="00064BEE" w:rsidRPr="000D44EC" w:rsidRDefault="00064BEE" w:rsidP="009734B6">
            <w:pPr>
              <w:spacing w:after="0"/>
              <w:contextualSpacing/>
              <w:jc w:val="right"/>
              <w:rPr>
                <w:rFonts w:ascii="Times New Roman" w:hAnsi="Times New Roman" w:cs="Times New Roman"/>
              </w:rPr>
            </w:pPr>
            <w:r w:rsidRPr="000D44EC">
              <w:rPr>
                <w:rFonts w:ascii="Times New Roman" w:hAnsi="Times New Roman" w:cs="Times New Roman"/>
              </w:rPr>
              <w:t>56.6%</w:t>
            </w:r>
          </w:p>
        </w:tc>
      </w:tr>
      <w:tr w:rsidR="00105464" w:rsidRPr="000D44EC" w14:paraId="00D24280" w14:textId="77777777" w:rsidTr="00E437E3">
        <w:tblPrEx>
          <w:jc w:val="left"/>
          <w:tblBorders>
            <w:top w:val="none" w:sz="0" w:space="0" w:color="auto"/>
          </w:tblBorders>
        </w:tblPrEx>
        <w:trPr>
          <w:trHeight w:val="20"/>
        </w:trPr>
        <w:tc>
          <w:tcPr>
            <w:tcW w:w="676" w:type="pct"/>
            <w:noWrap/>
            <w:hideMark/>
          </w:tcPr>
          <w:p w14:paraId="386F4E30" w14:textId="011BD755" w:rsidR="00105464" w:rsidRPr="000D44EC" w:rsidRDefault="00105464" w:rsidP="00105464">
            <w:pPr>
              <w:spacing w:after="0"/>
              <w:rPr>
                <w:rFonts w:ascii="Times New Roman" w:hAnsi="Times New Roman" w:cs="Times New Roman"/>
              </w:rPr>
            </w:pPr>
            <w:r w:rsidRPr="000D44EC">
              <w:rPr>
                <w:rFonts w:ascii="Times New Roman" w:hAnsi="Times New Roman" w:cs="Times New Roman"/>
              </w:rPr>
              <w:t>Work</w:t>
            </w:r>
          </w:p>
        </w:tc>
        <w:tc>
          <w:tcPr>
            <w:tcW w:w="1451" w:type="pct"/>
            <w:noWrap/>
            <w:hideMark/>
          </w:tcPr>
          <w:p w14:paraId="21175943" w14:textId="2C1DF297" w:rsidR="00105464" w:rsidRPr="000D44EC" w:rsidRDefault="00105464" w:rsidP="00105464">
            <w:pPr>
              <w:spacing w:after="0"/>
              <w:rPr>
                <w:rFonts w:ascii="Times New Roman" w:hAnsi="Times New Roman" w:cs="Times New Roman"/>
              </w:rPr>
            </w:pPr>
            <w:r w:rsidRPr="000D44EC">
              <w:rPr>
                <w:rFonts w:ascii="Times New Roman" w:hAnsi="Times New Roman" w:cs="Times New Roman"/>
              </w:rPr>
              <w:t>Public sector</w:t>
            </w:r>
          </w:p>
        </w:tc>
        <w:tc>
          <w:tcPr>
            <w:tcW w:w="428" w:type="pct"/>
            <w:noWrap/>
            <w:hideMark/>
          </w:tcPr>
          <w:p w14:paraId="17C82BC5" w14:textId="77777777" w:rsidR="00105464" w:rsidRPr="000D44EC" w:rsidRDefault="00105464" w:rsidP="00105464">
            <w:pPr>
              <w:spacing w:after="0"/>
              <w:jc w:val="right"/>
              <w:rPr>
                <w:rFonts w:ascii="Times New Roman" w:hAnsi="Times New Roman" w:cs="Times New Roman"/>
              </w:rPr>
            </w:pPr>
            <w:r w:rsidRPr="000D44EC">
              <w:rPr>
                <w:rFonts w:ascii="Times New Roman" w:hAnsi="Times New Roman" w:cs="Times New Roman"/>
              </w:rPr>
              <w:t>7</w:t>
            </w:r>
          </w:p>
        </w:tc>
        <w:tc>
          <w:tcPr>
            <w:tcW w:w="615" w:type="pct"/>
            <w:tcBorders>
              <w:right w:val="single" w:sz="4" w:space="0" w:color="auto"/>
            </w:tcBorders>
            <w:noWrap/>
            <w:hideMark/>
          </w:tcPr>
          <w:p w14:paraId="7543E287" w14:textId="77777777" w:rsidR="00105464" w:rsidRPr="000D44EC" w:rsidRDefault="00105464" w:rsidP="00105464">
            <w:pPr>
              <w:spacing w:after="0"/>
              <w:jc w:val="right"/>
              <w:rPr>
                <w:rFonts w:ascii="Times New Roman" w:hAnsi="Times New Roman" w:cs="Times New Roman"/>
              </w:rPr>
            </w:pPr>
            <w:r w:rsidRPr="000D44EC">
              <w:rPr>
                <w:rFonts w:ascii="Times New Roman" w:hAnsi="Times New Roman" w:cs="Times New Roman"/>
              </w:rPr>
              <w:t>10.4%</w:t>
            </w:r>
          </w:p>
        </w:tc>
        <w:tc>
          <w:tcPr>
            <w:tcW w:w="428" w:type="pct"/>
            <w:tcBorders>
              <w:top w:val="single" w:sz="4" w:space="0" w:color="auto"/>
              <w:left w:val="single" w:sz="4" w:space="0" w:color="auto"/>
              <w:bottom w:val="nil"/>
            </w:tcBorders>
            <w:noWrap/>
            <w:hideMark/>
          </w:tcPr>
          <w:p w14:paraId="48565D90" w14:textId="77777777" w:rsidR="00105464" w:rsidRPr="000D44EC" w:rsidRDefault="00105464" w:rsidP="00105464">
            <w:pPr>
              <w:spacing w:after="0"/>
              <w:jc w:val="right"/>
              <w:rPr>
                <w:rFonts w:ascii="Times New Roman" w:hAnsi="Times New Roman" w:cs="Times New Roman"/>
              </w:rPr>
            </w:pPr>
            <w:r w:rsidRPr="000D44EC">
              <w:rPr>
                <w:rFonts w:ascii="Times New Roman" w:hAnsi="Times New Roman" w:cs="Times New Roman"/>
              </w:rPr>
              <w:t>28</w:t>
            </w:r>
          </w:p>
        </w:tc>
        <w:tc>
          <w:tcPr>
            <w:tcW w:w="615" w:type="pct"/>
            <w:tcBorders>
              <w:top w:val="single" w:sz="4" w:space="0" w:color="auto"/>
              <w:bottom w:val="nil"/>
              <w:right w:val="single" w:sz="4" w:space="0" w:color="auto"/>
            </w:tcBorders>
            <w:noWrap/>
            <w:hideMark/>
          </w:tcPr>
          <w:p w14:paraId="3450355B" w14:textId="77777777" w:rsidR="00105464" w:rsidRPr="000D44EC" w:rsidRDefault="00105464" w:rsidP="00105464">
            <w:pPr>
              <w:spacing w:after="0"/>
              <w:jc w:val="right"/>
              <w:rPr>
                <w:rFonts w:ascii="Times New Roman" w:hAnsi="Times New Roman" w:cs="Times New Roman"/>
              </w:rPr>
            </w:pPr>
            <w:r w:rsidRPr="000D44EC">
              <w:rPr>
                <w:rFonts w:ascii="Times New Roman" w:hAnsi="Times New Roman" w:cs="Times New Roman"/>
              </w:rPr>
              <w:t>18.9%</w:t>
            </w:r>
          </w:p>
        </w:tc>
        <w:tc>
          <w:tcPr>
            <w:tcW w:w="324" w:type="pct"/>
            <w:tcBorders>
              <w:left w:val="single" w:sz="4" w:space="0" w:color="auto"/>
            </w:tcBorders>
            <w:noWrap/>
            <w:hideMark/>
          </w:tcPr>
          <w:p w14:paraId="041BA7F3" w14:textId="77777777" w:rsidR="00105464" w:rsidRPr="000D44EC" w:rsidRDefault="00105464" w:rsidP="00105464">
            <w:pPr>
              <w:spacing w:after="0"/>
              <w:jc w:val="right"/>
              <w:rPr>
                <w:rFonts w:ascii="Times New Roman" w:hAnsi="Times New Roman" w:cs="Times New Roman"/>
              </w:rPr>
            </w:pPr>
            <w:r w:rsidRPr="000D44EC">
              <w:rPr>
                <w:rFonts w:ascii="Times New Roman" w:hAnsi="Times New Roman" w:cs="Times New Roman"/>
              </w:rPr>
              <w:t>35</w:t>
            </w:r>
          </w:p>
        </w:tc>
        <w:tc>
          <w:tcPr>
            <w:tcW w:w="463" w:type="pct"/>
            <w:noWrap/>
            <w:hideMark/>
          </w:tcPr>
          <w:p w14:paraId="3406B81F" w14:textId="77777777" w:rsidR="00105464" w:rsidRPr="000D44EC" w:rsidRDefault="00105464" w:rsidP="00105464">
            <w:pPr>
              <w:spacing w:after="0"/>
              <w:jc w:val="right"/>
              <w:rPr>
                <w:rFonts w:ascii="Times New Roman" w:hAnsi="Times New Roman" w:cs="Times New Roman"/>
              </w:rPr>
            </w:pPr>
            <w:r w:rsidRPr="000D44EC">
              <w:rPr>
                <w:rFonts w:ascii="Times New Roman" w:hAnsi="Times New Roman" w:cs="Times New Roman"/>
              </w:rPr>
              <w:t>16.3%</w:t>
            </w:r>
          </w:p>
        </w:tc>
      </w:tr>
      <w:tr w:rsidR="00105464" w:rsidRPr="000D44EC" w14:paraId="402FFECC" w14:textId="77777777" w:rsidTr="00E437E3">
        <w:tblPrEx>
          <w:jc w:val="left"/>
          <w:tblBorders>
            <w:top w:val="none" w:sz="0" w:space="0" w:color="auto"/>
          </w:tblBorders>
        </w:tblPrEx>
        <w:trPr>
          <w:trHeight w:val="20"/>
        </w:trPr>
        <w:tc>
          <w:tcPr>
            <w:tcW w:w="676" w:type="pct"/>
            <w:noWrap/>
            <w:hideMark/>
          </w:tcPr>
          <w:p w14:paraId="1D4DD5AF" w14:textId="0A9896A9" w:rsidR="00105464" w:rsidRPr="000D44EC" w:rsidRDefault="00105464" w:rsidP="00105464">
            <w:pPr>
              <w:spacing w:after="0"/>
              <w:rPr>
                <w:rFonts w:ascii="Times New Roman" w:hAnsi="Times New Roman" w:cs="Times New Roman"/>
              </w:rPr>
            </w:pPr>
          </w:p>
        </w:tc>
        <w:tc>
          <w:tcPr>
            <w:tcW w:w="1451" w:type="pct"/>
            <w:noWrap/>
            <w:hideMark/>
          </w:tcPr>
          <w:p w14:paraId="4E0B625B" w14:textId="0CD43689" w:rsidR="00105464" w:rsidRPr="000D44EC" w:rsidRDefault="00105464" w:rsidP="00105464">
            <w:pPr>
              <w:spacing w:after="0"/>
              <w:rPr>
                <w:rFonts w:ascii="Times New Roman" w:hAnsi="Times New Roman" w:cs="Times New Roman"/>
              </w:rPr>
            </w:pPr>
            <w:r w:rsidRPr="000D44EC">
              <w:rPr>
                <w:rFonts w:ascii="Times New Roman" w:hAnsi="Times New Roman" w:cs="Times New Roman"/>
              </w:rPr>
              <w:t>Private sector</w:t>
            </w:r>
          </w:p>
        </w:tc>
        <w:tc>
          <w:tcPr>
            <w:tcW w:w="428" w:type="pct"/>
            <w:noWrap/>
            <w:hideMark/>
          </w:tcPr>
          <w:p w14:paraId="25C922DA" w14:textId="77777777" w:rsidR="00105464" w:rsidRPr="000D44EC" w:rsidRDefault="00105464" w:rsidP="00105464">
            <w:pPr>
              <w:spacing w:after="0"/>
              <w:jc w:val="right"/>
              <w:rPr>
                <w:rFonts w:ascii="Times New Roman" w:hAnsi="Times New Roman" w:cs="Times New Roman"/>
              </w:rPr>
            </w:pPr>
            <w:r w:rsidRPr="000D44EC">
              <w:rPr>
                <w:rFonts w:ascii="Times New Roman" w:hAnsi="Times New Roman" w:cs="Times New Roman"/>
              </w:rPr>
              <w:t>56</w:t>
            </w:r>
          </w:p>
        </w:tc>
        <w:tc>
          <w:tcPr>
            <w:tcW w:w="615" w:type="pct"/>
            <w:tcBorders>
              <w:right w:val="single" w:sz="4" w:space="0" w:color="auto"/>
            </w:tcBorders>
            <w:noWrap/>
            <w:hideMark/>
          </w:tcPr>
          <w:p w14:paraId="304AC2A3" w14:textId="77777777" w:rsidR="00105464" w:rsidRPr="000D44EC" w:rsidRDefault="00105464" w:rsidP="00105464">
            <w:pPr>
              <w:spacing w:after="0"/>
              <w:jc w:val="right"/>
              <w:rPr>
                <w:rFonts w:ascii="Times New Roman" w:hAnsi="Times New Roman" w:cs="Times New Roman"/>
              </w:rPr>
            </w:pPr>
            <w:r w:rsidRPr="000D44EC">
              <w:rPr>
                <w:rFonts w:ascii="Times New Roman" w:hAnsi="Times New Roman" w:cs="Times New Roman"/>
              </w:rPr>
              <w:t>83.6%</w:t>
            </w:r>
          </w:p>
        </w:tc>
        <w:tc>
          <w:tcPr>
            <w:tcW w:w="428" w:type="pct"/>
            <w:tcBorders>
              <w:left w:val="single" w:sz="4" w:space="0" w:color="auto"/>
              <w:bottom w:val="nil"/>
            </w:tcBorders>
            <w:noWrap/>
            <w:hideMark/>
          </w:tcPr>
          <w:p w14:paraId="3F19BEF5" w14:textId="77777777" w:rsidR="00105464" w:rsidRPr="000D44EC" w:rsidRDefault="00105464" w:rsidP="00105464">
            <w:pPr>
              <w:spacing w:after="0"/>
              <w:jc w:val="right"/>
              <w:rPr>
                <w:rFonts w:ascii="Times New Roman" w:hAnsi="Times New Roman" w:cs="Times New Roman"/>
              </w:rPr>
            </w:pPr>
            <w:r w:rsidRPr="000D44EC">
              <w:rPr>
                <w:rFonts w:ascii="Times New Roman" w:hAnsi="Times New Roman" w:cs="Times New Roman"/>
              </w:rPr>
              <w:t>113</w:t>
            </w:r>
          </w:p>
        </w:tc>
        <w:tc>
          <w:tcPr>
            <w:tcW w:w="615" w:type="pct"/>
            <w:tcBorders>
              <w:bottom w:val="nil"/>
              <w:right w:val="single" w:sz="4" w:space="0" w:color="auto"/>
            </w:tcBorders>
            <w:noWrap/>
            <w:hideMark/>
          </w:tcPr>
          <w:p w14:paraId="59BF8B61" w14:textId="77777777" w:rsidR="00105464" w:rsidRPr="000D44EC" w:rsidRDefault="00105464" w:rsidP="00105464">
            <w:pPr>
              <w:spacing w:after="0"/>
              <w:jc w:val="right"/>
              <w:rPr>
                <w:rFonts w:ascii="Times New Roman" w:hAnsi="Times New Roman" w:cs="Times New Roman"/>
              </w:rPr>
            </w:pPr>
            <w:r w:rsidRPr="000D44EC">
              <w:rPr>
                <w:rFonts w:ascii="Times New Roman" w:hAnsi="Times New Roman" w:cs="Times New Roman"/>
              </w:rPr>
              <w:t>76.4%</w:t>
            </w:r>
          </w:p>
        </w:tc>
        <w:tc>
          <w:tcPr>
            <w:tcW w:w="324" w:type="pct"/>
            <w:tcBorders>
              <w:left w:val="single" w:sz="4" w:space="0" w:color="auto"/>
            </w:tcBorders>
            <w:noWrap/>
            <w:hideMark/>
          </w:tcPr>
          <w:p w14:paraId="2452E1EE" w14:textId="77777777" w:rsidR="00105464" w:rsidRPr="000D44EC" w:rsidRDefault="00105464" w:rsidP="00105464">
            <w:pPr>
              <w:spacing w:after="0"/>
              <w:jc w:val="right"/>
              <w:rPr>
                <w:rFonts w:ascii="Times New Roman" w:hAnsi="Times New Roman" w:cs="Times New Roman"/>
              </w:rPr>
            </w:pPr>
            <w:r w:rsidRPr="000D44EC">
              <w:rPr>
                <w:rFonts w:ascii="Times New Roman" w:hAnsi="Times New Roman" w:cs="Times New Roman"/>
              </w:rPr>
              <w:t>169</w:t>
            </w:r>
          </w:p>
        </w:tc>
        <w:tc>
          <w:tcPr>
            <w:tcW w:w="463" w:type="pct"/>
            <w:noWrap/>
            <w:hideMark/>
          </w:tcPr>
          <w:p w14:paraId="1AB22B33" w14:textId="77777777" w:rsidR="00105464" w:rsidRPr="000D44EC" w:rsidRDefault="00105464" w:rsidP="00105464">
            <w:pPr>
              <w:spacing w:after="0"/>
              <w:jc w:val="right"/>
              <w:rPr>
                <w:rFonts w:ascii="Times New Roman" w:hAnsi="Times New Roman" w:cs="Times New Roman"/>
              </w:rPr>
            </w:pPr>
            <w:r w:rsidRPr="000D44EC">
              <w:rPr>
                <w:rFonts w:ascii="Times New Roman" w:hAnsi="Times New Roman" w:cs="Times New Roman"/>
              </w:rPr>
              <w:t>78.6%</w:t>
            </w:r>
          </w:p>
        </w:tc>
      </w:tr>
      <w:tr w:rsidR="00105464" w:rsidRPr="000D44EC" w14:paraId="2EE13A04" w14:textId="77777777" w:rsidTr="00E437E3">
        <w:tblPrEx>
          <w:jc w:val="left"/>
          <w:tblBorders>
            <w:top w:val="none" w:sz="0" w:space="0" w:color="auto"/>
          </w:tblBorders>
        </w:tblPrEx>
        <w:trPr>
          <w:trHeight w:val="20"/>
        </w:trPr>
        <w:tc>
          <w:tcPr>
            <w:tcW w:w="676" w:type="pct"/>
            <w:noWrap/>
            <w:hideMark/>
          </w:tcPr>
          <w:p w14:paraId="0C4EA597" w14:textId="77777777" w:rsidR="00105464" w:rsidRPr="000D44EC" w:rsidRDefault="00105464" w:rsidP="00105464">
            <w:pPr>
              <w:spacing w:after="0"/>
              <w:rPr>
                <w:rFonts w:ascii="Times New Roman" w:hAnsi="Times New Roman" w:cs="Times New Roman"/>
              </w:rPr>
            </w:pPr>
          </w:p>
        </w:tc>
        <w:tc>
          <w:tcPr>
            <w:tcW w:w="1451" w:type="pct"/>
            <w:noWrap/>
            <w:hideMark/>
          </w:tcPr>
          <w:p w14:paraId="40333E4A" w14:textId="20ED9ED4" w:rsidR="00105464" w:rsidRPr="000D44EC" w:rsidRDefault="00105464" w:rsidP="00105464">
            <w:pPr>
              <w:spacing w:after="0"/>
              <w:rPr>
                <w:rFonts w:ascii="Times New Roman" w:hAnsi="Times New Roman" w:cs="Times New Roman"/>
              </w:rPr>
            </w:pPr>
            <w:r w:rsidRPr="000D44EC">
              <w:rPr>
                <w:rFonts w:ascii="Times New Roman" w:hAnsi="Times New Roman" w:cs="Times New Roman"/>
              </w:rPr>
              <w:t>Both sectors</w:t>
            </w:r>
          </w:p>
        </w:tc>
        <w:tc>
          <w:tcPr>
            <w:tcW w:w="428" w:type="pct"/>
            <w:noWrap/>
            <w:hideMark/>
          </w:tcPr>
          <w:p w14:paraId="08E96BB6" w14:textId="77777777" w:rsidR="00105464" w:rsidRPr="000D44EC" w:rsidRDefault="00105464" w:rsidP="00105464">
            <w:pPr>
              <w:spacing w:after="0"/>
              <w:jc w:val="right"/>
              <w:rPr>
                <w:rFonts w:ascii="Times New Roman" w:hAnsi="Times New Roman" w:cs="Times New Roman"/>
              </w:rPr>
            </w:pPr>
            <w:r w:rsidRPr="000D44EC">
              <w:rPr>
                <w:rFonts w:ascii="Times New Roman" w:hAnsi="Times New Roman" w:cs="Times New Roman"/>
              </w:rPr>
              <w:t>4</w:t>
            </w:r>
          </w:p>
        </w:tc>
        <w:tc>
          <w:tcPr>
            <w:tcW w:w="615" w:type="pct"/>
            <w:tcBorders>
              <w:right w:val="single" w:sz="4" w:space="0" w:color="auto"/>
            </w:tcBorders>
            <w:noWrap/>
            <w:hideMark/>
          </w:tcPr>
          <w:p w14:paraId="7DD5DBE3" w14:textId="247758DA" w:rsidR="00105464" w:rsidRPr="000D44EC" w:rsidRDefault="00484A61" w:rsidP="00105464">
            <w:pPr>
              <w:spacing w:after="0"/>
              <w:jc w:val="right"/>
              <w:rPr>
                <w:rFonts w:ascii="Times New Roman" w:hAnsi="Times New Roman" w:cs="Times New Roman"/>
              </w:rPr>
            </w:pPr>
            <w:r w:rsidRPr="000D44EC">
              <w:rPr>
                <w:rFonts w:ascii="Times New Roman" w:hAnsi="Times New Roman" w:cs="Times New Roman"/>
              </w:rPr>
              <w:t>6</w:t>
            </w:r>
            <w:r w:rsidR="00105464" w:rsidRPr="000D44EC">
              <w:rPr>
                <w:rFonts w:ascii="Times New Roman" w:hAnsi="Times New Roman" w:cs="Times New Roman"/>
              </w:rPr>
              <w:t>%</w:t>
            </w:r>
          </w:p>
        </w:tc>
        <w:tc>
          <w:tcPr>
            <w:tcW w:w="428" w:type="pct"/>
            <w:tcBorders>
              <w:left w:val="single" w:sz="4" w:space="0" w:color="auto"/>
              <w:bottom w:val="single" w:sz="4" w:space="0" w:color="auto"/>
            </w:tcBorders>
            <w:noWrap/>
            <w:hideMark/>
          </w:tcPr>
          <w:p w14:paraId="10618B34" w14:textId="77777777" w:rsidR="00105464" w:rsidRPr="000D44EC" w:rsidRDefault="00105464" w:rsidP="00105464">
            <w:pPr>
              <w:spacing w:after="0"/>
              <w:jc w:val="right"/>
              <w:rPr>
                <w:rFonts w:ascii="Times New Roman" w:hAnsi="Times New Roman" w:cs="Times New Roman"/>
              </w:rPr>
            </w:pPr>
            <w:r w:rsidRPr="000D44EC">
              <w:rPr>
                <w:rFonts w:ascii="Times New Roman" w:hAnsi="Times New Roman" w:cs="Times New Roman"/>
              </w:rPr>
              <w:t>7</w:t>
            </w:r>
          </w:p>
        </w:tc>
        <w:tc>
          <w:tcPr>
            <w:tcW w:w="615" w:type="pct"/>
            <w:tcBorders>
              <w:bottom w:val="single" w:sz="4" w:space="0" w:color="auto"/>
              <w:right w:val="single" w:sz="4" w:space="0" w:color="auto"/>
            </w:tcBorders>
            <w:noWrap/>
            <w:hideMark/>
          </w:tcPr>
          <w:p w14:paraId="0926078F" w14:textId="77777777" w:rsidR="00105464" w:rsidRPr="000D44EC" w:rsidRDefault="00105464" w:rsidP="00105464">
            <w:pPr>
              <w:spacing w:after="0"/>
              <w:jc w:val="right"/>
              <w:rPr>
                <w:rFonts w:ascii="Times New Roman" w:hAnsi="Times New Roman" w:cs="Times New Roman"/>
              </w:rPr>
            </w:pPr>
            <w:r w:rsidRPr="000D44EC">
              <w:rPr>
                <w:rFonts w:ascii="Times New Roman" w:hAnsi="Times New Roman" w:cs="Times New Roman"/>
              </w:rPr>
              <w:t>4.7%</w:t>
            </w:r>
          </w:p>
        </w:tc>
        <w:tc>
          <w:tcPr>
            <w:tcW w:w="324" w:type="pct"/>
            <w:tcBorders>
              <w:left w:val="single" w:sz="4" w:space="0" w:color="auto"/>
            </w:tcBorders>
            <w:noWrap/>
            <w:hideMark/>
          </w:tcPr>
          <w:p w14:paraId="12FCBF3C" w14:textId="77777777" w:rsidR="00105464" w:rsidRPr="000D44EC" w:rsidRDefault="00105464" w:rsidP="00105464">
            <w:pPr>
              <w:spacing w:after="0"/>
              <w:jc w:val="right"/>
              <w:rPr>
                <w:rFonts w:ascii="Times New Roman" w:hAnsi="Times New Roman" w:cs="Times New Roman"/>
              </w:rPr>
            </w:pPr>
            <w:r w:rsidRPr="000D44EC">
              <w:rPr>
                <w:rFonts w:ascii="Times New Roman" w:hAnsi="Times New Roman" w:cs="Times New Roman"/>
              </w:rPr>
              <w:t>11</w:t>
            </w:r>
          </w:p>
        </w:tc>
        <w:tc>
          <w:tcPr>
            <w:tcW w:w="463" w:type="pct"/>
            <w:noWrap/>
            <w:hideMark/>
          </w:tcPr>
          <w:p w14:paraId="054122D0" w14:textId="77777777" w:rsidR="00105464" w:rsidRPr="000D44EC" w:rsidRDefault="00105464" w:rsidP="00105464">
            <w:pPr>
              <w:spacing w:after="0"/>
              <w:jc w:val="right"/>
              <w:rPr>
                <w:rFonts w:ascii="Times New Roman" w:hAnsi="Times New Roman" w:cs="Times New Roman"/>
              </w:rPr>
            </w:pPr>
            <w:r w:rsidRPr="000D44EC">
              <w:rPr>
                <w:rFonts w:ascii="Times New Roman" w:hAnsi="Times New Roman" w:cs="Times New Roman"/>
              </w:rPr>
              <w:t>5.1%</w:t>
            </w:r>
          </w:p>
        </w:tc>
      </w:tr>
    </w:tbl>
    <w:p w14:paraId="22C0C61D" w14:textId="77777777" w:rsidR="00105464" w:rsidRPr="000D44EC" w:rsidRDefault="00105464" w:rsidP="00637729">
      <w:pPr>
        <w:spacing w:after="0"/>
        <w:rPr>
          <w:rFonts w:ascii="Times New Roman" w:hAnsi="Times New Roman" w:cs="Times New Roman"/>
        </w:rPr>
      </w:pPr>
    </w:p>
    <w:p w14:paraId="36A029F3" w14:textId="77777777" w:rsidR="00064BEE" w:rsidRPr="000D44EC" w:rsidRDefault="00064BEE" w:rsidP="00637729">
      <w:pPr>
        <w:spacing w:after="0"/>
        <w:rPr>
          <w:rFonts w:ascii="Times New Roman" w:hAnsi="Times New Roman" w:cs="Times New Roman"/>
        </w:rPr>
      </w:pPr>
    </w:p>
    <w:p w14:paraId="3D4220E4" w14:textId="490FE676" w:rsidR="00C6139F" w:rsidRPr="000D44EC" w:rsidRDefault="00887A08" w:rsidP="00C6139F">
      <w:pPr>
        <w:rPr>
          <w:rFonts w:ascii="Times New Roman" w:hAnsi="Times New Roman" w:cs="Times New Roman"/>
        </w:rPr>
      </w:pPr>
      <w:r w:rsidRPr="000D44EC">
        <w:rPr>
          <w:rFonts w:ascii="Times New Roman" w:hAnsi="Times New Roman" w:cs="Times New Roman"/>
        </w:rPr>
        <w:t>PLS-SEM was used t</w:t>
      </w:r>
      <w:r w:rsidR="00C6139F" w:rsidRPr="000D44EC">
        <w:rPr>
          <w:rFonts w:ascii="Times New Roman" w:hAnsi="Times New Roman" w:cs="Times New Roman"/>
        </w:rPr>
        <w:t>o evaluate the variance of the internal cause of the constructs based on the</w:t>
      </w:r>
      <w:r w:rsidRPr="000D44EC">
        <w:rPr>
          <w:rFonts w:ascii="Times New Roman" w:hAnsi="Times New Roman" w:cs="Times New Roman"/>
        </w:rPr>
        <w:t xml:space="preserve"> proposed</w:t>
      </w:r>
      <w:r w:rsidR="00C6139F" w:rsidRPr="000D44EC">
        <w:rPr>
          <w:rFonts w:ascii="Times New Roman" w:hAnsi="Times New Roman" w:cs="Times New Roman"/>
        </w:rPr>
        <w:t xml:space="preserve"> theoretical model and their corresponding manifest variables in turn </w:t>
      </w:r>
      <w:r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{"citationItems":[{"id":"ITEM-1","itemData":{"ISBN":"978-1483377445","abstract":"With applications using SmartPLS—the primary software used in partial least squares structural equation modeling (PLS-SEM)—this practical guide provides concise instructions on how to use this evolving statistical technique to conduct research and obtain solutions. Featuring the latest research, new examples, and expanded discussions throughout, the Second Edition is designed to be easily understood by those with limited statistical and mathematical training who want to pursue research opportunities in new ways.","author":[{"dropping-particle":"","family":"Hair","given":"Joseph F.","non-dropping-particle":"","parse-names":false,"suffix":""},{"dropping-particle":"","family":"Hult","given":"G. Tomas M.","non-dropping-particle":"","parse-names":false,"suffix":""},{"dropping-particle":"","family":"Ringle","given":"Christian M.","non-dropping-particle":"","parse-names":false,"suffix":""},{"dropping-particle":"","family":"Sarstedt","given":"Marko","non-dropping-particle":"","parse-names":false,"suffix":""}],"edition":"2","id":"ITEM-1","issued":{"date-parts":[["2017"]]},"number-of-pages":"390","publisher":"Sage","publisher-place":"Los Angelos","title":"A Primer on Partial Least Squares Structural Equation Modeling","type":"book"},"uris":["http://www.mendeley.com/documents/?uuid=884a33e2-8dec-3c09-ad42-f7c5b91004ab","http://www.mendeley.com/documents/?uuid=50629a36-2748-4c4e-9ed6-23a69c07b35b"]}],"mendeley":{"formattedCitation":"(Hair, Hult, Ringle, &amp; Sarstedt, 2017)","plainTextFormattedCitation":"(Hair, Hult, Ringle, &amp; Sarstedt, 2017)","previouslyFormattedCitation":"(Hair, Hult, Ringle, &amp; Sarstedt, 2017)"},"properties":{"noteIndex":0},"schema":"https://github.com/citation-style-language/schema/raw/master/csl-citation.json"}</w:instrText>
      </w:r>
      <w:r w:rsidRPr="000D44EC">
        <w:rPr>
          <w:rFonts w:ascii="Times New Roman" w:hAnsi="Times New Roman" w:cs="Times New Roman"/>
        </w:rPr>
        <w:fldChar w:fldCharType="separate"/>
      </w:r>
      <w:r w:rsidR="0056686A" w:rsidRPr="0056686A">
        <w:rPr>
          <w:rFonts w:ascii="Times New Roman" w:hAnsi="Times New Roman" w:cs="Times New Roman"/>
          <w:noProof/>
        </w:rPr>
        <w:t>(Hair, Hult, Ringle, &amp; Sarstedt, 2017)</w:t>
      </w:r>
      <w:r w:rsidRPr="000D44EC">
        <w:rPr>
          <w:rFonts w:ascii="Times New Roman" w:hAnsi="Times New Roman" w:cs="Times New Roman"/>
        </w:rPr>
        <w:fldChar w:fldCharType="end"/>
      </w:r>
      <w:r w:rsidR="00C6139F" w:rsidRPr="000D44EC">
        <w:rPr>
          <w:rFonts w:ascii="Times New Roman" w:hAnsi="Times New Roman" w:cs="Times New Roman"/>
        </w:rPr>
        <w:t xml:space="preserve">. </w:t>
      </w:r>
      <w:r w:rsidR="003D5C5C" w:rsidRPr="000D44EC">
        <w:rPr>
          <w:rFonts w:ascii="Times New Roman" w:hAnsi="Times New Roman" w:cs="Times New Roman"/>
        </w:rPr>
        <w:t xml:space="preserve">PLS-SEM was employed because </w:t>
      </w:r>
      <w:r w:rsidR="00127495" w:rsidRPr="000D44EC">
        <w:rPr>
          <w:rFonts w:ascii="Times New Roman" w:hAnsi="Times New Roman" w:cs="Times New Roman"/>
        </w:rPr>
        <w:t xml:space="preserve">constructs </w:t>
      </w:r>
      <w:r w:rsidR="003D5C5C" w:rsidRPr="000D44EC">
        <w:rPr>
          <w:rFonts w:ascii="Times New Roman" w:hAnsi="Times New Roman" w:cs="Times New Roman"/>
        </w:rPr>
        <w:t xml:space="preserve">are not </w:t>
      </w:r>
      <w:r w:rsidR="00127495" w:rsidRPr="000D44EC">
        <w:rPr>
          <w:rFonts w:ascii="Times New Roman" w:hAnsi="Times New Roman" w:cs="Times New Roman"/>
        </w:rPr>
        <w:t>normally</w:t>
      </w:r>
      <w:r w:rsidR="003D5C5C" w:rsidRPr="000D44EC">
        <w:rPr>
          <w:rFonts w:ascii="Times New Roman" w:hAnsi="Times New Roman" w:cs="Times New Roman"/>
        </w:rPr>
        <w:t xml:space="preserve"> </w:t>
      </w:r>
      <w:r w:rsidR="00127495" w:rsidRPr="000D44EC">
        <w:rPr>
          <w:rFonts w:ascii="Times New Roman" w:hAnsi="Times New Roman" w:cs="Times New Roman"/>
        </w:rPr>
        <w:t xml:space="preserve">distributed and the current research requires latent variable scores for follow-up analyses </w:t>
      </w:r>
      <w:r w:rsidR="00127495"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{"citationItems":[{"id":"ITEM-1","itemData":{"DOI":"10.1108/EBR-11-2018-0203","ISSN":"0955534X","abstract":"Purpose – The purpose of this paper is to provide a comprehensive, yet concise, overview of the considerations and metrics required for partial least squares structural equation modeling (PLS-SEM) analysis and result reporting. Preliminary considerations are summarized first, including reasons for choosing PLS-SEM, recommended sample size in selected contexts, distributional assumptions, use of secondary data, statistical power and the need for goodness-of-fit testing. Next, the metrics as well as the rules of thumb that should be applied to assess the PLS-SEM results are covered. Besides presenting established PLS-SEM evaluation criteria, the overview includes the following new guidelines: PLSpredict (i.e., a novel approach for assessing a model’s out-of-sample prediction), metrics for model comparisons, and several complementary methods for checking the results’ robustness. Design/methodology/approach – This paper provides an overview of previously and recently proposed metrics as well as rules of thumb for evaluating the research results based on the application of PLS-SEM. Findings – Most of the previously applied metrics for evaluating PLS-SEM results are still relevant. Nevertheless, scholars need to be knowledgeable about recently proposed metrics (e.g. model comparison criteria) and methods (e.g. endogeneity assessment, latent class analysis and PLSpredict), and when and how to apply them to extend their analyses. Research limitations/implications – Methodological developments associated with PLS-SEM are rapidly emerging. The metrics reported in this paper are useful for current applications, but must always be up to date with the latest developments in the PLS-SEM method. Originality/value – In light of more recent research and methodological developments in the PLS-SEM domain, guidelines for the method’s use need to be continuously extended and updated. This paper is the most current and comprehensive summary of the PLS-SEM method and the metrics applied to assess its solutions.","author":[{"dropping-particle":"","family":"Hair","given":"Joseph F.","non-dropping-particle":"","parse-names":false,"suffix":""},{"dropping-particle":"","family":"Risher","given":"Jeffrey J.","non-dropping-particle":"","parse-names":false,"suffix":""},{"dropping-particle":"","family":"Sarstedt","given":"Marko","non-dropping-particle":"","parse-names":false,"suffix":""},{"dropping-particle":"","family":"Ringle","given":"Christian M.","non-dropping-particle":"","parse-names":false,"suffix":""}],"container-title":"European Business Review","id":"ITEM-1","issue":"1","issued":{"date-parts":[["2019"]]},"page":"2-24","title":"When to use and how to report the results of PLS-SEM","type":"article-journal","volume":"31"},"uris":["http://www.mendeley.com/documents/?uuid=eb3f5a0e-b87d-3860-9ffd-467bff1880f6","http://www.mendeley.com/documents/?uuid=1c7bcfb4-fc5a-4954-9593-592c33e0e323"]}],"mendeley":{"formattedCitation":"(Hair, Risher, Sarstedt, &amp; Ringle, 2019)","plainTextFormattedCitation":"(Hair, Risher, Sarstedt, &amp; Ringle, 2019)","previouslyFormattedCitation":"(Hair, Risher, Sarstedt, &amp; Ringle, 2019)"},"properties":{"noteIndex":0},"schema":"https://github.com/citation-style-language/schema/raw/master/csl-citation.json"}</w:instrText>
      </w:r>
      <w:r w:rsidR="00127495" w:rsidRPr="000D44EC">
        <w:rPr>
          <w:rFonts w:ascii="Times New Roman" w:hAnsi="Times New Roman" w:cs="Times New Roman"/>
        </w:rPr>
        <w:fldChar w:fldCharType="separate"/>
      </w:r>
      <w:r w:rsidR="0056686A" w:rsidRPr="0056686A">
        <w:rPr>
          <w:rFonts w:ascii="Times New Roman" w:hAnsi="Times New Roman" w:cs="Times New Roman"/>
          <w:noProof/>
        </w:rPr>
        <w:t>(Hair, Risher, Sarstedt, &amp; Ringle, 2019)</w:t>
      </w:r>
      <w:r w:rsidR="00127495" w:rsidRPr="000D44EC">
        <w:rPr>
          <w:rFonts w:ascii="Times New Roman" w:hAnsi="Times New Roman" w:cs="Times New Roman"/>
        </w:rPr>
        <w:fldChar w:fldCharType="end"/>
      </w:r>
      <w:r w:rsidR="00127495" w:rsidRPr="000D44EC">
        <w:rPr>
          <w:rFonts w:ascii="Times New Roman" w:hAnsi="Times New Roman" w:cs="Times New Roman"/>
        </w:rPr>
        <w:t>.</w:t>
      </w:r>
      <w:r w:rsidR="003D5C5C" w:rsidRPr="000D44EC">
        <w:rPr>
          <w:rFonts w:ascii="Times New Roman" w:hAnsi="Times New Roman" w:cs="Times New Roman"/>
        </w:rPr>
        <w:t xml:space="preserve"> </w:t>
      </w:r>
      <w:r w:rsidR="00D75BB4" w:rsidRPr="000D44EC">
        <w:rPr>
          <w:rFonts w:ascii="Times New Roman" w:hAnsi="Times New Roman" w:cs="Times New Roman"/>
        </w:rPr>
        <w:t xml:space="preserve">In addition, PLS performs </w:t>
      </w:r>
      <w:r w:rsidR="00610E0F" w:rsidRPr="00610E0F">
        <w:rPr>
          <w:rFonts w:ascii="Times New Roman" w:hAnsi="Times New Roman" w:cs="Times New Roman"/>
        </w:rPr>
        <w:t>convenient</w:t>
      </w:r>
      <w:r w:rsidR="00D75BB4" w:rsidRPr="000D44EC">
        <w:rPr>
          <w:rFonts w:ascii="Times New Roman" w:hAnsi="Times New Roman" w:cs="Times New Roman"/>
        </w:rPr>
        <w:t xml:space="preserve"> method in testing mediation effects because it provides an indication of relationship that is similar to the traditional regression coefficients. </w:t>
      </w:r>
      <w:r w:rsidR="005465F4" w:rsidRPr="000D44EC">
        <w:rPr>
          <w:rFonts w:ascii="Times New Roman" w:hAnsi="Times New Roman" w:cs="Times New Roman"/>
        </w:rPr>
        <w:t xml:space="preserve">All constructs in the current study </w:t>
      </w:r>
      <w:r w:rsidR="00B011FD" w:rsidRPr="000D44EC">
        <w:rPr>
          <w:rFonts w:ascii="Times New Roman" w:hAnsi="Times New Roman" w:cs="Times New Roman"/>
        </w:rPr>
        <w:t xml:space="preserve">were modelled as </w:t>
      </w:r>
      <w:r w:rsidR="005465F4" w:rsidRPr="000D44EC">
        <w:rPr>
          <w:rFonts w:ascii="Times New Roman" w:hAnsi="Times New Roman" w:cs="Times New Roman"/>
        </w:rPr>
        <w:t>reflective</w:t>
      </w:r>
      <w:r w:rsidR="00B011FD" w:rsidRPr="000D44EC">
        <w:rPr>
          <w:rFonts w:ascii="Times New Roman" w:hAnsi="Times New Roman" w:cs="Times New Roman"/>
        </w:rPr>
        <w:t xml:space="preserve"> indicators</w:t>
      </w:r>
      <w:r w:rsidR="005465F4" w:rsidRPr="000D44EC">
        <w:rPr>
          <w:rFonts w:ascii="Times New Roman" w:hAnsi="Times New Roman" w:cs="Times New Roman"/>
        </w:rPr>
        <w:t xml:space="preserve">. </w:t>
      </w:r>
      <w:r w:rsidRPr="000D44EC">
        <w:rPr>
          <w:rFonts w:ascii="Times New Roman" w:hAnsi="Times New Roman" w:cs="Times New Roman"/>
        </w:rPr>
        <w:t xml:space="preserve">PLS-SEM was run </w:t>
      </w:r>
      <w:r w:rsidR="002F2F7E" w:rsidRPr="000D44EC">
        <w:rPr>
          <w:rFonts w:ascii="Times New Roman" w:hAnsi="Times New Roman" w:cs="Times New Roman"/>
        </w:rPr>
        <w:t xml:space="preserve">through </w:t>
      </w:r>
      <w:r w:rsidRPr="000D44EC">
        <w:rPr>
          <w:rFonts w:ascii="Times New Roman" w:hAnsi="Times New Roman" w:cs="Times New Roman"/>
        </w:rPr>
        <w:t>SmartPLS 3.0</w:t>
      </w:r>
      <w:r w:rsidR="005465F4" w:rsidRPr="000D44EC">
        <w:rPr>
          <w:rFonts w:ascii="Times New Roman" w:hAnsi="Times New Roman" w:cs="Times New Roman"/>
        </w:rPr>
        <w:t xml:space="preserve"> </w:t>
      </w:r>
      <w:r w:rsidR="005616E3" w:rsidRPr="000D44EC">
        <w:rPr>
          <w:rFonts w:ascii="Times New Roman" w:hAnsi="Times New Roman" w:cs="Times New Roman"/>
        </w:rPr>
        <w:t xml:space="preserve">computer </w:t>
      </w:r>
      <w:r w:rsidR="005465F4" w:rsidRPr="000D44EC">
        <w:rPr>
          <w:rFonts w:ascii="Times New Roman" w:hAnsi="Times New Roman" w:cs="Times New Roman"/>
        </w:rPr>
        <w:t>software</w:t>
      </w:r>
      <w:r w:rsidRPr="000D44EC">
        <w:rPr>
          <w:rFonts w:ascii="Times New Roman" w:hAnsi="Times New Roman" w:cs="Times New Roman"/>
        </w:rPr>
        <w:t xml:space="preserve"> </w:t>
      </w:r>
      <w:r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{"citationItems":[{"id":"ITEM-1","itemData":{"author":[{"dropping-particle":"","family":"Ringle","given":"C. M.","non-dropping-particle":"","parse-names":false,"suffix":""},{"dropping-particle":"","family":"Wende","given":"S.","non-dropping-particle":"","parse-names":false,"suffix":""},{"dropping-particle":"","family":"Becker","given":"J.-M.","non-dropping-particle":"","parse-names":false,"suffix":""}],"id":"ITEM-1","issued":{"date-parts":[["2015"]]},"number":"3.0","publisher":"SmartPLS GmbH","publisher-place":"Boenningstedt","title":"SmartPLS","type":"article"},"uris":["http://www.mendeley.com/documents/?uuid=bd1ff807-1e57-4b2a-860d-f7e5d8b39478","http://www.mendeley.com/documents/?uuid=4e9ef288-da4b-4890-92fb-ae878749cbc8"]}],"mendeley":{"formattedCitation":"(Ringle, Wende, &amp; Becker, 2015)","plainTextFormattedCitation":"(Ringle, Wende, &amp; Becker, 2015)","previouslyFormattedCitation":"(Ringle, Wende, &amp; Becker, 2015)"},"properties":{"noteIndex":0},"schema":"https://github.com/citation-style-language/schema/raw/master/csl-citation.json"}</w:instrText>
      </w:r>
      <w:r w:rsidRPr="000D44EC">
        <w:rPr>
          <w:rFonts w:ascii="Times New Roman" w:hAnsi="Times New Roman" w:cs="Times New Roman"/>
        </w:rPr>
        <w:fldChar w:fldCharType="separate"/>
      </w:r>
      <w:r w:rsidR="0056686A" w:rsidRPr="0056686A">
        <w:rPr>
          <w:rFonts w:ascii="Times New Roman" w:hAnsi="Times New Roman" w:cs="Times New Roman"/>
          <w:noProof/>
        </w:rPr>
        <w:t>(Ringle, Wende, &amp; Becker, 2015)</w:t>
      </w:r>
      <w:r w:rsidRPr="000D44EC">
        <w:rPr>
          <w:rFonts w:ascii="Times New Roman" w:hAnsi="Times New Roman" w:cs="Times New Roman"/>
        </w:rPr>
        <w:fldChar w:fldCharType="end"/>
      </w:r>
      <w:r w:rsidRPr="000D44EC">
        <w:rPr>
          <w:rFonts w:ascii="Times New Roman" w:hAnsi="Times New Roman" w:cs="Times New Roman"/>
        </w:rPr>
        <w:t xml:space="preserve">. </w:t>
      </w:r>
      <w:r w:rsidR="00C6139F" w:rsidRPr="000D44EC">
        <w:rPr>
          <w:rFonts w:ascii="Times New Roman" w:hAnsi="Times New Roman" w:cs="Times New Roman"/>
        </w:rPr>
        <w:t>Firstly, the structural model was designed to assist in order to define the variables and their relationship. Secondly, the measurement model of the constructs were calculated initially to define the reliability, validity</w:t>
      </w:r>
      <w:r w:rsidR="00C6139F" w:rsidRPr="000D44EC">
        <w:rPr>
          <w:rFonts w:ascii="Times New Roman" w:hAnsi="Times New Roman" w:cs="Times New Roman"/>
          <w:b/>
          <w:bCs/>
        </w:rPr>
        <w:t xml:space="preserve"> </w:t>
      </w:r>
      <w:r w:rsidR="00C6139F" w:rsidRPr="000D44EC">
        <w:rPr>
          <w:rFonts w:ascii="Times New Roman" w:hAnsi="Times New Roman" w:cs="Times New Roman"/>
        </w:rPr>
        <w:t xml:space="preserve">and discriminant validity to </w:t>
      </w:r>
      <w:r w:rsidR="00D75BB4" w:rsidRPr="000D44EC">
        <w:rPr>
          <w:rFonts w:ascii="Times New Roman" w:hAnsi="Times New Roman" w:cs="Times New Roman"/>
        </w:rPr>
        <w:t>follow up</w:t>
      </w:r>
      <w:r w:rsidR="00C6139F" w:rsidRPr="000D44EC">
        <w:rPr>
          <w:rFonts w:ascii="Times New Roman" w:hAnsi="Times New Roman" w:cs="Times New Roman"/>
        </w:rPr>
        <w:t xml:space="preserve"> with the demonstration of the relationships between the constructs </w:t>
      </w:r>
      <w:r w:rsidR="00C6139F"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{"citationItems":[{"id":"ITEM-1","itemData":{"ISBN":"978-1483377445","abstract":"With applications using SmartPLS—the primary software used in partial least squares structural equation modeling (PLS-SEM)—this practical guide provides concise instructions on how to use this evolving statistical technique to conduct research and obtain solutions. Featuring the latest research, new examples, and expanded discussions throughout, the Second Edition is designed to be easily understood by those with limited statistical and mathematical training who want to pursue research opportunities in new ways.","author":[{"dropping-particle":"","family":"Hair","given":"Joseph F.","non-dropping-particle":"","parse-names":false,"suffix":""},{"dropping-particle":"","family":"Hult","given":"G. Tomas M.","non-dropping-particle":"","parse-names":false,"suffix":""},{"dropping-particle":"","family":"Ringle","given":"Christian M.","non-dropping-particle":"","parse-names":false,"suffix":""},{"dropping-particle":"","family":"Sarstedt","given":"Marko","non-dropping-particle":"","parse-names":false,"suffix":""}],"edition":"2","id":"ITEM-1","issued":{"date-parts":[["2017"]]},"number-of-pages":"390","publisher":"Sage","publisher-place":"Los Angelos","title":"A Primer on Partial Least Squares Structural Equation Modeling","type":"book"},"uris":["http://www.mendeley.com/documents/?uuid=50629a36-2748-4c4e-9ed6-23a69c07b35b","http://www.mendeley.com/documents/?uuid=884a33e2-8dec-3c09-ad42-f7c5b91004ab"]}],"mendeley":{"formattedCitation":"(Hair et al., 2017)","plainTextFormattedCitation":"(Hair et al., 2017)","previouslyFormattedCitation":"(Hair et al., 2017)"},"properties":{"noteIndex":0},"schema":"https://github.com/citation-style-language/schema/raw/master/csl-citation.json"}</w:instrText>
      </w:r>
      <w:r w:rsidR="00C6139F" w:rsidRPr="000D44EC">
        <w:rPr>
          <w:rFonts w:ascii="Times New Roman" w:hAnsi="Times New Roman" w:cs="Times New Roman"/>
        </w:rPr>
        <w:fldChar w:fldCharType="separate"/>
      </w:r>
      <w:r w:rsidR="003418EE" w:rsidRPr="0056686A">
        <w:rPr>
          <w:rFonts w:ascii="Times New Roman" w:hAnsi="Times New Roman" w:cs="Times New Roman"/>
          <w:noProof/>
        </w:rPr>
        <w:t>(Hair et al., 2017)</w:t>
      </w:r>
      <w:r w:rsidR="00C6139F" w:rsidRPr="000D44EC">
        <w:rPr>
          <w:rFonts w:ascii="Times New Roman" w:hAnsi="Times New Roman" w:cs="Times New Roman"/>
        </w:rPr>
        <w:fldChar w:fldCharType="end"/>
      </w:r>
      <w:r w:rsidR="00C6139F" w:rsidRPr="000D44EC">
        <w:rPr>
          <w:rFonts w:ascii="Times New Roman" w:hAnsi="Times New Roman" w:cs="Times New Roman"/>
        </w:rPr>
        <w:t>.</w:t>
      </w:r>
      <w:r w:rsidR="003D5C5C" w:rsidRPr="000D44EC">
        <w:rPr>
          <w:rFonts w:ascii="Times New Roman" w:hAnsi="Times New Roman" w:cs="Times New Roman"/>
        </w:rPr>
        <w:t xml:space="preserve"> </w:t>
      </w:r>
      <w:r w:rsidR="00382EF2" w:rsidRPr="000D44EC">
        <w:rPr>
          <w:rFonts w:ascii="Times New Roman" w:hAnsi="Times New Roman" w:cs="Times New Roman"/>
        </w:rPr>
        <w:t>To identify the significance of these relationships the standardized paths</w:t>
      </w:r>
      <w:r w:rsidR="00C158BA" w:rsidRPr="000D44EC">
        <w:rPr>
          <w:rFonts w:ascii="Times New Roman" w:hAnsi="Times New Roman" w:cs="Times New Roman"/>
        </w:rPr>
        <w:t xml:space="preserve"> were examined</w:t>
      </w:r>
      <w:r w:rsidR="00382EF2" w:rsidRPr="000D44EC">
        <w:rPr>
          <w:rFonts w:ascii="Times New Roman" w:hAnsi="Times New Roman" w:cs="Times New Roman"/>
        </w:rPr>
        <w:t>. The</w:t>
      </w:r>
      <w:r w:rsidR="00C158BA" w:rsidRPr="000D44EC">
        <w:rPr>
          <w:rFonts w:ascii="Times New Roman" w:hAnsi="Times New Roman" w:cs="Times New Roman"/>
        </w:rPr>
        <w:t>se</w:t>
      </w:r>
      <w:r w:rsidR="00382EF2" w:rsidRPr="000D44EC">
        <w:rPr>
          <w:rFonts w:ascii="Times New Roman" w:hAnsi="Times New Roman" w:cs="Times New Roman"/>
        </w:rPr>
        <w:t xml:space="preserve"> </w:t>
      </w:r>
      <w:r w:rsidR="00C158BA" w:rsidRPr="000D44EC">
        <w:rPr>
          <w:rFonts w:ascii="Times New Roman" w:hAnsi="Times New Roman" w:cs="Times New Roman"/>
        </w:rPr>
        <w:t xml:space="preserve">paths </w:t>
      </w:r>
      <w:r w:rsidR="00382EF2" w:rsidRPr="000D44EC">
        <w:rPr>
          <w:rFonts w:ascii="Times New Roman" w:hAnsi="Times New Roman" w:cs="Times New Roman"/>
        </w:rPr>
        <w:t xml:space="preserve">were </w:t>
      </w:r>
      <w:r w:rsidR="00C158BA" w:rsidRPr="000D44EC">
        <w:rPr>
          <w:rFonts w:ascii="Times New Roman" w:hAnsi="Times New Roman" w:cs="Times New Roman"/>
        </w:rPr>
        <w:t>calculated</w:t>
      </w:r>
      <w:r w:rsidR="00382EF2" w:rsidRPr="000D44EC">
        <w:rPr>
          <w:rFonts w:ascii="Times New Roman" w:hAnsi="Times New Roman" w:cs="Times New Roman"/>
        </w:rPr>
        <w:t xml:space="preserve"> using the bootstrap </w:t>
      </w:r>
      <w:r w:rsidR="00C158BA" w:rsidRPr="000D44EC">
        <w:rPr>
          <w:rFonts w:ascii="Times New Roman" w:hAnsi="Times New Roman" w:cs="Times New Roman"/>
        </w:rPr>
        <w:t>procedure, with 1</w:t>
      </w:r>
      <w:r w:rsidR="00382EF2" w:rsidRPr="000D44EC">
        <w:rPr>
          <w:rFonts w:ascii="Times New Roman" w:hAnsi="Times New Roman" w:cs="Times New Roman"/>
        </w:rPr>
        <w:t>0</w:t>
      </w:r>
      <w:r w:rsidR="00C158BA" w:rsidRPr="000D44EC">
        <w:rPr>
          <w:rFonts w:ascii="Times New Roman" w:hAnsi="Times New Roman" w:cs="Times New Roman"/>
        </w:rPr>
        <w:t>0</w:t>
      </w:r>
      <w:r w:rsidR="00382EF2" w:rsidRPr="000D44EC">
        <w:rPr>
          <w:rFonts w:ascii="Times New Roman" w:hAnsi="Times New Roman" w:cs="Times New Roman"/>
        </w:rPr>
        <w:t>0 iterations of resampling.</w:t>
      </w:r>
    </w:p>
    <w:p w14:paraId="310B77AD" w14:textId="1E9E2127" w:rsidR="001C178D" w:rsidRPr="000D44EC" w:rsidRDefault="00BA090E" w:rsidP="009A62E6">
      <w:pPr>
        <w:pStyle w:val="Nadpis1"/>
        <w:rPr>
          <w:rFonts w:cs="Times New Roman"/>
        </w:rPr>
      </w:pPr>
      <w:r>
        <w:rPr>
          <w:rFonts w:cs="Times New Roman"/>
        </w:rPr>
        <w:t xml:space="preserve">Findings </w:t>
      </w:r>
    </w:p>
    <w:p w14:paraId="4606E339" w14:textId="375BCBB7" w:rsidR="00637729" w:rsidRPr="000D44EC" w:rsidRDefault="00DC3893" w:rsidP="00497830">
      <w:pPr>
        <w:keepNext/>
        <w:rPr>
          <w:rFonts w:ascii="Times New Roman" w:hAnsi="Times New Roman" w:cs="Times New Roman"/>
        </w:rPr>
      </w:pPr>
      <w:r w:rsidRPr="000D44EC">
        <w:rPr>
          <w:rFonts w:ascii="Times New Roman" w:hAnsi="Times New Roman" w:cs="Times New Roman"/>
          <w:i/>
        </w:rPr>
        <w:t>Measurement model</w:t>
      </w:r>
    </w:p>
    <w:p w14:paraId="0DD48E21" w14:textId="512B9114" w:rsidR="00277C59" w:rsidRPr="000D44EC" w:rsidRDefault="00476C7A" w:rsidP="00FC58E2">
      <w:pPr>
        <w:rPr>
          <w:rFonts w:ascii="Times New Roman" w:hAnsi="Times New Roman" w:cs="Times New Roman"/>
        </w:rPr>
      </w:pPr>
      <w:r w:rsidRPr="000D44EC">
        <w:rPr>
          <w:rFonts w:ascii="Times New Roman" w:hAnsi="Times New Roman" w:cs="Times New Roman"/>
        </w:rPr>
        <w:t>Before testing the proposed theoretical model</w:t>
      </w:r>
      <w:r w:rsidR="00326402" w:rsidRPr="000D44EC">
        <w:rPr>
          <w:rFonts w:ascii="Times New Roman" w:hAnsi="Times New Roman" w:cs="Times New Roman"/>
        </w:rPr>
        <w:t>,</w:t>
      </w:r>
      <w:r w:rsidR="00610E0F">
        <w:rPr>
          <w:rFonts w:ascii="Times New Roman" w:hAnsi="Times New Roman" w:cs="Times New Roman"/>
        </w:rPr>
        <w:t xml:space="preserve"> the</w:t>
      </w:r>
      <w:r w:rsidR="00326402" w:rsidRPr="000D44EC">
        <w:rPr>
          <w:rFonts w:ascii="Times New Roman" w:hAnsi="Times New Roman" w:cs="Times New Roman"/>
        </w:rPr>
        <w:t xml:space="preserve"> preliminary analys</w:t>
      </w:r>
      <w:r w:rsidR="00D75BB4" w:rsidRPr="000D44EC">
        <w:rPr>
          <w:rFonts w:ascii="Times New Roman" w:hAnsi="Times New Roman" w:cs="Times New Roman"/>
        </w:rPr>
        <w:t>e</w:t>
      </w:r>
      <w:r w:rsidR="00326402" w:rsidRPr="000D44EC">
        <w:rPr>
          <w:rFonts w:ascii="Times New Roman" w:hAnsi="Times New Roman" w:cs="Times New Roman"/>
        </w:rPr>
        <w:t xml:space="preserve">s </w:t>
      </w:r>
      <w:r w:rsidR="00610E0F">
        <w:rPr>
          <w:rFonts w:ascii="Times New Roman" w:hAnsi="Times New Roman" w:cs="Times New Roman"/>
        </w:rPr>
        <w:t>has been followed</w:t>
      </w:r>
      <w:r w:rsidR="00326402" w:rsidRPr="000D44EC">
        <w:rPr>
          <w:rFonts w:ascii="Times New Roman" w:hAnsi="Times New Roman" w:cs="Times New Roman"/>
        </w:rPr>
        <w:t>.</w:t>
      </w:r>
      <w:r w:rsidRPr="000D44EC">
        <w:rPr>
          <w:rFonts w:ascii="Times New Roman" w:hAnsi="Times New Roman" w:cs="Times New Roman"/>
        </w:rPr>
        <w:t xml:space="preserve"> </w:t>
      </w:r>
      <w:r w:rsidR="00277C59" w:rsidRPr="000D44EC">
        <w:rPr>
          <w:rFonts w:ascii="Times New Roman" w:hAnsi="Times New Roman" w:cs="Times New Roman"/>
        </w:rPr>
        <w:t xml:space="preserve">In this section are presented the core </w:t>
      </w:r>
      <w:r w:rsidR="00A35EC2" w:rsidRPr="000D44EC">
        <w:rPr>
          <w:rFonts w:ascii="Times New Roman" w:hAnsi="Times New Roman" w:cs="Times New Roman"/>
        </w:rPr>
        <w:t xml:space="preserve">PLS-SEM </w:t>
      </w:r>
      <w:r w:rsidR="00277C59" w:rsidRPr="000D44EC">
        <w:rPr>
          <w:rFonts w:ascii="Times New Roman" w:hAnsi="Times New Roman" w:cs="Times New Roman"/>
        </w:rPr>
        <w:t xml:space="preserve">assumptions </w:t>
      </w:r>
      <w:r w:rsidR="00A35EC2" w:rsidRPr="000D44EC">
        <w:rPr>
          <w:rFonts w:ascii="Times New Roman" w:hAnsi="Times New Roman" w:cs="Times New Roman"/>
        </w:rPr>
        <w:t xml:space="preserve">dealing with </w:t>
      </w:r>
      <w:r w:rsidR="005D217C" w:rsidRPr="000D44EC">
        <w:rPr>
          <w:rFonts w:ascii="Times New Roman" w:hAnsi="Times New Roman" w:cs="Times New Roman"/>
        </w:rPr>
        <w:t xml:space="preserve">collinearity, </w:t>
      </w:r>
      <w:r w:rsidR="00D75BB4" w:rsidRPr="000D44EC">
        <w:rPr>
          <w:rFonts w:ascii="Times New Roman" w:hAnsi="Times New Roman" w:cs="Times New Roman"/>
        </w:rPr>
        <w:t>item loading, reliability</w:t>
      </w:r>
      <w:r w:rsidR="00A35EC2" w:rsidRPr="000D44EC">
        <w:rPr>
          <w:rFonts w:ascii="Times New Roman" w:hAnsi="Times New Roman" w:cs="Times New Roman"/>
        </w:rPr>
        <w:t xml:space="preserve"> </w:t>
      </w:r>
      <w:r w:rsidRPr="000D44EC">
        <w:rPr>
          <w:rFonts w:ascii="Times New Roman" w:hAnsi="Times New Roman" w:cs="Times New Roman"/>
        </w:rPr>
        <w:t xml:space="preserve">and discriminant validity among constructs. </w:t>
      </w:r>
    </w:p>
    <w:p w14:paraId="45329753" w14:textId="1CC54284" w:rsidR="005616E3" w:rsidRPr="000D44EC" w:rsidRDefault="005D217C" w:rsidP="00FC58E2">
      <w:pPr>
        <w:rPr>
          <w:rFonts w:ascii="Times New Roman" w:hAnsi="Times New Roman" w:cs="Times New Roman"/>
        </w:rPr>
      </w:pPr>
      <w:r w:rsidRPr="000D44EC">
        <w:rPr>
          <w:rFonts w:ascii="Times New Roman" w:hAnsi="Times New Roman" w:cs="Times New Roman"/>
        </w:rPr>
        <w:t xml:space="preserve">Initially </w:t>
      </w:r>
      <w:r w:rsidR="005616E3" w:rsidRPr="000D44EC">
        <w:rPr>
          <w:rFonts w:ascii="Times New Roman" w:hAnsi="Times New Roman" w:cs="Times New Roman"/>
        </w:rPr>
        <w:t xml:space="preserve">all items per each construct </w:t>
      </w:r>
      <w:r w:rsidRPr="000D44EC">
        <w:rPr>
          <w:rFonts w:ascii="Times New Roman" w:hAnsi="Times New Roman" w:cs="Times New Roman"/>
        </w:rPr>
        <w:t xml:space="preserve">in Table 2 were included in the analysis. Based on variance inflation factor (VIF) </w:t>
      </w:r>
      <w:r w:rsidR="00CB679F" w:rsidRPr="000D44EC">
        <w:rPr>
          <w:rFonts w:ascii="Times New Roman" w:hAnsi="Times New Roman" w:cs="Times New Roman"/>
        </w:rPr>
        <w:t xml:space="preserve">the </w:t>
      </w:r>
      <w:r w:rsidRPr="000D44EC">
        <w:rPr>
          <w:rFonts w:ascii="Times New Roman" w:hAnsi="Times New Roman" w:cs="Times New Roman"/>
        </w:rPr>
        <w:t>first item of IR construct was removed, because it exceeded the threshold of 5</w:t>
      </w:r>
      <w:r w:rsidR="007703E2" w:rsidRPr="000D44EC">
        <w:rPr>
          <w:rFonts w:ascii="Times New Roman" w:hAnsi="Times New Roman" w:cs="Times New Roman"/>
        </w:rPr>
        <w:t xml:space="preserve"> </w:t>
      </w:r>
      <w:r w:rsidR="007703E2"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{"citationItems":[{"id":"ITEM-1","itemData":{"DOI":"10.1108/EBR-11-2018-0203","ISSN":"0955534X","abstract":"Purpose – The purpose of this paper is to provide a comprehensive, yet concise, overview of the considerations and metrics required for partial least squares structural equation modeling (PLS-SEM) analysis and result reporting. Preliminary considerations are summarized first, including reasons for choosing PLS-SEM, recommended sample size in selected contexts, distributional assumptions, use of secondary data, statistical power and the need for goodness-of-fit testing. Next, the metrics as well as the rules of thumb that should be applied to assess the PLS-SEM results are covered. Besides presenting established PLS-SEM evaluation criteria, the overview includes the following new guidelines: PLSpredict (i.e., a novel approach for assessing a model’s out-of-sample prediction), metrics for model comparisons, and several complementary methods for checking the results’ robustness. Design/methodology/approach – This paper provides an overview of previously and recently proposed metrics as well as rules of thumb for evaluating the research results based on the application of PLS-SEM. Findings – Most of the previously applied metrics for evaluating PLS-SEM results are still relevant. Nevertheless, scholars need to be knowledgeable about recently proposed metrics (e.g. model comparison criteria) and methods (e.g. endogeneity assessment, latent class analysis and PLSpredict), and when and how to apply them to extend their analyses. Research limitations/implications – Methodological developments associated with PLS-SEM are rapidly emerging. The metrics reported in this paper are useful for current applications, but must always be up to date with the latest developments in the PLS-SEM method. Originality/value – In light of more recent research and methodological developments in the PLS-SEM domain, guidelines for the method’s use need to be continuously extended and updated. This paper is the most current and comprehensive summary of the PLS-SEM method and the metrics applied to assess its solutions.","author":[{"dropping-particle":"","family":"Hair","given":"Joseph F.","non-dropping-particle":"","parse-names":false,"suffix":""},{"dropping-particle":"","family":"Risher","given":"Jeffrey J.","non-dropping-particle":"","parse-names":false,"suffix":""},{"dropping-particle":"","family":"Sarstedt","given":"Marko","non-dropping-particle":"","parse-names":false,"suffix":""},{"dropping-particle":"","family":"Ringle","given":"Christian M.","non-dropping-particle":"","parse-names":false,"suffix":""}],"container-title":"European Business Review","id":"ITEM-1","issue":"1","issued":{"date-parts":[["2019"]]},"page":"2-24","title":"When to use and how to report the results of PLS-SEM","type":"article-journal","volume":"31"},"uris":["http://www.mendeley.com/documents/?uuid=1c7bcfb4-fc5a-4954-9593-592c33e0e323","http://www.mendeley.com/documents/?uuid=eb3f5a0e-b87d-3860-9ffd-467bff1880f6"]}],"mendeley":{"formattedCitation":"(Hair et al., 2019)","plainTextFormattedCitation":"(Hair et al., 2019)","previouslyFormattedCitation":"(Hair et al., 2019)"},"properties":{"noteIndex":0},"schema":"https://github.com/citation-style-language/schema/raw/master/csl-citation.json"}</w:instrText>
      </w:r>
      <w:r w:rsidR="007703E2" w:rsidRPr="000D44EC">
        <w:rPr>
          <w:rFonts w:ascii="Times New Roman" w:hAnsi="Times New Roman" w:cs="Times New Roman"/>
        </w:rPr>
        <w:fldChar w:fldCharType="separate"/>
      </w:r>
      <w:r w:rsidR="003418EE" w:rsidRPr="0056686A">
        <w:rPr>
          <w:rFonts w:ascii="Times New Roman" w:hAnsi="Times New Roman" w:cs="Times New Roman"/>
          <w:noProof/>
        </w:rPr>
        <w:t>(Hair et al., 2019)</w:t>
      </w:r>
      <w:r w:rsidR="007703E2" w:rsidRPr="000D44EC">
        <w:rPr>
          <w:rFonts w:ascii="Times New Roman" w:hAnsi="Times New Roman" w:cs="Times New Roman"/>
        </w:rPr>
        <w:fldChar w:fldCharType="end"/>
      </w:r>
      <w:r w:rsidRPr="000D44EC">
        <w:rPr>
          <w:rFonts w:ascii="Times New Roman" w:hAnsi="Times New Roman" w:cs="Times New Roman"/>
        </w:rPr>
        <w:t>.</w:t>
      </w:r>
      <w:r w:rsidR="007703E2" w:rsidRPr="000D44EC">
        <w:rPr>
          <w:rFonts w:ascii="Times New Roman" w:hAnsi="Times New Roman" w:cs="Times New Roman"/>
        </w:rPr>
        <w:t xml:space="preserve"> Besides HB1, HB2, HB4, IR2, IR4 which </w:t>
      </w:r>
      <w:r w:rsidR="00007F51" w:rsidRPr="000D44EC">
        <w:rPr>
          <w:rFonts w:ascii="Times New Roman" w:hAnsi="Times New Roman" w:cs="Times New Roman"/>
        </w:rPr>
        <w:t>had</w:t>
      </w:r>
      <w:r w:rsidR="007703E2" w:rsidRPr="000D44EC">
        <w:rPr>
          <w:rFonts w:ascii="Times New Roman" w:hAnsi="Times New Roman" w:cs="Times New Roman"/>
        </w:rPr>
        <w:t xml:space="preserve"> a slightly higher </w:t>
      </w:r>
      <w:r w:rsidR="005616E3" w:rsidRPr="000D44EC">
        <w:rPr>
          <w:rFonts w:ascii="Times New Roman" w:hAnsi="Times New Roman" w:cs="Times New Roman"/>
        </w:rPr>
        <w:t xml:space="preserve">VIF </w:t>
      </w:r>
      <w:r w:rsidR="007703E2" w:rsidRPr="000D44EC">
        <w:rPr>
          <w:rFonts w:ascii="Times New Roman" w:hAnsi="Times New Roman" w:cs="Times New Roman"/>
        </w:rPr>
        <w:t>value tha</w:t>
      </w:r>
      <w:r w:rsidR="00CB679F" w:rsidRPr="000D44EC">
        <w:rPr>
          <w:rFonts w:ascii="Times New Roman" w:hAnsi="Times New Roman" w:cs="Times New Roman"/>
        </w:rPr>
        <w:t>n</w:t>
      </w:r>
      <w:r w:rsidR="007703E2" w:rsidRPr="000D44EC">
        <w:rPr>
          <w:rFonts w:ascii="Times New Roman" w:hAnsi="Times New Roman" w:cs="Times New Roman"/>
        </w:rPr>
        <w:t xml:space="preserve"> 3, </w:t>
      </w:r>
      <w:r w:rsidR="00610E0F" w:rsidRPr="00610E0F">
        <w:rPr>
          <w:rFonts w:ascii="Times New Roman" w:hAnsi="Times New Roman" w:cs="Times New Roman"/>
        </w:rPr>
        <w:t>the ensuing</w:t>
      </w:r>
      <w:r w:rsidR="00610E0F">
        <w:rPr>
          <w:rFonts w:ascii="Times New Roman" w:hAnsi="Times New Roman" w:cs="Times New Roman"/>
        </w:rPr>
        <w:t xml:space="preserve"> indicators fulfilled the</w:t>
      </w:r>
      <w:r w:rsidR="007703E2" w:rsidRPr="000D44EC">
        <w:rPr>
          <w:rFonts w:ascii="Times New Roman" w:hAnsi="Times New Roman" w:cs="Times New Roman"/>
        </w:rPr>
        <w:t xml:space="preserve"> conservative threshold.</w:t>
      </w:r>
      <w:r w:rsidRPr="000D44EC">
        <w:rPr>
          <w:rFonts w:ascii="Times New Roman" w:hAnsi="Times New Roman" w:cs="Times New Roman"/>
        </w:rPr>
        <w:t xml:space="preserve"> </w:t>
      </w:r>
      <w:r w:rsidR="007703E2" w:rsidRPr="000D44EC">
        <w:rPr>
          <w:rFonts w:ascii="Times New Roman" w:hAnsi="Times New Roman" w:cs="Times New Roman"/>
        </w:rPr>
        <w:t xml:space="preserve">The indicators were not removed </w:t>
      </w:r>
      <w:r w:rsidR="002C56C9">
        <w:rPr>
          <w:rFonts w:ascii="Times New Roman" w:hAnsi="Times New Roman" w:cs="Times New Roman"/>
        </w:rPr>
        <w:t xml:space="preserve">due to the </w:t>
      </w:r>
      <w:r w:rsidR="000140EA" w:rsidRPr="000D44EC">
        <w:rPr>
          <w:rFonts w:ascii="Times New Roman" w:hAnsi="Times New Roman" w:cs="Times New Roman"/>
        </w:rPr>
        <w:t xml:space="preserve">essential </w:t>
      </w:r>
      <w:r w:rsidR="002C56C9">
        <w:rPr>
          <w:rFonts w:ascii="Times New Roman" w:hAnsi="Times New Roman" w:cs="Times New Roman"/>
        </w:rPr>
        <w:t xml:space="preserve">role within </w:t>
      </w:r>
      <w:r w:rsidR="000140EA" w:rsidRPr="000D44EC">
        <w:rPr>
          <w:rFonts w:ascii="Times New Roman" w:hAnsi="Times New Roman" w:cs="Times New Roman"/>
        </w:rPr>
        <w:t xml:space="preserve">the construct </w:t>
      </w:r>
      <w:r w:rsidR="00797F23"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{"citationItems":[{"id":"ITEM-1","itemData":{"DOI":"10.1108/EBR-11-2018-0203","ISSN":"0955534X","abstract":"Purpose – The purpose of this paper is to provide a comprehensive, yet concise, overview of the considerations and metrics required for partial least squares structural equation modeling (PLS-SEM) analysis and result reporting. Preliminary considerations are summarized first, including reasons for choosing PLS-SEM, recommended sample size in selected contexts, distributional assumptions, use of secondary data, statistical power and the need for goodness-of-fit testing. Next, the metrics as well as the rules of thumb that should be applied to assess the PLS-SEM results are covered. Besides presenting established PLS-SEM evaluation criteria, the overview includes the following new guidelines: PLSpredict (i.e., a novel approach for assessing a model’s out-of-sample prediction), metrics for model comparisons, and several complementary methods for checking the results’ robustness. Design/methodology/approach – This paper provides an overview of previously and recently proposed metrics as well as rules of thumb for evaluating the research results based on the application of PLS-SEM. Findings – Most of the previously applied metrics for evaluating PLS-SEM results are still relevant. Nevertheless, scholars need to be knowledgeable about recently proposed metrics (e.g. model comparison criteria) and methods (e.g. endogeneity assessment, latent class analysis and PLSpredict), and when and how to apply them to extend their analyses. Research limitations/implications – Methodological developments associated with PLS-SEM are rapidly emerging. The metrics reported in this paper are useful for current applications, but must always be up to date with the latest developments in the PLS-SEM method. Originality/value – In light of more recent research and methodological developments in the PLS-SEM domain, guidelines for the method’s use need to be continuously extended and updated. This paper is the most current and comprehensive summary of the PLS-SEM method and the metrics applied to assess its solutions.","author":[{"dropping-particle":"","family":"Hair","given":"Joseph F.","non-dropping-particle":"","parse-names":false,"suffix":""},{"dropping-particle":"","family":"Risher","given":"Jeffrey J.","non-dropping-particle":"","parse-names":false,"suffix":""},{"dropping-particle":"","family":"Sarstedt","given":"Marko","non-dropping-particle":"","parse-names":false,"suffix":""},{"dropping-particle":"","family":"Ringle","given":"Christian M.","non-dropping-particle":"","parse-names":false,"suffix":""}],"container-title":"European Business Review","id":"ITEM-1","issue":"1","issued":{"date-parts":[["2019"]]},"page":"2-24","title":"When to use and how to report the results of PLS-SEM","type":"article-journal","volume":"31"},"uris":["http://www.mendeley.com/documents/?uuid=1c7bcfb4-fc5a-4954-9593-592c33e0e323","http://www.mendeley.com/documents/?uuid=eb3f5a0e-b87d-3860-9ffd-467bff1880f6"]}],"mendeley":{"formattedCitation":"(Hair et al., 2019)","plainTextFormattedCitation":"(Hair et al., 2019)","previouslyFormattedCitation":"(Hair et al., 2019)"},"properties":{"noteIndex":0},"schema":"https://github.com/citation-style-language/schema/raw/master/csl-citation.json"}</w:instrText>
      </w:r>
      <w:r w:rsidR="00797F23" w:rsidRPr="000D44EC">
        <w:rPr>
          <w:rFonts w:ascii="Times New Roman" w:hAnsi="Times New Roman" w:cs="Times New Roman"/>
        </w:rPr>
        <w:fldChar w:fldCharType="separate"/>
      </w:r>
      <w:r w:rsidR="003418EE" w:rsidRPr="0056686A">
        <w:rPr>
          <w:rFonts w:ascii="Times New Roman" w:hAnsi="Times New Roman" w:cs="Times New Roman"/>
          <w:noProof/>
        </w:rPr>
        <w:t>(Hair et al., 2019)</w:t>
      </w:r>
      <w:r w:rsidR="00797F23" w:rsidRPr="000D44EC">
        <w:rPr>
          <w:rFonts w:ascii="Times New Roman" w:hAnsi="Times New Roman" w:cs="Times New Roman"/>
        </w:rPr>
        <w:fldChar w:fldCharType="end"/>
      </w:r>
      <w:r w:rsidR="007703E2" w:rsidRPr="000D44EC">
        <w:rPr>
          <w:rFonts w:ascii="Times New Roman" w:hAnsi="Times New Roman" w:cs="Times New Roman"/>
        </w:rPr>
        <w:t xml:space="preserve">. </w:t>
      </w:r>
    </w:p>
    <w:p w14:paraId="663CEA63" w14:textId="587613A4" w:rsidR="00415DF4" w:rsidRPr="000D44EC" w:rsidRDefault="003A3EA3" w:rsidP="00FC58E2">
      <w:pPr>
        <w:rPr>
          <w:rFonts w:ascii="Times New Roman" w:hAnsi="Times New Roman" w:cs="Times New Roman"/>
        </w:rPr>
      </w:pPr>
      <w:r w:rsidRPr="000D44EC">
        <w:rPr>
          <w:rFonts w:ascii="Times New Roman" w:hAnsi="Times New Roman" w:cs="Times New Roman"/>
        </w:rPr>
        <w:t xml:space="preserve">In Table </w:t>
      </w:r>
      <w:r w:rsidR="00326402" w:rsidRPr="000D44EC">
        <w:rPr>
          <w:rFonts w:ascii="Times New Roman" w:hAnsi="Times New Roman" w:cs="Times New Roman"/>
        </w:rPr>
        <w:t>2</w:t>
      </w:r>
      <w:r w:rsidRPr="000D44EC">
        <w:rPr>
          <w:rFonts w:ascii="Times New Roman" w:hAnsi="Times New Roman" w:cs="Times New Roman"/>
        </w:rPr>
        <w:t xml:space="preserve"> are presented the item loading</w:t>
      </w:r>
      <w:r w:rsidR="00CB679F" w:rsidRPr="000D44EC">
        <w:rPr>
          <w:rFonts w:ascii="Times New Roman" w:hAnsi="Times New Roman" w:cs="Times New Roman"/>
        </w:rPr>
        <w:t>s</w:t>
      </w:r>
      <w:r w:rsidRPr="000D44EC">
        <w:rPr>
          <w:rFonts w:ascii="Times New Roman" w:hAnsi="Times New Roman" w:cs="Times New Roman"/>
        </w:rPr>
        <w:t>, the Cronbach’s alpha</w:t>
      </w:r>
      <w:r w:rsidR="00326402" w:rsidRPr="000D44EC">
        <w:rPr>
          <w:rFonts w:ascii="Times New Roman" w:hAnsi="Times New Roman" w:cs="Times New Roman"/>
        </w:rPr>
        <w:t xml:space="preserve"> (CA)</w:t>
      </w:r>
      <w:r w:rsidRPr="000D44EC">
        <w:rPr>
          <w:rFonts w:ascii="Times New Roman" w:hAnsi="Times New Roman" w:cs="Times New Roman"/>
        </w:rPr>
        <w:t xml:space="preserve">, composite reliability </w:t>
      </w:r>
      <w:r w:rsidR="00326402" w:rsidRPr="000D44EC">
        <w:rPr>
          <w:rFonts w:ascii="Times New Roman" w:hAnsi="Times New Roman" w:cs="Times New Roman"/>
        </w:rPr>
        <w:t xml:space="preserve">(CR) </w:t>
      </w:r>
      <w:r w:rsidRPr="000D44EC">
        <w:rPr>
          <w:rFonts w:ascii="Times New Roman" w:hAnsi="Times New Roman" w:cs="Times New Roman"/>
        </w:rPr>
        <w:t>and</w:t>
      </w:r>
      <w:r w:rsidR="00EF72DC" w:rsidRPr="000D44EC">
        <w:rPr>
          <w:rFonts w:ascii="Times New Roman" w:hAnsi="Times New Roman" w:cs="Times New Roman"/>
        </w:rPr>
        <w:t xml:space="preserve"> the</w:t>
      </w:r>
      <w:r w:rsidRPr="000D44EC">
        <w:rPr>
          <w:rFonts w:ascii="Times New Roman" w:hAnsi="Times New Roman" w:cs="Times New Roman"/>
        </w:rPr>
        <w:t xml:space="preserve"> average variance extracted (AVE)</w:t>
      </w:r>
      <w:r w:rsidR="00CB679F" w:rsidRPr="000D44EC">
        <w:rPr>
          <w:rFonts w:ascii="Times New Roman" w:hAnsi="Times New Roman" w:cs="Times New Roman"/>
        </w:rPr>
        <w:t xml:space="preserve"> values</w:t>
      </w:r>
      <w:r w:rsidRPr="000D44EC">
        <w:rPr>
          <w:rFonts w:ascii="Times New Roman" w:hAnsi="Times New Roman" w:cs="Times New Roman"/>
        </w:rPr>
        <w:t xml:space="preserve">. </w:t>
      </w:r>
      <w:r w:rsidR="00326402" w:rsidRPr="000D44EC">
        <w:rPr>
          <w:rFonts w:ascii="Times New Roman" w:hAnsi="Times New Roman" w:cs="Times New Roman"/>
        </w:rPr>
        <w:t>The lowest item loading (SI2</w:t>
      </w:r>
      <w:r w:rsidR="00CB679F" w:rsidRPr="000D44EC">
        <w:rPr>
          <w:rFonts w:ascii="Times New Roman" w:hAnsi="Times New Roman" w:cs="Times New Roman"/>
        </w:rPr>
        <w:t xml:space="preserve"> </w:t>
      </w:r>
      <w:r w:rsidR="00326402" w:rsidRPr="000D44EC">
        <w:rPr>
          <w:rFonts w:ascii="Times New Roman" w:hAnsi="Times New Roman" w:cs="Times New Roman"/>
        </w:rPr>
        <w:t>=</w:t>
      </w:r>
      <w:r w:rsidR="00CB679F" w:rsidRPr="000D44EC">
        <w:rPr>
          <w:rFonts w:ascii="Times New Roman" w:hAnsi="Times New Roman" w:cs="Times New Roman"/>
        </w:rPr>
        <w:t xml:space="preserve"> </w:t>
      </w:r>
      <w:r w:rsidR="00326402" w:rsidRPr="000D44EC">
        <w:rPr>
          <w:rFonts w:ascii="Times New Roman" w:hAnsi="Times New Roman" w:cs="Times New Roman"/>
        </w:rPr>
        <w:t xml:space="preserve">0.715) is slightly higher than the minimum required value of 0.708 </w:t>
      </w:r>
      <w:r w:rsidR="00326402"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{"citationItems":[{"id":"ITEM-1","itemData":{"DOI":"10.1108/EBR-11-2018-0203","ISSN":"0955534X","abstract":"Purpose – The purpose of this paper is to provide a comprehensive, yet concise, overview of the considerations and metrics required for partial least squares structural equation modeling (PLS-SEM) analysis and result reporting. Preliminary considerations are summarized first, including reasons for choosing PLS-SEM, recommended sample size in selected contexts, distributional assumptions, use of secondary data, statistical power and the need for goodness-of-fit testing. Next, the metrics as well as the rules of thumb that should be applied to assess the PLS-SEM results are covered. Besides presenting established PLS-SEM evaluation criteria, the overview includes the following new guidelines: PLSpredict (i.e., a novel approach for assessing a model’s out-of-sample prediction), metrics for model comparisons, and several complementary methods for checking the results’ robustness. Design/methodology/approach – This paper provides an overview of previously and recently proposed metrics as well as rules of thumb for evaluating the research results based on the application of PLS-SEM. Findings – Most of the previously applied metrics for evaluating PLS-SEM results are still relevant. Nevertheless, scholars need to be knowledgeable about recently proposed metrics (e.g. model comparison criteria) and methods (e.g. endogeneity assessment, latent class analysis and PLSpredict), and when and how to apply them to extend their analyses. Research limitations/implications – Methodological developments associated with PLS-SEM are rapidly emerging. The metrics reported in this paper are useful for current applications, but must always be up to date with the latest developments in the PLS-SEM method. Originality/value – In light of more recent research and methodological developments in the PLS-SEM domain, guidelines for the method’s use need to be continuously extended and updated. This paper is the most current and comprehensive summary of the PLS-SEM method and the metrics applied to assess its solutions.","author":[{"dropping-particle":"","family":"Hair","given":"Joseph F.","non-dropping-particle":"","parse-names":false,"suffix":""},{"dropping-particle":"","family":"Risher","given":"Jeffrey J.","non-dropping-particle":"","parse-names":false,"suffix":""},{"dropping-particle":"","family":"Sarstedt","given":"Marko","non-dropping-particle":"","parse-names":false,"suffix":""},{"dropping-particle":"","family":"Ringle","given":"Christian M.","non-dropping-particle":"","parse-names":false,"suffix":""}],"container-title":"European Business Review","id":"ITEM-1","issue":"1","issued":{"date-parts":[["2019"]]},"page":"2-24","title":"When to use and how to report the results of PLS-SEM","type":"article-journal","volume":"31"},"uris":["http://www.mendeley.com/documents/?uuid=1c7bcfb4-fc5a-4954-9593-592c33e0e323","http://www.mendeley.com/documents/?uuid=eb3f5a0e-b87d-3860-9ffd-467bff1880f6"]}],"mendeley":{"formattedCitation":"(Hair et al., 2019)","plainTextFormattedCitation":"(Hair et al., 2019)","previouslyFormattedCitation":"(Hair et al., 2019)"},"properties":{"noteIndex":0},"schema":"https://github.com/citation-style-language/schema/raw/master/csl-citation.json"}</w:instrText>
      </w:r>
      <w:r w:rsidR="00326402" w:rsidRPr="000D44EC">
        <w:rPr>
          <w:rFonts w:ascii="Times New Roman" w:hAnsi="Times New Roman" w:cs="Times New Roman"/>
        </w:rPr>
        <w:fldChar w:fldCharType="separate"/>
      </w:r>
      <w:r w:rsidR="003418EE" w:rsidRPr="0056686A">
        <w:rPr>
          <w:rFonts w:ascii="Times New Roman" w:hAnsi="Times New Roman" w:cs="Times New Roman"/>
          <w:noProof/>
        </w:rPr>
        <w:t>(Hair et al., 2019)</w:t>
      </w:r>
      <w:r w:rsidR="00326402" w:rsidRPr="000D44EC">
        <w:rPr>
          <w:rFonts w:ascii="Times New Roman" w:hAnsi="Times New Roman" w:cs="Times New Roman"/>
        </w:rPr>
        <w:fldChar w:fldCharType="end"/>
      </w:r>
      <w:r w:rsidR="00326402" w:rsidRPr="000D44EC">
        <w:rPr>
          <w:rFonts w:ascii="Times New Roman" w:hAnsi="Times New Roman" w:cs="Times New Roman"/>
        </w:rPr>
        <w:t xml:space="preserve">. </w:t>
      </w:r>
      <w:r w:rsidR="002C56C9">
        <w:rPr>
          <w:rFonts w:ascii="Times New Roman" w:hAnsi="Times New Roman" w:cs="Times New Roman"/>
        </w:rPr>
        <w:t>The</w:t>
      </w:r>
      <w:r w:rsidRPr="000D44EC">
        <w:rPr>
          <w:rFonts w:ascii="Times New Roman" w:hAnsi="Times New Roman" w:cs="Times New Roman"/>
        </w:rPr>
        <w:t xml:space="preserve"> </w:t>
      </w:r>
      <w:r w:rsidR="00326402" w:rsidRPr="000D44EC">
        <w:rPr>
          <w:rFonts w:ascii="Times New Roman" w:hAnsi="Times New Roman" w:cs="Times New Roman"/>
        </w:rPr>
        <w:t>CA coefficients</w:t>
      </w:r>
      <w:r w:rsidRPr="000D44EC">
        <w:rPr>
          <w:rFonts w:ascii="Times New Roman" w:hAnsi="Times New Roman" w:cs="Times New Roman"/>
        </w:rPr>
        <w:t xml:space="preserve"> are </w:t>
      </w:r>
      <w:r w:rsidR="00EF72DC" w:rsidRPr="000D44EC">
        <w:rPr>
          <w:rFonts w:ascii="Times New Roman" w:hAnsi="Times New Roman" w:cs="Times New Roman"/>
        </w:rPr>
        <w:t xml:space="preserve">in the range of </w:t>
      </w:r>
      <w:r w:rsidR="00326402" w:rsidRPr="000D44EC">
        <w:rPr>
          <w:rFonts w:ascii="Times New Roman" w:hAnsi="Times New Roman" w:cs="Times New Roman"/>
        </w:rPr>
        <w:t>0.75</w:t>
      </w:r>
      <w:r w:rsidR="00EF72DC" w:rsidRPr="000D44EC">
        <w:rPr>
          <w:rFonts w:ascii="Times New Roman" w:hAnsi="Times New Roman" w:cs="Times New Roman"/>
        </w:rPr>
        <w:t xml:space="preserve"> to </w:t>
      </w:r>
      <w:r w:rsidR="00326402" w:rsidRPr="000D44EC">
        <w:rPr>
          <w:rFonts w:ascii="Times New Roman" w:hAnsi="Times New Roman" w:cs="Times New Roman"/>
        </w:rPr>
        <w:t>0.92</w:t>
      </w:r>
      <w:r w:rsidR="00D401F9" w:rsidRPr="000D44EC">
        <w:rPr>
          <w:rFonts w:ascii="Times New Roman" w:hAnsi="Times New Roman" w:cs="Times New Roman"/>
        </w:rPr>
        <w:t xml:space="preserve">, whereas CR </w:t>
      </w:r>
      <w:r w:rsidR="005616E3" w:rsidRPr="000D44EC">
        <w:rPr>
          <w:rFonts w:ascii="Times New Roman" w:hAnsi="Times New Roman" w:cs="Times New Roman"/>
        </w:rPr>
        <w:t>value</w:t>
      </w:r>
      <w:r w:rsidR="00D401F9" w:rsidRPr="000D44EC">
        <w:rPr>
          <w:rFonts w:ascii="Times New Roman" w:hAnsi="Times New Roman" w:cs="Times New Roman"/>
        </w:rPr>
        <w:t xml:space="preserve"> ranges from 0.84 to 0.95,</w:t>
      </w:r>
      <w:r w:rsidR="00EF72DC" w:rsidRPr="000D44EC">
        <w:rPr>
          <w:rFonts w:ascii="Times New Roman" w:hAnsi="Times New Roman" w:cs="Times New Roman"/>
        </w:rPr>
        <w:t xml:space="preserve"> which </w:t>
      </w:r>
      <w:r w:rsidR="00D401F9" w:rsidRPr="000D44EC">
        <w:rPr>
          <w:rFonts w:ascii="Times New Roman" w:hAnsi="Times New Roman" w:cs="Times New Roman"/>
        </w:rPr>
        <w:t>meet</w:t>
      </w:r>
      <w:r w:rsidR="005616E3" w:rsidRPr="000D44EC">
        <w:rPr>
          <w:rFonts w:ascii="Times New Roman" w:hAnsi="Times New Roman" w:cs="Times New Roman"/>
        </w:rPr>
        <w:t>s</w:t>
      </w:r>
      <w:r w:rsidR="00D401F9" w:rsidRPr="000D44EC">
        <w:rPr>
          <w:rFonts w:ascii="Times New Roman" w:hAnsi="Times New Roman" w:cs="Times New Roman"/>
        </w:rPr>
        <w:t xml:space="preserve"> the Hair et al.’s </w:t>
      </w:r>
      <w:r w:rsidR="00D401F9"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{"citationItems":[{"id":"ITEM-1","itemData":{"DOI":"10.1108/EBR-11-2018-0203","ISSN":"0955534X","abstract":"Purpose – The purpose of this paper is to provide a comprehensive, yet concise, overview of the considerations and metrics required for partial least squares structural equation modeling (PLS-SEM) analysis and result reporting. Preliminary considerations are summarized first, including reasons for choosing PLS-SEM, recommended sample size in selected contexts, distributional assumptions, use of secondary data, statistical power and the need for goodness-of-fit testing. Next, the metrics as well as the rules of thumb that should be applied to assess the PLS-SEM results are covered. Besides presenting established PLS-SEM evaluation criteria, the overview includes the following new guidelines: PLSpredict (i.e., a novel approach for assessing a model’s out-of-sample prediction), metrics for model comparisons, and several complementary methods for checking the results’ robustness. Design/methodology/approach – This paper provides an overview of previously and recently proposed metrics as well as rules of thumb for evaluating the research results based on the application of PLS-SEM. Findings – Most of the previously applied metrics for evaluating PLS-SEM results are still relevant. Nevertheless, scholars need to be knowledgeable about recently proposed metrics (e.g. model comparison criteria) and methods (e.g. endogeneity assessment, latent class analysis and PLSpredict), and when and how to apply them to extend their analyses. Research limitations/implications – Methodological developments associated with PLS-SEM are rapidly emerging. The metrics reported in this paper are useful for current applications, but must always be up to date with the latest developments in the PLS-SEM method. Originality/value – In light of more recent research and methodological developments in the PLS-SEM domain, guidelines for the method’s use need to be continuously extended and updated. This paper is the most current and comprehensive summary of the PLS-SEM method and the metrics applied to assess its solutions.","author":[{"dropping-particle":"","family":"Hair","given":"Joseph F.","non-dropping-particle":"","parse-names":false,"suffix":""},{"dropping-particle":"","family":"Risher","given":"Jeffrey J.","non-dropping-particle":"","parse-names":false,"suffix":""},{"dropping-particle":"","family":"Sarstedt","given":"Marko","non-dropping-particle":"","parse-names":false,"suffix":""},{"dropping-particle":"","family":"Ringle","given":"Christian M.","non-dropping-particle":"","parse-names":false,"suffix":""}],"container-title":"European Business Review","id":"ITEM-1","issue":"1","issued":{"date-parts":[["2019"]]},"page":"2-24","title":"When to use and how to report the results of PLS-SEM","type":"article-journal","volume":"31"},"uris":["http://www.mendeley.com/documents/?uuid=1c7bcfb4-fc5a-4954-9593-592c33e0e323","http://www.mendeley.com/documents/?uuid=eb3f5a0e-b87d-3860-9ffd-467bff1880f6"]}],"mendeley":{"formattedCitation":"(Hair et al., 2019)","plainTextFormattedCitation":"(Hair et al., 2019)","previouslyFormattedCitation":"(Hair et al., 2019)"},"properties":{"noteIndex":0},"schema":"https://github.com/citation-style-language/schema/raw/master/csl-citation.json"}</w:instrText>
      </w:r>
      <w:r w:rsidR="00D401F9" w:rsidRPr="000D44EC">
        <w:rPr>
          <w:rFonts w:ascii="Times New Roman" w:hAnsi="Times New Roman" w:cs="Times New Roman"/>
        </w:rPr>
        <w:fldChar w:fldCharType="separate"/>
      </w:r>
      <w:r w:rsidR="003418EE" w:rsidRPr="0056686A">
        <w:rPr>
          <w:rFonts w:ascii="Times New Roman" w:hAnsi="Times New Roman" w:cs="Times New Roman"/>
          <w:noProof/>
        </w:rPr>
        <w:t>(Hair et al., 2019)</w:t>
      </w:r>
      <w:r w:rsidR="00D401F9" w:rsidRPr="000D44EC">
        <w:rPr>
          <w:rFonts w:ascii="Times New Roman" w:hAnsi="Times New Roman" w:cs="Times New Roman"/>
        </w:rPr>
        <w:fldChar w:fldCharType="end"/>
      </w:r>
      <w:r w:rsidR="00D401F9" w:rsidRPr="000D44EC">
        <w:rPr>
          <w:rFonts w:ascii="Times New Roman" w:hAnsi="Times New Roman" w:cs="Times New Roman"/>
        </w:rPr>
        <w:t xml:space="preserve"> suggested </w:t>
      </w:r>
      <w:r w:rsidR="00BF2144" w:rsidRPr="000D44EC">
        <w:rPr>
          <w:rFonts w:ascii="Times New Roman" w:hAnsi="Times New Roman" w:cs="Times New Roman"/>
        </w:rPr>
        <w:t>bounds</w:t>
      </w:r>
      <w:r w:rsidR="00D401F9" w:rsidRPr="000D44EC">
        <w:rPr>
          <w:rFonts w:ascii="Times New Roman" w:hAnsi="Times New Roman" w:cs="Times New Roman"/>
        </w:rPr>
        <w:t xml:space="preserve"> (0.70 – 0.95)</w:t>
      </w:r>
      <w:r w:rsidR="00BF2144" w:rsidRPr="000D44EC">
        <w:rPr>
          <w:rFonts w:ascii="Times New Roman" w:hAnsi="Times New Roman" w:cs="Times New Roman"/>
        </w:rPr>
        <w:t xml:space="preserve"> by representing a good construct’s internal consistency reliability, thus, the factor model is correct</w:t>
      </w:r>
      <w:r w:rsidR="00415DF4" w:rsidRPr="000D44EC">
        <w:rPr>
          <w:rFonts w:ascii="Times New Roman" w:hAnsi="Times New Roman" w:cs="Times New Roman"/>
        </w:rPr>
        <w:t xml:space="preserve">. </w:t>
      </w:r>
      <w:r w:rsidR="00BF2144" w:rsidRPr="000D44EC">
        <w:rPr>
          <w:rFonts w:ascii="Times New Roman" w:hAnsi="Times New Roman" w:cs="Times New Roman"/>
        </w:rPr>
        <w:t xml:space="preserve">Furthermore, </w:t>
      </w:r>
      <w:r w:rsidR="00415DF4" w:rsidRPr="000D44EC">
        <w:rPr>
          <w:rFonts w:ascii="Times New Roman" w:hAnsi="Times New Roman" w:cs="Times New Roman"/>
        </w:rPr>
        <w:t>AVE</w:t>
      </w:r>
      <w:r w:rsidR="00BF2144" w:rsidRPr="000D44EC">
        <w:rPr>
          <w:rFonts w:ascii="Times New Roman" w:hAnsi="Times New Roman" w:cs="Times New Roman"/>
        </w:rPr>
        <w:t xml:space="preserve"> exceed the</w:t>
      </w:r>
      <w:r w:rsidR="00415DF4" w:rsidRPr="000D44EC">
        <w:rPr>
          <w:rFonts w:ascii="Times New Roman" w:hAnsi="Times New Roman" w:cs="Times New Roman"/>
        </w:rPr>
        <w:t xml:space="preserve"> </w:t>
      </w:r>
      <w:r w:rsidR="0067354C" w:rsidRPr="000D44EC">
        <w:rPr>
          <w:rFonts w:ascii="Times New Roman" w:hAnsi="Times New Roman" w:cs="Times New Roman"/>
        </w:rPr>
        <w:t xml:space="preserve">minimum criteria of </w:t>
      </w:r>
      <w:r w:rsidR="00BF2144" w:rsidRPr="000D44EC">
        <w:rPr>
          <w:rFonts w:ascii="Times New Roman" w:hAnsi="Times New Roman" w:cs="Times New Roman"/>
        </w:rPr>
        <w:t>0</w:t>
      </w:r>
      <w:r w:rsidR="0067354C" w:rsidRPr="000D44EC">
        <w:rPr>
          <w:rFonts w:ascii="Times New Roman" w:hAnsi="Times New Roman" w:cs="Times New Roman"/>
        </w:rPr>
        <w:t xml:space="preserve">.50 </w:t>
      </w:r>
      <w:r w:rsidR="0067354C"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{"citationItems":[{"id":"ITEM-1","itemData":{"ISBN":"0138132631","abstract":"7th ed. Overview of multivariate methods -- pt. I. Preparing to apply multivariate analysis. Examining your data ; Exploratory factor analysis -- pt. II. Dependence techniques. Multiple regression analysis ; Multiple discriminant analysis ; Logistic regression : regression with a binary dependent variable ; MANOVA and GLM ; Conjoint analysis -- pt. III. Interdependent techniques. Cluster analysis ; Multidimensional scaling ; Analyzing nominal data with correspondence analysis -- pt. IV. Moving beyond the basic techniques. Structural equations modeling overview ; Confirmatory factor analysis ; Testing structural equations models ; Advanced SEM topics and PLS.","author":[{"dropping-particle":"","family":"Hair","given":"Joseph F.","non-dropping-particle":"","parse-names":false,"suffix":""},{"dropping-particle":"","family":"Black","given":"William C.","non-dropping-particle":"","parse-names":false,"suffix":""},{"dropping-particle":"","family":"Babin","given":"Barry J.","non-dropping-particle":"","parse-names":false,"suffix":""},{"dropping-particle":"","family":"Anderson","given":"Rolph E.","non-dropping-particle":"","parse-names":false,"suffix":""}],"edition":"7th Editio","id":"ITEM-1","issued":{"date-parts":[["2010"]]},"number-of-pages":"816","publisher":"Pearson Education Limited","publisher-place":"Harlow","title":"Multivariate Data Analysis","type":"book"},"uris":["http://www.mendeley.com/documents/?uuid=6ef7da90-545f-3bd1-8a5d-5e10684b6c97","http://www.mendeley.com/documents/?uuid=358c23ec-43e4-4e90-83a3-aa2d4b8c14a6"]},{"id":"ITEM-2","itemData":{"author":[{"dropping-particle":"","family":"Barclay","given":"Donald W.","non-dropping-particle":"","parse-names":false,"suffix":""},{"dropping-particle":"","family":"Higgins","given":"Christopher A.","non-dropping-particle":"","parse-names":false,"suffix":""},{"dropping-particle":"","family":"Thompson","given":"Ronanld","non-dropping-particle":"","parse-names":false,"suffix":""}],"container-title":"Technology studies: special issue on Research Methodology","id":"ITEM-2","issue":"2","issued":{"date-parts":[["1995"]]},"page":"284-324","title":"The partial least squares (PLS) approach to causal modeling: Personal computer adoption and use as an illustration","type":"article-journal","volume":"2"},"uris":["http://www.mendeley.com/documents/?uuid=d063e60e-dafc-340e-a861-1a5bd9678252","http://www.mendeley.com/documents/?uuid=8669ee61-f581-4b6e-a6b1-c68da55b790f"]},{"id":"ITEM-3","itemData":{"abstract":"Empirical studies that use structural equation modeling (SEM) are widespread in information systems research. During the last few years, the component-based approach partial least squares (PLS) for testing structural models has become increasingly popular. At the same time, this approach's limitations have become a greater concern. Some researchers even suggest using alternative approaches that are considered superior to PLS. However, we believe that PLS is an adequate choice if the research problem meets certain characteristics and the technique is properly used. Thus, the intention of this article is to resolve potential uncertainties that researchers intending to use PLS might have. Consequently, we provide a nontechnical overview of PLS and outline the ongoing discourses on SEM in general and the PLS approach in particular. Furthermore, we present a basic framework for empirical research applying PLS as well as a detailed explanation of the different process steps. Finally, examples of information systems research using PLS are summarized to demonstrate its beneficial application and the appropriateness of the proposed framework. This article can serve as a helpful guide for inexperienced researchers applying PLS for the first time, but also as a reference guide for researchers with a better understanding of the field.","author":[{"dropping-particle":"","family":"Urbach","given":"Nils","non-dropping-particle":"","parse-names":false,"suffix":""},{"dropping-particle":"","family":"Ahlemann","given":"Frederik","non-dropping-particle":"","parse-names":false,"suffix":""}],"container-title":"Journal of Information Technology Theory and Application","id":"ITEM-3","issue":"2","issued":{"date-parts":[["2010"]]},"page":"5-40","title":"Structural Equation Modeling in Information Systems Research Using Partial Least Squares","type":"article-journal","volume":"11"},"uris":["http://www.mendeley.com/documents/?uuid=affd0fe0-9286-336d-84c3-88a5b866963f","http://www.mendeley.com/documents/?uuid=e9519236-986b-4eec-be97-65d07a96deaf"]},{"id":"ITEM-4","itemData":{"DOI":"10.1108/EBR-11-2018-0203","ISSN":"0955534X","abstract":"Purpose – The purpose of this paper is to provide a comprehensive, yet concise, overview of the considerations and metrics required for partial least squares structural equation modeling (PLS-SEM) analysis and result reporting. Preliminary considerations are summarized first, including reasons for choosing PLS-SEM, recommended sample size in selected contexts, distributional assumptions, use of secondary data, statistical power and the need for goodness-of-fit testing. Next, the metrics as well as the rules of thumb that should be applied to assess the PLS-SEM results are covered. Besides presenting established PLS-SEM evaluation criteria, the overview includes the following new guidelines: PLSpredict (i.e., a novel approach for assessing a model’s out-of-sample prediction), metrics for model comparisons, and several complementary methods for checking the results’ robustness. Design/methodology/approach – This paper provides an overview of previously and recently proposed metrics as well as rules of thumb for evaluating the research results based on the application of PLS-SEM. Findings – Most of the previously applied metrics for evaluating PLS-SEM results are still relevant. Nevertheless, scholars need to be knowledgeable about recently proposed metrics (e.g. model comparison criteria) and methods (e.g. endogeneity assessment, latent class analysis and PLSpredict), and when and how to apply them to extend their analyses. Research limitations/implications – Methodological developments associated with PLS-SEM are rapidly emerging. The metrics reported in this paper are useful for current applications, but must always be up to date with the latest developments in the PLS-SEM method. Originality/value – In light of more recent research and methodological developments in the PLS-SEM domain, guidelines for the method’s use need to be continuously extended and updated. This paper is the most current and comprehensive summary of the PLS-SEM method and the metrics applied to assess its solutions.","author":[{"dropping-particle":"","family":"Hair","given":"Joseph F.","non-dropping-particle":"","parse-names":false,"suffix":""},{"dropping-particle":"","family":"Risher","given":"Jeffrey J.","non-dropping-particle":"","parse-names":false,"suffix":""},{"dropping-particle":"","family":"Sarstedt","given":"Marko","non-dropping-particle":"","parse-names":false,"suffix":""},{"dropping-particle":"","family":"Ringle","given":"Christian M.","non-dropping-particle":"","parse-names":false,"suffix":""}],"container-title":"European Business Review","id":"ITEM-4","issue":"1","issued":{"date-parts":[["2019"]]},"page":"2-24","title":"When to use and how to report the results of PLS-SEM","type":"article-journal","volume":"31"},"uris":["http://www.mendeley.com/documents/?uuid=1c7bcfb4-fc5a-4954-9593-592c33e0e323","http://www.mendeley.com/documents/?uuid=eb3f5a0e-b87d-3860-9ffd-467bff1880f6"]}],"mendeley":{"formattedCitation":"(Barclay, Higgins, &amp; Thompson, 1995; Hair, Black, Babin, &amp; Anderson, 2010; Hair et al., 2019; Urbach &amp; Ahlemann, 2010)","plainTextFormattedCitation":"(Barclay, Higgins, &amp; Thompson, 1995; Hair, Black, Babin, &amp; Anderson, 2010; Hair et al., 2019; Urbach &amp; Ahlemann, 2010)","previouslyFormattedCitation":"(Barclay, Higgins, &amp; Thompson, 1995; Hair, Black, Babin, &amp; Anderson, 2010; Hair et al., 2019; Urbach &amp; Ahlemann, 2010)"},"properties":{"noteIndex":0},"schema":"https://github.com/citation-style-language/schema/raw/master/csl-citation.json"}</w:instrText>
      </w:r>
      <w:r w:rsidR="0067354C" w:rsidRPr="000D44EC">
        <w:rPr>
          <w:rFonts w:ascii="Times New Roman" w:hAnsi="Times New Roman" w:cs="Times New Roman"/>
        </w:rPr>
        <w:fldChar w:fldCharType="separate"/>
      </w:r>
      <w:r w:rsidR="0056686A" w:rsidRPr="0056686A">
        <w:rPr>
          <w:rFonts w:ascii="Times New Roman" w:hAnsi="Times New Roman" w:cs="Times New Roman"/>
          <w:noProof/>
        </w:rPr>
        <w:t>(Barclay, Higgins, &amp; Thompson, 1995; Hair, Black, Babin, &amp; Anderson, 2010; Hair et al., 2019; Urbach &amp; Ahlemann, 2010)</w:t>
      </w:r>
      <w:r w:rsidR="0067354C" w:rsidRPr="000D44EC">
        <w:rPr>
          <w:rFonts w:ascii="Times New Roman" w:hAnsi="Times New Roman" w:cs="Times New Roman"/>
        </w:rPr>
        <w:fldChar w:fldCharType="end"/>
      </w:r>
      <w:r w:rsidR="0067354C" w:rsidRPr="000D44EC">
        <w:rPr>
          <w:rFonts w:ascii="Times New Roman" w:hAnsi="Times New Roman" w:cs="Times New Roman"/>
        </w:rPr>
        <w:t xml:space="preserve"> </w:t>
      </w:r>
      <w:r w:rsidR="005D217C" w:rsidRPr="000D44EC">
        <w:rPr>
          <w:rFonts w:ascii="Times New Roman" w:hAnsi="Times New Roman" w:cs="Times New Roman"/>
        </w:rPr>
        <w:t xml:space="preserve">and it </w:t>
      </w:r>
      <w:r w:rsidR="0067354C" w:rsidRPr="000D44EC">
        <w:rPr>
          <w:rFonts w:ascii="Times New Roman" w:hAnsi="Times New Roman" w:cs="Times New Roman"/>
        </w:rPr>
        <w:t xml:space="preserve">varies from </w:t>
      </w:r>
      <w:r w:rsidR="005D217C" w:rsidRPr="000D44EC">
        <w:rPr>
          <w:rFonts w:ascii="Times New Roman" w:hAnsi="Times New Roman" w:cs="Times New Roman"/>
        </w:rPr>
        <w:t>0</w:t>
      </w:r>
      <w:r w:rsidR="0067354C" w:rsidRPr="000D44EC">
        <w:rPr>
          <w:rFonts w:ascii="Times New Roman" w:hAnsi="Times New Roman" w:cs="Times New Roman"/>
        </w:rPr>
        <w:t xml:space="preserve">.56 to </w:t>
      </w:r>
      <w:r w:rsidR="005D217C" w:rsidRPr="000D44EC">
        <w:rPr>
          <w:rFonts w:ascii="Times New Roman" w:hAnsi="Times New Roman" w:cs="Times New Roman"/>
        </w:rPr>
        <w:t>0</w:t>
      </w:r>
      <w:r w:rsidR="0067354C" w:rsidRPr="000D44EC">
        <w:rPr>
          <w:rFonts w:ascii="Times New Roman" w:hAnsi="Times New Roman" w:cs="Times New Roman"/>
        </w:rPr>
        <w:t>.8</w:t>
      </w:r>
      <w:r w:rsidR="00BF2144" w:rsidRPr="000D44EC">
        <w:rPr>
          <w:rFonts w:ascii="Times New Roman" w:hAnsi="Times New Roman" w:cs="Times New Roman"/>
        </w:rPr>
        <w:t>9</w:t>
      </w:r>
      <w:r w:rsidR="0067354C" w:rsidRPr="000D44EC">
        <w:rPr>
          <w:rFonts w:ascii="Times New Roman" w:hAnsi="Times New Roman" w:cs="Times New Roman"/>
        </w:rPr>
        <w:t xml:space="preserve"> which indicates that </w:t>
      </w:r>
      <w:r w:rsidR="005D217C" w:rsidRPr="000D44EC">
        <w:rPr>
          <w:rFonts w:ascii="Times New Roman" w:hAnsi="Times New Roman" w:cs="Times New Roman"/>
        </w:rPr>
        <w:t>the constructs</w:t>
      </w:r>
      <w:r w:rsidR="0067354C" w:rsidRPr="000D44EC">
        <w:rPr>
          <w:rFonts w:ascii="Times New Roman" w:hAnsi="Times New Roman" w:cs="Times New Roman"/>
        </w:rPr>
        <w:t xml:space="preserve"> value explains </w:t>
      </w:r>
      <w:r w:rsidR="00CB679F" w:rsidRPr="000D44EC">
        <w:rPr>
          <w:rFonts w:ascii="Times New Roman" w:hAnsi="Times New Roman" w:cs="Times New Roman"/>
        </w:rPr>
        <w:t>at least</w:t>
      </w:r>
      <w:r w:rsidR="0067354C" w:rsidRPr="000D44EC">
        <w:rPr>
          <w:rFonts w:ascii="Times New Roman" w:hAnsi="Times New Roman" w:cs="Times New Roman"/>
        </w:rPr>
        <w:t xml:space="preserve"> </w:t>
      </w:r>
      <w:r w:rsidR="00415DF4" w:rsidRPr="000D44EC">
        <w:rPr>
          <w:rFonts w:ascii="Times New Roman" w:hAnsi="Times New Roman" w:cs="Times New Roman"/>
        </w:rPr>
        <w:t>half of</w:t>
      </w:r>
      <w:r w:rsidR="00CB679F" w:rsidRPr="000D44EC">
        <w:rPr>
          <w:rFonts w:ascii="Times New Roman" w:hAnsi="Times New Roman" w:cs="Times New Roman"/>
        </w:rPr>
        <w:t xml:space="preserve"> the variance of its indicators</w:t>
      </w:r>
      <w:r w:rsidR="00415DF4" w:rsidRPr="000D44EC">
        <w:rPr>
          <w:rFonts w:ascii="Times New Roman" w:hAnsi="Times New Roman" w:cs="Times New Roman"/>
        </w:rPr>
        <w:t xml:space="preserve"> </w:t>
      </w:r>
      <w:r w:rsidR="00CB679F" w:rsidRPr="000D44EC">
        <w:rPr>
          <w:rFonts w:ascii="Times New Roman" w:hAnsi="Times New Roman" w:cs="Times New Roman"/>
        </w:rPr>
        <w:t>demonstrating</w:t>
      </w:r>
      <w:r w:rsidR="00415DF4" w:rsidRPr="000D44EC">
        <w:rPr>
          <w:rFonts w:ascii="Times New Roman" w:hAnsi="Times New Roman" w:cs="Times New Roman"/>
        </w:rPr>
        <w:t xml:space="preserve"> sufficient convergent validity.</w:t>
      </w:r>
      <w:r w:rsidR="00BF2144" w:rsidRPr="000D44EC">
        <w:rPr>
          <w:rFonts w:ascii="Times New Roman" w:hAnsi="Times New Roman" w:cs="Times New Roman"/>
        </w:rPr>
        <w:t xml:space="preserve"> A</w:t>
      </w:r>
      <w:r w:rsidR="00C56F58" w:rsidRPr="000D44EC">
        <w:rPr>
          <w:rFonts w:ascii="Times New Roman" w:hAnsi="Times New Roman" w:cs="Times New Roman"/>
        </w:rPr>
        <w:t>ccording to</w:t>
      </w:r>
      <w:r w:rsidR="00DC3893" w:rsidRPr="000D44EC">
        <w:rPr>
          <w:rFonts w:ascii="Times New Roman" w:hAnsi="Times New Roman" w:cs="Times New Roman"/>
        </w:rPr>
        <w:t xml:space="preserve"> the</w:t>
      </w:r>
      <w:r w:rsidR="00C56F58" w:rsidRPr="000D44EC">
        <w:rPr>
          <w:rFonts w:ascii="Times New Roman" w:hAnsi="Times New Roman" w:cs="Times New Roman"/>
        </w:rPr>
        <w:t xml:space="preserve"> complete bootstrap</w:t>
      </w:r>
      <w:r w:rsidR="00DC3893" w:rsidRPr="000D44EC">
        <w:rPr>
          <w:rFonts w:ascii="Times New Roman" w:hAnsi="Times New Roman" w:cs="Times New Roman"/>
        </w:rPr>
        <w:t>ping</w:t>
      </w:r>
      <w:r w:rsidR="00C56F58" w:rsidRPr="000D44EC">
        <w:rPr>
          <w:rFonts w:ascii="Times New Roman" w:hAnsi="Times New Roman" w:cs="Times New Roman"/>
        </w:rPr>
        <w:t xml:space="preserve"> output, a</w:t>
      </w:r>
      <w:r w:rsidR="00BF2144" w:rsidRPr="000D44EC">
        <w:rPr>
          <w:rFonts w:ascii="Times New Roman" w:hAnsi="Times New Roman" w:cs="Times New Roman"/>
        </w:rPr>
        <w:t xml:space="preserve">ll </w:t>
      </w:r>
      <w:r w:rsidR="005D217C" w:rsidRPr="000D44EC">
        <w:rPr>
          <w:rFonts w:ascii="Times New Roman" w:hAnsi="Times New Roman" w:cs="Times New Roman"/>
        </w:rPr>
        <w:t xml:space="preserve">item loadings, </w:t>
      </w:r>
      <w:r w:rsidR="00BF2144" w:rsidRPr="000D44EC">
        <w:rPr>
          <w:rFonts w:ascii="Times New Roman" w:hAnsi="Times New Roman" w:cs="Times New Roman"/>
        </w:rPr>
        <w:t xml:space="preserve">CA, CR and AVE </w:t>
      </w:r>
      <w:r w:rsidR="000140EA" w:rsidRPr="000D44EC">
        <w:rPr>
          <w:rFonts w:ascii="Times New Roman" w:hAnsi="Times New Roman" w:cs="Times New Roman"/>
        </w:rPr>
        <w:t>values</w:t>
      </w:r>
      <w:r w:rsidR="00BF2144" w:rsidRPr="000D44EC">
        <w:rPr>
          <w:rFonts w:ascii="Times New Roman" w:hAnsi="Times New Roman" w:cs="Times New Roman"/>
        </w:rPr>
        <w:t xml:space="preserve"> were statistically significant (</w:t>
      </w:r>
      <w:r w:rsidR="00BF2144" w:rsidRPr="000D44EC">
        <w:rPr>
          <w:rFonts w:ascii="Times New Roman" w:hAnsi="Times New Roman" w:cs="Times New Roman"/>
          <w:i/>
        </w:rPr>
        <w:t>p</w:t>
      </w:r>
      <w:r w:rsidR="00BF2144" w:rsidRPr="000D44EC">
        <w:rPr>
          <w:rFonts w:ascii="Times New Roman" w:hAnsi="Times New Roman" w:cs="Times New Roman"/>
        </w:rPr>
        <w:t xml:space="preserve"> &lt; 0.001)</w:t>
      </w:r>
      <w:r w:rsidR="005D217C" w:rsidRPr="000D44EC">
        <w:rPr>
          <w:rFonts w:ascii="Times New Roman" w:hAnsi="Times New Roman" w:cs="Times New Roman"/>
        </w:rPr>
        <w:t>.</w:t>
      </w:r>
    </w:p>
    <w:p w14:paraId="49F8BCD1" w14:textId="77777777" w:rsidR="0067354C" w:rsidRPr="000D44EC" w:rsidRDefault="0067354C" w:rsidP="0067354C">
      <w:pPr>
        <w:pStyle w:val="07PARAGRAPH1st"/>
        <w:rPr>
          <w:sz w:val="22"/>
          <w:szCs w:val="22"/>
        </w:rPr>
      </w:pPr>
    </w:p>
    <w:p w14:paraId="66708A7F" w14:textId="3CF74A00" w:rsidR="00337EA2" w:rsidRPr="000D44EC" w:rsidRDefault="00337EA2" w:rsidP="000140EA">
      <w:pPr>
        <w:pStyle w:val="Titulek"/>
        <w:spacing w:after="0"/>
        <w:jc w:val="center"/>
        <w:rPr>
          <w:rFonts w:ascii="Times New Roman" w:hAnsi="Times New Roman" w:cs="Times New Roman"/>
          <w:b w:val="0"/>
          <w:bCs w:val="0"/>
          <w:color w:val="auto"/>
          <w:sz w:val="22"/>
          <w:szCs w:val="20"/>
        </w:rPr>
      </w:pPr>
      <w:r w:rsidRPr="000D44EC">
        <w:rPr>
          <w:rFonts w:ascii="Times New Roman" w:hAnsi="Times New Roman" w:cs="Times New Roman"/>
          <w:color w:val="auto"/>
          <w:sz w:val="22"/>
          <w:szCs w:val="20"/>
        </w:rPr>
        <w:t xml:space="preserve">Table </w:t>
      </w:r>
      <w:r w:rsidR="008C1FA9" w:rsidRPr="000D44EC">
        <w:rPr>
          <w:rFonts w:ascii="Times New Roman" w:hAnsi="Times New Roman" w:cs="Times New Roman"/>
          <w:color w:val="auto"/>
          <w:sz w:val="22"/>
          <w:szCs w:val="20"/>
        </w:rPr>
        <w:t>2</w:t>
      </w:r>
      <w:r w:rsidRPr="000D44EC">
        <w:rPr>
          <w:rFonts w:ascii="Times New Roman" w:hAnsi="Times New Roman" w:cs="Times New Roman"/>
          <w:b w:val="0"/>
          <w:color w:val="auto"/>
          <w:sz w:val="22"/>
          <w:szCs w:val="20"/>
        </w:rPr>
        <w:t xml:space="preserve">. </w:t>
      </w:r>
      <w:r w:rsidR="005D217C" w:rsidRPr="000D44EC">
        <w:rPr>
          <w:rFonts w:ascii="Times New Roman" w:hAnsi="Times New Roman" w:cs="Times New Roman"/>
          <w:b w:val="0"/>
          <w:bCs w:val="0"/>
          <w:color w:val="auto"/>
          <w:sz w:val="22"/>
          <w:szCs w:val="20"/>
        </w:rPr>
        <w:t xml:space="preserve">Item loadings, Cronbach’s alpha, composite </w:t>
      </w:r>
      <w:r w:rsidRPr="000D44EC">
        <w:rPr>
          <w:rFonts w:ascii="Times New Roman" w:hAnsi="Times New Roman" w:cs="Times New Roman"/>
          <w:b w:val="0"/>
          <w:bCs w:val="0"/>
          <w:color w:val="auto"/>
          <w:sz w:val="22"/>
          <w:szCs w:val="20"/>
        </w:rPr>
        <w:t xml:space="preserve">reliability and </w:t>
      </w:r>
      <w:r w:rsidR="005D217C" w:rsidRPr="000D44EC">
        <w:rPr>
          <w:rFonts w:ascii="Times New Roman" w:hAnsi="Times New Roman" w:cs="Times New Roman"/>
          <w:b w:val="0"/>
          <w:bCs w:val="0"/>
          <w:color w:val="auto"/>
          <w:sz w:val="22"/>
          <w:szCs w:val="20"/>
        </w:rPr>
        <w:t>average variance extracted</w:t>
      </w:r>
    </w:p>
    <w:tbl>
      <w:tblPr>
        <w:tblStyle w:val="Mkatabulky"/>
        <w:tblW w:w="5000" w:type="pct"/>
        <w:tblBorders>
          <w:insideH w:val="none" w:sz="0" w:space="0" w:color="auto"/>
          <w:insideV w:val="none" w:sz="0" w:space="0" w:color="auto"/>
        </w:tblBorders>
        <w:tblCellMar>
          <w:left w:w="28" w:type="dxa"/>
          <w:right w:w="28" w:type="dxa"/>
        </w:tblCellMar>
        <w:tblLook w:val="04A0" w:firstRow="1" w:lastRow="0" w:firstColumn="1" w:lastColumn="0" w:noHBand="0" w:noVBand="1"/>
      </w:tblPr>
      <w:tblGrid>
        <w:gridCol w:w="577"/>
        <w:gridCol w:w="7953"/>
        <w:gridCol w:w="820"/>
      </w:tblGrid>
      <w:tr w:rsidR="00497830" w:rsidRPr="000D44EC" w14:paraId="4F0C5B31" w14:textId="77777777" w:rsidTr="00D1669C">
        <w:trPr>
          <w:trHeight w:val="20"/>
        </w:trPr>
        <w:tc>
          <w:tcPr>
            <w:tcW w:w="294" w:type="pct"/>
            <w:tcBorders>
              <w:top w:val="single" w:sz="4" w:space="0" w:color="auto"/>
              <w:bottom w:val="single" w:sz="4" w:space="0" w:color="auto"/>
            </w:tcBorders>
            <w:noWrap/>
            <w:hideMark/>
          </w:tcPr>
          <w:p w14:paraId="2295006E"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 </w:t>
            </w:r>
          </w:p>
        </w:tc>
        <w:tc>
          <w:tcPr>
            <w:tcW w:w="4280" w:type="pct"/>
            <w:tcBorders>
              <w:top w:val="single" w:sz="4" w:space="0" w:color="auto"/>
              <w:bottom w:val="single" w:sz="4" w:space="0" w:color="auto"/>
            </w:tcBorders>
          </w:tcPr>
          <w:p w14:paraId="493E3AD3"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Construct and Items</w:t>
            </w:r>
          </w:p>
        </w:tc>
        <w:tc>
          <w:tcPr>
            <w:tcW w:w="426" w:type="pct"/>
            <w:tcBorders>
              <w:top w:val="single" w:sz="4" w:space="0" w:color="auto"/>
              <w:bottom w:val="single" w:sz="4" w:space="0" w:color="auto"/>
            </w:tcBorders>
            <w:noWrap/>
            <w:hideMark/>
          </w:tcPr>
          <w:p w14:paraId="736399B3"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Loading</w:t>
            </w:r>
          </w:p>
        </w:tc>
      </w:tr>
      <w:tr w:rsidR="00497830" w:rsidRPr="000D44EC" w14:paraId="06B1D919" w14:textId="77777777" w:rsidTr="00D1669C">
        <w:trPr>
          <w:trHeight w:val="20"/>
        </w:trPr>
        <w:tc>
          <w:tcPr>
            <w:tcW w:w="5000" w:type="pct"/>
            <w:gridSpan w:val="3"/>
            <w:tcBorders>
              <w:top w:val="single" w:sz="4" w:space="0" w:color="auto"/>
            </w:tcBorders>
            <w:noWrap/>
          </w:tcPr>
          <w:p w14:paraId="281347AF" w14:textId="5E2A5D55" w:rsidR="00497830" w:rsidRPr="000D44EC" w:rsidRDefault="00497830" w:rsidP="0056686A">
            <w:pPr>
              <w:spacing w:after="0"/>
              <w:contextualSpacing/>
              <w:jc w:val="center"/>
              <w:rPr>
                <w:rFonts w:ascii="Times New Roman" w:hAnsi="Times New Roman" w:cs="Times New Roman"/>
                <w:bCs/>
              </w:rPr>
            </w:pPr>
            <w:r w:rsidRPr="000D44EC">
              <w:rPr>
                <w:rFonts w:ascii="Times New Roman" w:hAnsi="Times New Roman" w:cs="Times New Roman"/>
                <w:bCs/>
              </w:rPr>
              <w:t xml:space="preserve">FC (CA = .92, CR = .94, AVE = .80) </w:t>
            </w:r>
            <w:r w:rsidRPr="000D44EC">
              <w:rPr>
                <w:rFonts w:ascii="Times New Roman" w:hAnsi="Times New Roman" w:cs="Times New Roman"/>
                <w:bCs/>
                <w:i/>
              </w:rPr>
              <w:t>Source</w:t>
            </w:r>
            <w:r w:rsidRPr="000D44EC">
              <w:rPr>
                <w:rFonts w:ascii="Times New Roman" w:hAnsi="Times New Roman" w:cs="Times New Roman"/>
                <w:bCs/>
              </w:rPr>
              <w:t xml:space="preserve">: Venkatesh </w:t>
            </w:r>
            <w:r w:rsidRPr="000D44EC">
              <w:rPr>
                <w:rFonts w:ascii="Times New Roman" w:hAnsi="Times New Roman" w:cs="Times New Roman"/>
                <w:bCs/>
                <w:i/>
              </w:rPr>
              <w:t>et al</w:t>
            </w:r>
            <w:r w:rsidRPr="000D44EC">
              <w:rPr>
                <w:rFonts w:ascii="Times New Roman" w:hAnsi="Times New Roman" w:cs="Times New Roman"/>
                <w:bCs/>
              </w:rPr>
              <w:t>.</w:t>
            </w:r>
            <w:r w:rsidR="00B727AE">
              <w:rPr>
                <w:rFonts w:ascii="Times New Roman" w:hAnsi="Times New Roman" w:cs="Times New Roman"/>
                <w:bCs/>
              </w:rPr>
              <w:t xml:space="preserve"> </w:t>
            </w:r>
            <w:r w:rsidR="00B727AE">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{"citationItems":[{"id":"ITEM-1","itemData":{"DOI":"10.2307/30036540","abstract":"Information technology (IT) acceptance research has yielded many competing models, each with different sets of acceptance determinants. In this paper, we (1) review user acceptance literature and discuss eight prominent models, (2) empirically compare the eight models and their extensions, (3) formulate a unified model that integrates elements across the eight models, and (4) empirically validate the unified model. The eight models reviewed are the theory of reasoned action, the technology acceptance model, the motivational model, the theory of planned behavior, a model combining the technology acceptance model and the theory of planned behavior, the model of PC utilization, the innovation diffusion theory, and the social cognitive theory. Using data from four organizations over a six-month period with three points of measurement, the eight models explained between 17 percent and 53 percent of the variance in user intentions to use information technology. Next, a unified model, called the Unified Theory of Acceptance and Use of Technology (UTAUT), was formulated, with four core determinants of intention and usage, and up to four moderators of key relationships. UTAUT was then tested using the original data and found to outperform the eight individual models (adjusted R of 69 percent). UTAUT was then confirmed with data from two new organizations with similar results (adjusted R of 70 percent). UTAUT thus provides a useful tool for managers needing to assess the likelihood of success for new technology introductions and helps them understand the drivers of acceptance in order to proactively design interventions (including training, marketing, etc.) targeted at populations of users that may be less inclined to adopt and use new systems. The paper also makes several recommendations for future research including developing a deeper understanding of the dynamic influences studied here, refining measurement of the core constructs used in UTAUT, and understanding the organizational outcomes associated with new technology use.","author":[{"dropping-particle":"","family":"Venkatesh","given":"Viswanath","non-dropping-particle":"","parse-names":false,"suffix":""},{"dropping-particle":"","family":"Morris","given":"Michael G.","non-dropping-particle":"","parse-names":false,"suffix":""},{"dropping-particle":"","family":"Davis","given":"Gordon B.","non-dropping-particle":"","parse-names":false,"suffix":""},{"dropping-particle":"","family":"Davis","given":"Fred D.","non-dropping-particle":"","parse-names":false,"suffix":""}],"container-title":"MIS Quarterly","id":"ITEM-1","issue":"3","issued":{"date-parts":[["2003"]]},"page":"425","publisher":"Management Information Systems Research Center, University of Minnesota","title":"User Acceptance of Information Technology: Toward a Unified View","type":"article-journal","volume":"27"},"uris":["http://www.mendeley.com/documents/?uuid=07f868c3-3adf-4f1e-91bf-d93a91d07210"]},{"id":"ITEM-2","itemData":{"abstract":"This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quarterly","id":"ITEM-2","issued":{"date-parts":[["2012"]]},"page":"157-178","title":"Consumer acceptance and use of information technology: Extending the unified theory of acceptance and use of technology","type":"article-journal","volume":"36"},"uris":["http://www.mendeley.com/documents/?uuid=47aaf082-83a2-46f0-b062-9c6987a306c3"]}],"mendeley":{"formattedCitation":"(Venkatesh et al., 2003, 2012)","plainTextFormattedCitation":"(Venkatesh et al., 2003, 2012)","previouslyFormattedCitation":"(Venkatesh et al., 2003, 2012)"},"properties":{"noteIndex":0},"schema":"https://github.com/citation-style-language/schema/raw/master/csl-citation.json"}</w:instrText>
            </w:r>
            <w:r w:rsidR="00B727AE">
              <w:rPr>
                <w:rFonts w:ascii="Times New Roman" w:hAnsi="Times New Roman" w:cs="Times New Roman"/>
                <w:bCs/>
              </w:rPr>
              <w:fldChar w:fldCharType="separate"/>
            </w:r>
            <w:r w:rsidR="0056686A" w:rsidRPr="0056686A">
              <w:rPr>
                <w:rFonts w:ascii="Times New Roman" w:hAnsi="Times New Roman" w:cs="Times New Roman"/>
                <w:bCs/>
                <w:noProof/>
              </w:rPr>
              <w:t>(Venkatesh et al., 2003, 2012)</w:t>
            </w:r>
            <w:r w:rsidR="00B727AE">
              <w:rPr>
                <w:rFonts w:ascii="Times New Roman" w:hAnsi="Times New Roman" w:cs="Times New Roman"/>
                <w:bCs/>
              </w:rPr>
              <w:fldChar w:fldCharType="end"/>
            </w:r>
            <w:r w:rsidR="00B727AE">
              <w:rPr>
                <w:rStyle w:val="Odkaznakoment"/>
              </w:rPr>
              <w:t xml:space="preserve"> </w:t>
            </w:r>
          </w:p>
        </w:tc>
      </w:tr>
      <w:tr w:rsidR="00497830" w:rsidRPr="000D44EC" w14:paraId="43B18DC8" w14:textId="77777777" w:rsidTr="00D1669C">
        <w:trPr>
          <w:trHeight w:val="20"/>
        </w:trPr>
        <w:tc>
          <w:tcPr>
            <w:tcW w:w="294" w:type="pct"/>
            <w:noWrap/>
            <w:hideMark/>
          </w:tcPr>
          <w:p w14:paraId="6FE2435C"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FC1</w:t>
            </w:r>
          </w:p>
        </w:tc>
        <w:tc>
          <w:tcPr>
            <w:tcW w:w="4280" w:type="pct"/>
          </w:tcPr>
          <w:p w14:paraId="563F11DD"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Mobile banking saves me time by avoiding going to the bank branches, waiting in the queue</w:t>
            </w:r>
          </w:p>
        </w:tc>
        <w:tc>
          <w:tcPr>
            <w:tcW w:w="426" w:type="pct"/>
            <w:noWrap/>
            <w:hideMark/>
          </w:tcPr>
          <w:p w14:paraId="4C9D256C"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0.890</w:t>
            </w:r>
          </w:p>
        </w:tc>
      </w:tr>
      <w:tr w:rsidR="00497830" w:rsidRPr="000D44EC" w14:paraId="2F73DF42" w14:textId="77777777" w:rsidTr="00D1669C">
        <w:trPr>
          <w:trHeight w:val="20"/>
        </w:trPr>
        <w:tc>
          <w:tcPr>
            <w:tcW w:w="294" w:type="pct"/>
            <w:noWrap/>
            <w:hideMark/>
          </w:tcPr>
          <w:p w14:paraId="0D98FA91"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FC2</w:t>
            </w:r>
          </w:p>
        </w:tc>
        <w:tc>
          <w:tcPr>
            <w:tcW w:w="4280" w:type="pct"/>
          </w:tcPr>
          <w:p w14:paraId="40D13609"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I have the necessary resources to use mobile banking services</w:t>
            </w:r>
          </w:p>
        </w:tc>
        <w:tc>
          <w:tcPr>
            <w:tcW w:w="426" w:type="pct"/>
            <w:noWrap/>
            <w:hideMark/>
          </w:tcPr>
          <w:p w14:paraId="3512DB4D"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0.896</w:t>
            </w:r>
          </w:p>
        </w:tc>
      </w:tr>
      <w:tr w:rsidR="00497830" w:rsidRPr="000D44EC" w14:paraId="04B3A748" w14:textId="77777777" w:rsidTr="00D1669C">
        <w:trPr>
          <w:trHeight w:val="20"/>
        </w:trPr>
        <w:tc>
          <w:tcPr>
            <w:tcW w:w="294" w:type="pct"/>
            <w:tcBorders>
              <w:bottom w:val="nil"/>
            </w:tcBorders>
            <w:noWrap/>
            <w:hideMark/>
          </w:tcPr>
          <w:p w14:paraId="0B48A8FE"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FC3</w:t>
            </w:r>
          </w:p>
        </w:tc>
        <w:tc>
          <w:tcPr>
            <w:tcW w:w="4280" w:type="pct"/>
            <w:tcBorders>
              <w:bottom w:val="nil"/>
            </w:tcBorders>
          </w:tcPr>
          <w:p w14:paraId="7D87CCB8"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I have the necessary knowledge to use mobile banking services</w:t>
            </w:r>
          </w:p>
        </w:tc>
        <w:tc>
          <w:tcPr>
            <w:tcW w:w="426" w:type="pct"/>
            <w:tcBorders>
              <w:bottom w:val="nil"/>
            </w:tcBorders>
            <w:noWrap/>
            <w:hideMark/>
          </w:tcPr>
          <w:p w14:paraId="5DC5B4BD"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0.889</w:t>
            </w:r>
          </w:p>
        </w:tc>
      </w:tr>
      <w:tr w:rsidR="00497830" w:rsidRPr="000D44EC" w14:paraId="6513673E" w14:textId="77777777" w:rsidTr="00D1669C">
        <w:trPr>
          <w:trHeight w:val="20"/>
        </w:trPr>
        <w:tc>
          <w:tcPr>
            <w:tcW w:w="294" w:type="pct"/>
            <w:tcBorders>
              <w:top w:val="nil"/>
              <w:bottom w:val="single" w:sz="4" w:space="0" w:color="auto"/>
            </w:tcBorders>
            <w:noWrap/>
            <w:hideMark/>
          </w:tcPr>
          <w:p w14:paraId="7B2528DA"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FC4</w:t>
            </w:r>
          </w:p>
        </w:tc>
        <w:tc>
          <w:tcPr>
            <w:tcW w:w="4280" w:type="pct"/>
            <w:tcBorders>
              <w:top w:val="nil"/>
              <w:bottom w:val="single" w:sz="4" w:space="0" w:color="auto"/>
            </w:tcBorders>
          </w:tcPr>
          <w:p w14:paraId="5B9D4022"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Mobile banking is compatible with other technologies I use</w:t>
            </w:r>
          </w:p>
        </w:tc>
        <w:tc>
          <w:tcPr>
            <w:tcW w:w="426" w:type="pct"/>
            <w:tcBorders>
              <w:top w:val="nil"/>
              <w:bottom w:val="single" w:sz="4" w:space="0" w:color="auto"/>
            </w:tcBorders>
            <w:noWrap/>
            <w:hideMark/>
          </w:tcPr>
          <w:p w14:paraId="3AB24BD1"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0.906</w:t>
            </w:r>
          </w:p>
        </w:tc>
      </w:tr>
      <w:tr w:rsidR="00497830" w:rsidRPr="000D44EC" w14:paraId="4534A3E7" w14:textId="77777777" w:rsidTr="00D1669C">
        <w:trPr>
          <w:trHeight w:val="53"/>
        </w:trPr>
        <w:tc>
          <w:tcPr>
            <w:tcW w:w="5000" w:type="pct"/>
            <w:gridSpan w:val="3"/>
            <w:tcBorders>
              <w:top w:val="single" w:sz="4" w:space="0" w:color="auto"/>
            </w:tcBorders>
            <w:noWrap/>
          </w:tcPr>
          <w:p w14:paraId="346C98F4" w14:textId="0C219205" w:rsidR="00497830" w:rsidRPr="000D44EC" w:rsidRDefault="00497830" w:rsidP="0056686A">
            <w:pPr>
              <w:spacing w:after="0"/>
              <w:contextualSpacing/>
              <w:jc w:val="center"/>
              <w:rPr>
                <w:rFonts w:ascii="Times New Roman" w:hAnsi="Times New Roman" w:cs="Times New Roman"/>
                <w:bCs/>
              </w:rPr>
            </w:pPr>
            <w:r w:rsidRPr="000D44EC">
              <w:rPr>
                <w:rFonts w:ascii="Times New Roman" w:hAnsi="Times New Roman" w:cs="Times New Roman"/>
                <w:color w:val="000000" w:themeColor="text1"/>
              </w:rPr>
              <w:t>PE (CA = .86, CR= .91, AVE = .78)</w:t>
            </w:r>
            <w:r w:rsidRPr="000D44EC">
              <w:rPr>
                <w:rFonts w:ascii="Times New Roman" w:hAnsi="Times New Roman" w:cs="Times New Roman"/>
                <w:i/>
                <w:color w:val="000000" w:themeColor="text1"/>
              </w:rPr>
              <w:t xml:space="preserve"> Source</w:t>
            </w:r>
            <w:r w:rsidRPr="000D44EC">
              <w:rPr>
                <w:rFonts w:ascii="Times New Roman" w:hAnsi="Times New Roman" w:cs="Times New Roman"/>
                <w:color w:val="000000" w:themeColor="text1"/>
              </w:rPr>
              <w:t xml:space="preserve">: Venkatesh </w:t>
            </w:r>
            <w:r w:rsidRPr="000D44EC">
              <w:rPr>
                <w:rFonts w:ascii="Times New Roman" w:hAnsi="Times New Roman" w:cs="Times New Roman"/>
                <w:i/>
                <w:color w:val="000000" w:themeColor="text1"/>
              </w:rPr>
              <w:t>et al</w:t>
            </w:r>
            <w:r w:rsidRPr="000D44EC">
              <w:rPr>
                <w:rFonts w:ascii="Times New Roman" w:hAnsi="Times New Roman" w:cs="Times New Roman"/>
                <w:color w:val="000000" w:themeColor="text1"/>
              </w:rPr>
              <w:t xml:space="preserve">. </w:t>
            </w:r>
            <w:r w:rsidRPr="000D44EC">
              <w:rPr>
                <w:rFonts w:ascii="Times New Roman" w:hAnsi="Times New Roman" w:cs="Times New Roman"/>
                <w:color w:val="000000" w:themeColor="text1"/>
              </w:rPr>
              <w:fldChar w:fldCharType="begin" w:fldLock="1"/>
            </w:r>
            <w:r w:rsidR="008F28C8">
              <w:rPr>
                <w:rFonts w:ascii="Times New Roman" w:hAnsi="Times New Roman" w:cs="Times New Roman"/>
                <w:color w:val="000000" w:themeColor="text1"/>
              </w:rPr>
              <w:instrText>ADDIN CSL_CITATION {"citationItems":[{"id":"ITEM-1","itemData":{"DOI":"10.2307/30036540","abstract":"Information technology (IT) acceptance research has yielded many competing models, each with different sets of acceptance determinants. In this paper, we (1) review user acceptance literature and discuss eight prominent models, (2) empirically compare the eight models and their extensions, (3) formulate a unified model that integrates elements across the eight models, and (4) empirically validate the unified model. The eight models reviewed are the theory of reasoned action, the technology acceptance model, the motivational model, the theory of planned behavior, a model combining the technology acceptance model and the theory of planned behavior, the model of PC utilization, the innovation diffusion theory, and the social cognitive theory. Using data from four organizations over a six-month period with three points of measurement, the eight models explained between 17 percent and 53 percent of the variance in user intentions to use information technology. Next, a unified model, called the Unified Theory of Acceptance and Use of Technology (UTAUT), was formulated, with four core determinants of intention and usage, and up to four moderators of key relationships. UTAUT was then tested using the original data and found to outperform the eight individual models (adjusted R of 69 percent). UTAUT was then confirmed with data from two new organizations with similar results (adjusted R of 70 percent). UTAUT thus provides a useful tool for managers needing to assess the likelihood of success for new technology introductions and helps them understand the drivers of acceptance in order to proactively design interventions (including training, marketing, etc.) targeted at populations of users that may be less inclined to adopt and use new systems. The paper also makes several recommendations for future research including developing a deeper understanding of the dynamic influences studied here, refining measurement of the core constructs used in UTAUT, and understanding the organizational outcomes associated with new technology use.","author":[{"dropping-particle":"","family":"Venkatesh","given":"Viswanath","non-dropping-particle":"","parse-names":false,"suffix":""},{"dropping-particle":"","family":"Morris","given":"Michael G.","non-dropping-particle":"","parse-names":false,"suffix":""},{"dropping-particle":"","family":"Davis","given":"Gordon B.","non-dropping-particle":"","parse-names":false,"suffix":""},{"dropping-particle":"","family":"Davis","given":"Fred D.","non-dropping-particle":"","parse-names":false,"suffix":""}],"container-title":"MIS Quarterly","id":"ITEM-1","issue":"3","issued":{"date-parts":[["2003"]]},"page":"425","publisher":"Management Information Systems Research Center, University of Minnesota","title":"User Acceptance of Information Technology: Toward a Unified View","type":"article-journal","volume":"27"},"uris":["http://www.mendeley.com/documents/?uuid=07f868c3-3adf-4f1e-91bf-d93a91d07210"]},{"id":"ITEM-2","itemData":{"abstract":"This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quarterly","id":"ITEM-2","issued":{"date-parts":[["2012"]]},"page":"157-178","title":"Consumer acceptance and use of information technology: Extending the unified theory of acceptance and use of technology","type":"article-journal","volume":"36"},"uris":["http://www.mendeley.com/documents/?uuid=47aaf082-83a2-46f0-b062-9c6987a306c3"]}],"mendeley":{"formattedCitation":"(Venkatesh et al., 2003, 2012)","plainTextFormattedCitation":"(Venkatesh et al., 2003, 2012)","previouslyFormattedCitation":"(Venkatesh et al., 2003, 2012)"},"properties":{"noteIndex":0},"schema":"https://github.com/citation-style-language/schema/raw/master/csl-citation.json"}</w:instrText>
            </w:r>
            <w:r w:rsidRPr="000D44EC">
              <w:rPr>
                <w:rFonts w:ascii="Times New Roman" w:hAnsi="Times New Roman" w:cs="Times New Roman"/>
                <w:color w:val="000000" w:themeColor="text1"/>
              </w:rPr>
              <w:fldChar w:fldCharType="separate"/>
            </w:r>
            <w:r w:rsidR="0056686A" w:rsidRPr="0056686A">
              <w:rPr>
                <w:rFonts w:ascii="Times New Roman" w:hAnsi="Times New Roman" w:cs="Times New Roman"/>
                <w:noProof/>
                <w:color w:val="000000" w:themeColor="text1"/>
              </w:rPr>
              <w:t>(Venkatesh et al., 2003, 2012)</w:t>
            </w:r>
            <w:r w:rsidRPr="000D44EC">
              <w:rPr>
                <w:rFonts w:ascii="Times New Roman" w:hAnsi="Times New Roman" w:cs="Times New Roman"/>
                <w:color w:val="000000" w:themeColor="text1"/>
              </w:rPr>
              <w:fldChar w:fldCharType="end"/>
            </w:r>
          </w:p>
        </w:tc>
      </w:tr>
      <w:tr w:rsidR="00497830" w:rsidRPr="000D44EC" w14:paraId="607C6E20" w14:textId="77777777" w:rsidTr="00D1669C">
        <w:trPr>
          <w:trHeight w:val="20"/>
        </w:trPr>
        <w:tc>
          <w:tcPr>
            <w:tcW w:w="294" w:type="pct"/>
            <w:noWrap/>
            <w:hideMark/>
          </w:tcPr>
          <w:p w14:paraId="0F80B7E7"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PE1</w:t>
            </w:r>
          </w:p>
        </w:tc>
        <w:tc>
          <w:tcPr>
            <w:tcW w:w="4280" w:type="pct"/>
          </w:tcPr>
          <w:p w14:paraId="581BCA5F"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Mobile banking services are very useful in my daily life</w:t>
            </w:r>
          </w:p>
        </w:tc>
        <w:tc>
          <w:tcPr>
            <w:tcW w:w="426" w:type="pct"/>
            <w:noWrap/>
            <w:hideMark/>
          </w:tcPr>
          <w:p w14:paraId="3D2F73DB"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0.910</w:t>
            </w:r>
          </w:p>
        </w:tc>
      </w:tr>
      <w:tr w:rsidR="00497830" w:rsidRPr="000D44EC" w14:paraId="0DE4C9F1" w14:textId="77777777" w:rsidTr="00D1669C">
        <w:trPr>
          <w:trHeight w:val="20"/>
        </w:trPr>
        <w:tc>
          <w:tcPr>
            <w:tcW w:w="294" w:type="pct"/>
            <w:tcBorders>
              <w:bottom w:val="nil"/>
            </w:tcBorders>
            <w:noWrap/>
            <w:hideMark/>
          </w:tcPr>
          <w:p w14:paraId="2099AC1A"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PE2</w:t>
            </w:r>
          </w:p>
        </w:tc>
        <w:tc>
          <w:tcPr>
            <w:tcW w:w="4280" w:type="pct"/>
            <w:tcBorders>
              <w:bottom w:val="nil"/>
            </w:tcBorders>
          </w:tcPr>
          <w:p w14:paraId="426C1931"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Using mobile banking services increases my productivity</w:t>
            </w:r>
          </w:p>
        </w:tc>
        <w:tc>
          <w:tcPr>
            <w:tcW w:w="426" w:type="pct"/>
            <w:tcBorders>
              <w:bottom w:val="nil"/>
            </w:tcBorders>
            <w:noWrap/>
            <w:hideMark/>
          </w:tcPr>
          <w:p w14:paraId="480F4C09"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0.849</w:t>
            </w:r>
          </w:p>
        </w:tc>
      </w:tr>
      <w:tr w:rsidR="00497830" w:rsidRPr="000D44EC" w14:paraId="4F9B9C19" w14:textId="77777777" w:rsidTr="00D1669C">
        <w:trPr>
          <w:trHeight w:val="20"/>
        </w:trPr>
        <w:tc>
          <w:tcPr>
            <w:tcW w:w="294" w:type="pct"/>
            <w:tcBorders>
              <w:top w:val="nil"/>
              <w:bottom w:val="single" w:sz="4" w:space="0" w:color="auto"/>
            </w:tcBorders>
            <w:noWrap/>
            <w:hideMark/>
          </w:tcPr>
          <w:p w14:paraId="1D23DFC5"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PE2</w:t>
            </w:r>
          </w:p>
        </w:tc>
        <w:tc>
          <w:tcPr>
            <w:tcW w:w="4280" w:type="pct"/>
            <w:tcBorders>
              <w:top w:val="nil"/>
              <w:bottom w:val="single" w:sz="4" w:space="0" w:color="auto"/>
            </w:tcBorders>
          </w:tcPr>
          <w:p w14:paraId="044C4B68"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Using mobile banking services helps me accomplish things more quickly</w:t>
            </w:r>
          </w:p>
        </w:tc>
        <w:tc>
          <w:tcPr>
            <w:tcW w:w="426" w:type="pct"/>
            <w:tcBorders>
              <w:top w:val="nil"/>
              <w:bottom w:val="single" w:sz="4" w:space="0" w:color="auto"/>
            </w:tcBorders>
            <w:noWrap/>
            <w:hideMark/>
          </w:tcPr>
          <w:p w14:paraId="7DF58927"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0.887</w:t>
            </w:r>
          </w:p>
        </w:tc>
      </w:tr>
      <w:tr w:rsidR="00497830" w:rsidRPr="000D44EC" w14:paraId="2C6BF711" w14:textId="77777777" w:rsidTr="00D1669C">
        <w:trPr>
          <w:trHeight w:val="20"/>
        </w:trPr>
        <w:tc>
          <w:tcPr>
            <w:tcW w:w="5000" w:type="pct"/>
            <w:gridSpan w:val="3"/>
            <w:tcBorders>
              <w:top w:val="single" w:sz="4" w:space="0" w:color="auto"/>
            </w:tcBorders>
            <w:noWrap/>
          </w:tcPr>
          <w:p w14:paraId="1FC03989" w14:textId="357B35FD" w:rsidR="00497830" w:rsidRPr="000D44EC" w:rsidRDefault="00497830" w:rsidP="0056686A">
            <w:pPr>
              <w:spacing w:after="0"/>
              <w:contextualSpacing/>
              <w:jc w:val="center"/>
              <w:rPr>
                <w:rFonts w:ascii="Times New Roman" w:hAnsi="Times New Roman" w:cs="Times New Roman"/>
                <w:bCs/>
              </w:rPr>
            </w:pPr>
            <w:r w:rsidRPr="000D44EC">
              <w:rPr>
                <w:rFonts w:ascii="Times New Roman" w:hAnsi="Times New Roman" w:cs="Times New Roman"/>
                <w:bCs/>
              </w:rPr>
              <w:t>EE (CA = .88, CR = .94, AVE = .89)</w:t>
            </w:r>
            <w:r w:rsidRPr="000D44EC">
              <w:rPr>
                <w:rFonts w:ascii="Times New Roman" w:hAnsi="Times New Roman" w:cs="Times New Roman"/>
                <w:bCs/>
                <w:i/>
              </w:rPr>
              <w:t xml:space="preserve"> Source</w:t>
            </w:r>
            <w:r w:rsidRPr="000D44EC">
              <w:rPr>
                <w:rFonts w:ascii="Times New Roman" w:hAnsi="Times New Roman" w:cs="Times New Roman"/>
                <w:bCs/>
              </w:rPr>
              <w:t xml:space="preserve">: Venkatesh </w:t>
            </w:r>
            <w:r w:rsidRPr="000D44EC">
              <w:rPr>
                <w:rFonts w:ascii="Times New Roman" w:hAnsi="Times New Roman" w:cs="Times New Roman"/>
                <w:bCs/>
                <w:i/>
              </w:rPr>
              <w:t>et al</w:t>
            </w:r>
            <w:r w:rsidRPr="000D44EC">
              <w:rPr>
                <w:rFonts w:ascii="Times New Roman" w:hAnsi="Times New Roman" w:cs="Times New Roman"/>
                <w:bCs/>
              </w:rPr>
              <w:t xml:space="preserve">. </w:t>
            </w:r>
            <w:r w:rsidRPr="000D44EC">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{"citationItems":[{"id":"ITEM-1","itemData":{"DOI":"10.2307/30036540","abstract":"Information technology (IT) acceptance research has yielded many competing models, each with different sets of acceptance determinants. In this paper, we (1) review user acceptance literature and discuss eight prominent models, (2) empirically compare the eight models and their extensions, (3) formulate a unified model that integrates elements across the eight models, and (4) empirically validate the unified model. The eight models reviewed are the theory of reasoned action, the technology acceptance model, the motivational model, the theory of planned behavior, a model combining the technology acceptance model and the theory of planned behavior, the model of PC utilization, the innovation diffusion theory, and the social cognitive theory. Using data from four organizations over a six-month period with three points of measurement, the eight models explained between 17 percent and 53 percent of the variance in user intentions to use information technology. Next, a unified model, called the Unified Theory of Acceptance and Use of Technology (UTAUT), was formulated, with four core determinants of intention and usage, and up to four moderators of key relationships. UTAUT was then tested using the original data and found to outperform the eight individual models (adjusted R of 69 percent). UTAUT was then confirmed with data from two new organizations with similar results (adjusted R of 70 percent). UTAUT thus provides a useful tool for managers needing to assess the likelihood of success for new technology introductions and helps them understand the drivers of acceptance in order to proactively design interventions (including training, marketing, etc.) targeted at populations of users that may be less inclined to adopt and use new systems. The paper also makes several recommendations for future research including developing a deeper understanding of the dynamic influences studied here, refining measurement of the core constructs used in UTAUT, and understanding the organizational outcomes associated with new technology use.","author":[{"dropping-particle":"","family":"Venkatesh","given":"Viswanath","non-dropping-particle":"","parse-names":false,"suffix":""},{"dropping-particle":"","family":"Morris","given":"Michael G.","non-dropping-particle":"","parse-names":false,"suffix":""},{"dropping-particle":"","family":"Davis","given":"Gordon B.","non-dropping-particle":"","parse-names":false,"suffix":""},{"dropping-particle":"","family":"Davis","given":"Fred D.","non-dropping-particle":"","parse-names":false,"suffix":""}],"container-title":"MIS Quarterly","id":"ITEM-1","issue":"3","issued":{"date-parts":[["2003"]]},"page":"425","publisher":"Management Information Systems Research Center, University of Minnesota","title":"User Acceptance of Information Technology: Toward a Unified View","type":"article-journal","volume":"27"},"uris":["http://www.mendeley.com/documents/?uuid=07f868c3-3adf-4f1e-91bf-d93a91d07210"]},{"id":"ITEM-2","itemData":{"abstract":"This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quarterly","id":"ITEM-2","issued":{"date-parts":[["2012"]]},"page":"157-178","title":"Consumer acceptance and use of information technology: Extending the unified theory of acceptance and use of technology","type":"article-journal","volume":"36"},"uris":["http://www.mendeley.com/documents/?uuid=47aaf082-83a2-46f0-b062-9c6987a306c3"]}],"mendeley":{"formattedCitation":"(Venkatesh et al., 2003, 2012)","plainTextFormattedCitation":"(Venkatesh et al., 2003, 2012)","previouslyFormattedCitation":"(Venkatesh et al., 2003, 2012)"},"properties":{"noteIndex":0},"schema":"https://github.com/citation-style-language/schema/raw/master/csl-citation.json"}</w:instrText>
            </w:r>
            <w:r w:rsidRPr="000D44EC">
              <w:rPr>
                <w:rFonts w:ascii="Times New Roman" w:hAnsi="Times New Roman" w:cs="Times New Roman"/>
                <w:bCs/>
              </w:rPr>
              <w:fldChar w:fldCharType="separate"/>
            </w:r>
            <w:r w:rsidR="0056686A" w:rsidRPr="0056686A">
              <w:rPr>
                <w:rFonts w:ascii="Times New Roman" w:hAnsi="Times New Roman" w:cs="Times New Roman"/>
                <w:bCs/>
                <w:noProof/>
              </w:rPr>
              <w:t>(Venkatesh et al., 2003, 2012)</w:t>
            </w:r>
            <w:r w:rsidRPr="000D44EC">
              <w:rPr>
                <w:rFonts w:ascii="Times New Roman" w:hAnsi="Times New Roman" w:cs="Times New Roman"/>
                <w:bCs/>
              </w:rPr>
              <w:fldChar w:fldCharType="end"/>
            </w:r>
          </w:p>
        </w:tc>
      </w:tr>
      <w:tr w:rsidR="00497830" w:rsidRPr="000D44EC" w14:paraId="3CA959B6" w14:textId="77777777" w:rsidTr="00D1669C">
        <w:trPr>
          <w:trHeight w:val="20"/>
        </w:trPr>
        <w:tc>
          <w:tcPr>
            <w:tcW w:w="294" w:type="pct"/>
            <w:tcBorders>
              <w:bottom w:val="nil"/>
            </w:tcBorders>
            <w:noWrap/>
            <w:hideMark/>
          </w:tcPr>
          <w:p w14:paraId="44F206CA"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EE1</w:t>
            </w:r>
          </w:p>
        </w:tc>
        <w:tc>
          <w:tcPr>
            <w:tcW w:w="4280" w:type="pct"/>
            <w:tcBorders>
              <w:bottom w:val="nil"/>
            </w:tcBorders>
          </w:tcPr>
          <w:p w14:paraId="13FB5564"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Learning how to use mobile banking services was easy for me</w:t>
            </w:r>
          </w:p>
        </w:tc>
        <w:tc>
          <w:tcPr>
            <w:tcW w:w="426" w:type="pct"/>
            <w:tcBorders>
              <w:bottom w:val="nil"/>
            </w:tcBorders>
            <w:noWrap/>
            <w:hideMark/>
          </w:tcPr>
          <w:p w14:paraId="2C07A749"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0.944</w:t>
            </w:r>
          </w:p>
        </w:tc>
      </w:tr>
      <w:tr w:rsidR="00497830" w:rsidRPr="000D44EC" w14:paraId="408EB3B9" w14:textId="77777777" w:rsidTr="00D1669C">
        <w:trPr>
          <w:trHeight w:val="20"/>
        </w:trPr>
        <w:tc>
          <w:tcPr>
            <w:tcW w:w="294" w:type="pct"/>
            <w:tcBorders>
              <w:top w:val="nil"/>
              <w:bottom w:val="single" w:sz="4" w:space="0" w:color="auto"/>
            </w:tcBorders>
            <w:noWrap/>
            <w:hideMark/>
          </w:tcPr>
          <w:p w14:paraId="47E36BD1"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EE2</w:t>
            </w:r>
          </w:p>
        </w:tc>
        <w:tc>
          <w:tcPr>
            <w:tcW w:w="4280" w:type="pct"/>
            <w:tcBorders>
              <w:top w:val="nil"/>
              <w:bottom w:val="single" w:sz="4" w:space="0" w:color="auto"/>
            </w:tcBorders>
          </w:tcPr>
          <w:p w14:paraId="7AABFC73"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My interaction with mobile banking services is clear and understandable</w:t>
            </w:r>
          </w:p>
        </w:tc>
        <w:tc>
          <w:tcPr>
            <w:tcW w:w="426" w:type="pct"/>
            <w:tcBorders>
              <w:top w:val="nil"/>
              <w:bottom w:val="single" w:sz="4" w:space="0" w:color="auto"/>
            </w:tcBorders>
            <w:noWrap/>
            <w:hideMark/>
          </w:tcPr>
          <w:p w14:paraId="3300CB94"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0.944</w:t>
            </w:r>
          </w:p>
        </w:tc>
      </w:tr>
      <w:tr w:rsidR="00497830" w:rsidRPr="000D44EC" w14:paraId="15E3AF21" w14:textId="77777777" w:rsidTr="00D1669C">
        <w:trPr>
          <w:trHeight w:val="20"/>
        </w:trPr>
        <w:tc>
          <w:tcPr>
            <w:tcW w:w="5000" w:type="pct"/>
            <w:gridSpan w:val="3"/>
            <w:tcBorders>
              <w:top w:val="single" w:sz="4" w:space="0" w:color="auto"/>
            </w:tcBorders>
            <w:noWrap/>
          </w:tcPr>
          <w:p w14:paraId="3D919A92" w14:textId="25F47981" w:rsidR="00497830" w:rsidRPr="000D44EC" w:rsidRDefault="00497830" w:rsidP="0056686A">
            <w:pPr>
              <w:spacing w:after="0"/>
              <w:contextualSpacing/>
              <w:jc w:val="center"/>
              <w:rPr>
                <w:rFonts w:ascii="Times New Roman" w:hAnsi="Times New Roman" w:cs="Times New Roman"/>
                <w:bCs/>
              </w:rPr>
            </w:pPr>
            <w:r w:rsidRPr="000D44EC">
              <w:rPr>
                <w:rFonts w:ascii="Times New Roman" w:hAnsi="Times New Roman" w:cs="Times New Roman"/>
                <w:bCs/>
              </w:rPr>
              <w:t>SI (CA = .75, CR = .84, AVE = .56)</w:t>
            </w:r>
            <w:r w:rsidRPr="000D44EC">
              <w:rPr>
                <w:rFonts w:ascii="Times New Roman" w:hAnsi="Times New Roman" w:cs="Times New Roman"/>
                <w:bCs/>
                <w:i/>
              </w:rPr>
              <w:t xml:space="preserve"> Source</w:t>
            </w:r>
            <w:r w:rsidRPr="000D44EC">
              <w:rPr>
                <w:rFonts w:ascii="Times New Roman" w:hAnsi="Times New Roman" w:cs="Times New Roman"/>
                <w:bCs/>
              </w:rPr>
              <w:t xml:space="preserve">: Venkatesh </w:t>
            </w:r>
            <w:r w:rsidRPr="000D44EC">
              <w:rPr>
                <w:rFonts w:ascii="Times New Roman" w:hAnsi="Times New Roman" w:cs="Times New Roman"/>
                <w:bCs/>
                <w:i/>
              </w:rPr>
              <w:t>et al</w:t>
            </w:r>
            <w:r w:rsidRPr="000D44EC">
              <w:rPr>
                <w:rFonts w:ascii="Times New Roman" w:hAnsi="Times New Roman" w:cs="Times New Roman"/>
                <w:bCs/>
              </w:rPr>
              <w:t xml:space="preserve">. </w:t>
            </w:r>
            <w:r w:rsidRPr="000D44EC">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{"citationItems":[{"id":"ITEM-1","itemData":{"DOI":"10.2307/30036540","abstract":"Information technology (IT) acceptance research has yielded many competing models, each with different sets of acceptance determinants. In this paper, we (1) review user acceptance literature and discuss eight prominent models, (2) empirically compare the eight models and their extensions, (3) formulate a unified model that integrates elements across the eight models, and (4) empirically validate the unified model. The eight models reviewed are the theory of reasoned action, the technology acceptance model, the motivational model, the theory of planned behavior, a model combining the technology acceptance model and the theory of planned behavior, the model of PC utilization, the innovation diffusion theory, and the social cognitive theory. Using data from four organizations over a six-month period with three points of measurement, the eight models explained between 17 percent and 53 percent of the variance in user intentions to use information technology. Next, a unified model, called the Unified Theory of Acceptance and Use of Technology (UTAUT), was formulated, with four core determinants of intention and usage, and up to four moderators of key relationships. UTAUT was then tested using the original data and found to outperform the eight individual models (adjusted R of 69 percent). UTAUT was then confirmed with data from two new organizations with similar results (adjusted R of 70 percent). UTAUT thus provides a useful tool for managers needing to assess the likelihood of success for new technology introductions and helps them understand the drivers of acceptance in order to proactively design interventions (including training, marketing, etc.) targeted at populations of users that may be less inclined to adopt and use new systems. The paper also makes several recommendations for future research including developing a deeper understanding of the dynamic influences studied here, refining measurement of the core constructs used in UTAUT, and understanding the organizational outcomes associated with new technology use.","author":[{"dropping-particle":"","family":"Venkatesh","given":"Viswanath","non-dropping-particle":"","parse-names":false,"suffix":""},{"dropping-particle":"","family":"Morris","given":"Michael G.","non-dropping-particle":"","parse-names":false,"suffix":""},{"dropping-particle":"","family":"Davis","given":"Gordon B.","non-dropping-particle":"","parse-names":false,"suffix":""},{"dropping-particle":"","family":"Davis","given":"Fred D.","non-dropping-particle":"","parse-names":false,"suffix":""}],"container-title":"MIS Quarterly","id":"ITEM-1","issue":"3","issued":{"date-parts":[["2003"]]},"page":"425","publisher":"Management Information Systems Research Center, University of Minnesota","title":"User Acceptance of Information Technology: Toward a Unified View","type":"article-journal","volume":"27"},"uris":["http://www.mendeley.com/documents/?uuid=07f868c3-3adf-4f1e-91bf-d93a91d07210"]},{"id":"ITEM-2","itemData":{"abstract":"This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quarterly","id":"ITEM-2","issued":{"date-parts":[["2012"]]},"page":"157-178","title":"Consumer acceptance and use of information technology: Extending the unified theory of acceptance and use of technology","type":"article-journal","volume":"36"},"uris":["http://www.mendeley.com/documents/?uuid=47aaf082-83a2-46f0-b062-9c6987a306c3"]}],"mendeley":{"formattedCitation":"(Venkatesh et al., 2003, 2012)","plainTextFormattedCitation":"(Venkatesh et al., 2003, 2012)","previouslyFormattedCitation":"(Venkatesh et al., 2003, 2012)"},"properties":{"noteIndex":0},"schema":"https://github.com/citation-style-language/schema/raw/master/csl-citation.json"}</w:instrText>
            </w:r>
            <w:r w:rsidRPr="000D44EC">
              <w:rPr>
                <w:rFonts w:ascii="Times New Roman" w:hAnsi="Times New Roman" w:cs="Times New Roman"/>
                <w:bCs/>
              </w:rPr>
              <w:fldChar w:fldCharType="separate"/>
            </w:r>
            <w:r w:rsidR="0056686A" w:rsidRPr="0056686A">
              <w:rPr>
                <w:rFonts w:ascii="Times New Roman" w:hAnsi="Times New Roman" w:cs="Times New Roman"/>
                <w:bCs/>
                <w:noProof/>
              </w:rPr>
              <w:t>(Venkatesh et al., 2003, 2012)</w:t>
            </w:r>
            <w:r w:rsidRPr="000D44EC">
              <w:rPr>
                <w:rFonts w:ascii="Times New Roman" w:hAnsi="Times New Roman" w:cs="Times New Roman"/>
                <w:bCs/>
              </w:rPr>
              <w:fldChar w:fldCharType="end"/>
            </w:r>
          </w:p>
        </w:tc>
      </w:tr>
      <w:tr w:rsidR="00497830" w:rsidRPr="000D44EC" w14:paraId="053C3677" w14:textId="77777777" w:rsidTr="00D1669C">
        <w:trPr>
          <w:trHeight w:val="20"/>
        </w:trPr>
        <w:tc>
          <w:tcPr>
            <w:tcW w:w="294" w:type="pct"/>
            <w:noWrap/>
            <w:hideMark/>
          </w:tcPr>
          <w:p w14:paraId="5AC24187"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SI1</w:t>
            </w:r>
          </w:p>
        </w:tc>
        <w:tc>
          <w:tcPr>
            <w:tcW w:w="4280" w:type="pct"/>
          </w:tcPr>
          <w:p w14:paraId="6958CF40"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People who are important to me suggested to use mobile banking services</w:t>
            </w:r>
          </w:p>
        </w:tc>
        <w:tc>
          <w:tcPr>
            <w:tcW w:w="426" w:type="pct"/>
            <w:noWrap/>
            <w:hideMark/>
          </w:tcPr>
          <w:p w14:paraId="0F13CA15"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0.732</w:t>
            </w:r>
          </w:p>
        </w:tc>
      </w:tr>
      <w:tr w:rsidR="00497830" w:rsidRPr="000D44EC" w14:paraId="003723BD" w14:textId="77777777" w:rsidTr="00D1669C">
        <w:trPr>
          <w:trHeight w:val="20"/>
        </w:trPr>
        <w:tc>
          <w:tcPr>
            <w:tcW w:w="294" w:type="pct"/>
            <w:noWrap/>
            <w:hideMark/>
          </w:tcPr>
          <w:p w14:paraId="7202147F"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SI2</w:t>
            </w:r>
          </w:p>
        </w:tc>
        <w:tc>
          <w:tcPr>
            <w:tcW w:w="4280" w:type="pct"/>
          </w:tcPr>
          <w:p w14:paraId="54D93EDA"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 xml:space="preserve">My co-worker suggested to use mobile banking services </w:t>
            </w:r>
          </w:p>
        </w:tc>
        <w:tc>
          <w:tcPr>
            <w:tcW w:w="426" w:type="pct"/>
            <w:noWrap/>
            <w:hideMark/>
          </w:tcPr>
          <w:p w14:paraId="2D4D0EA2"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0.715</w:t>
            </w:r>
          </w:p>
        </w:tc>
      </w:tr>
      <w:tr w:rsidR="00497830" w:rsidRPr="000D44EC" w14:paraId="403C3B04" w14:textId="77777777" w:rsidTr="00D1669C">
        <w:trPr>
          <w:trHeight w:val="20"/>
        </w:trPr>
        <w:tc>
          <w:tcPr>
            <w:tcW w:w="294" w:type="pct"/>
            <w:noWrap/>
            <w:hideMark/>
          </w:tcPr>
          <w:p w14:paraId="5E62B6B1"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SI3</w:t>
            </w:r>
          </w:p>
        </w:tc>
        <w:tc>
          <w:tcPr>
            <w:tcW w:w="4280" w:type="pct"/>
          </w:tcPr>
          <w:p w14:paraId="0C078483"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Mobile banking services use is a status symbol in my environment</w:t>
            </w:r>
          </w:p>
        </w:tc>
        <w:tc>
          <w:tcPr>
            <w:tcW w:w="426" w:type="pct"/>
            <w:noWrap/>
            <w:hideMark/>
          </w:tcPr>
          <w:p w14:paraId="17736025"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0.761</w:t>
            </w:r>
          </w:p>
        </w:tc>
      </w:tr>
      <w:tr w:rsidR="00497830" w:rsidRPr="000D44EC" w14:paraId="525594ED" w14:textId="77777777" w:rsidTr="00D1669C">
        <w:trPr>
          <w:trHeight w:val="20"/>
        </w:trPr>
        <w:tc>
          <w:tcPr>
            <w:tcW w:w="294" w:type="pct"/>
            <w:noWrap/>
            <w:hideMark/>
          </w:tcPr>
          <w:p w14:paraId="61B0DE8B"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SI4</w:t>
            </w:r>
          </w:p>
        </w:tc>
        <w:tc>
          <w:tcPr>
            <w:tcW w:w="4280" w:type="pct"/>
          </w:tcPr>
          <w:p w14:paraId="59566F62"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I believe that companies should support the use of mobile banking</w:t>
            </w:r>
          </w:p>
        </w:tc>
        <w:tc>
          <w:tcPr>
            <w:tcW w:w="426" w:type="pct"/>
            <w:noWrap/>
            <w:hideMark/>
          </w:tcPr>
          <w:p w14:paraId="63FBEA3A"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0.787</w:t>
            </w:r>
          </w:p>
        </w:tc>
      </w:tr>
      <w:tr w:rsidR="00497830" w:rsidRPr="000D44EC" w14:paraId="6A4D771D" w14:textId="77777777" w:rsidTr="00D1669C">
        <w:trPr>
          <w:trHeight w:val="20"/>
        </w:trPr>
        <w:tc>
          <w:tcPr>
            <w:tcW w:w="5000" w:type="pct"/>
            <w:gridSpan w:val="3"/>
            <w:tcBorders>
              <w:top w:val="single" w:sz="4" w:space="0" w:color="auto"/>
            </w:tcBorders>
            <w:noWrap/>
          </w:tcPr>
          <w:p w14:paraId="383F2A7B" w14:textId="73F672A0"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HB (CA = .90, CR = .93, AVE = .77)</w:t>
            </w:r>
            <w:r w:rsidRPr="000D44EC">
              <w:rPr>
                <w:rFonts w:ascii="Times New Roman" w:hAnsi="Times New Roman" w:cs="Times New Roman"/>
                <w:bCs/>
                <w:i/>
              </w:rPr>
              <w:t xml:space="preserve"> Source</w:t>
            </w:r>
            <w:r w:rsidRPr="000D44EC">
              <w:rPr>
                <w:rFonts w:ascii="Times New Roman" w:hAnsi="Times New Roman" w:cs="Times New Roman"/>
                <w:bCs/>
              </w:rPr>
              <w:t xml:space="preserve">: Venkatesh </w:t>
            </w:r>
            <w:r w:rsidRPr="000D44EC">
              <w:rPr>
                <w:rFonts w:ascii="Times New Roman" w:hAnsi="Times New Roman" w:cs="Times New Roman"/>
                <w:bCs/>
                <w:i/>
              </w:rPr>
              <w:t>et al</w:t>
            </w:r>
            <w:r w:rsidRPr="000D44EC">
              <w:rPr>
                <w:rFonts w:ascii="Times New Roman" w:hAnsi="Times New Roman" w:cs="Times New Roman"/>
                <w:bCs/>
              </w:rPr>
              <w:t xml:space="preserve">. </w:t>
            </w:r>
            <w:r w:rsidRPr="000D44EC">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quarterly","id":"ITEM-1","issued":{"date-parts":[["2012"]]},"page":"157-178","title":"Consumer acceptance and use of information technology: Extending the unified theory of acceptance and use of technology","type":"article-journal","volume":"36"},"uris":["http://www.mendeley.com/documents/?uuid=47aaf082-83a2-46f0-b062-9c6987a306c3"]}],"mendeley":{"formattedCitation":"(Venkatesh et al., 2012)","plainTextFormattedCitation":"(Venkatesh et al., 2012)","previouslyFormattedCitation":"(Venkatesh et al., 2012)"},"properties":{"noteIndex":0},"schema":"https://github.com/citation-style-language/schema/raw/master/csl-citation.json"}</w:instrText>
            </w:r>
            <w:r w:rsidRPr="000D44EC">
              <w:rPr>
                <w:rFonts w:ascii="Times New Roman" w:hAnsi="Times New Roman" w:cs="Times New Roman"/>
                <w:bCs/>
              </w:rPr>
              <w:fldChar w:fldCharType="separate"/>
            </w:r>
            <w:r w:rsidR="0056686A" w:rsidRPr="0056686A">
              <w:rPr>
                <w:rFonts w:ascii="Times New Roman" w:hAnsi="Times New Roman" w:cs="Times New Roman"/>
                <w:bCs/>
                <w:noProof/>
              </w:rPr>
              <w:t>(Venkatesh et al., 2012)</w:t>
            </w:r>
            <w:r w:rsidRPr="000D44EC">
              <w:rPr>
                <w:rFonts w:ascii="Times New Roman" w:hAnsi="Times New Roman" w:cs="Times New Roman"/>
                <w:bCs/>
              </w:rPr>
              <w:fldChar w:fldCharType="end"/>
            </w:r>
          </w:p>
        </w:tc>
      </w:tr>
      <w:tr w:rsidR="00497830" w:rsidRPr="000D44EC" w14:paraId="0B646B9B" w14:textId="77777777" w:rsidTr="00D1669C">
        <w:trPr>
          <w:trHeight w:val="20"/>
        </w:trPr>
        <w:tc>
          <w:tcPr>
            <w:tcW w:w="294" w:type="pct"/>
            <w:noWrap/>
            <w:hideMark/>
          </w:tcPr>
          <w:p w14:paraId="38DF89D9"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HB1</w:t>
            </w:r>
          </w:p>
        </w:tc>
        <w:tc>
          <w:tcPr>
            <w:tcW w:w="4280" w:type="pct"/>
          </w:tcPr>
          <w:p w14:paraId="72B81C66"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The use of mobile banking services has become a habit for me</w:t>
            </w:r>
          </w:p>
        </w:tc>
        <w:tc>
          <w:tcPr>
            <w:tcW w:w="426" w:type="pct"/>
            <w:noWrap/>
            <w:hideMark/>
          </w:tcPr>
          <w:p w14:paraId="1C267BB4"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0.896</w:t>
            </w:r>
          </w:p>
        </w:tc>
      </w:tr>
      <w:tr w:rsidR="00497830" w:rsidRPr="000D44EC" w14:paraId="78EA4C6D" w14:textId="77777777" w:rsidTr="00D1669C">
        <w:trPr>
          <w:trHeight w:val="20"/>
        </w:trPr>
        <w:tc>
          <w:tcPr>
            <w:tcW w:w="294" w:type="pct"/>
            <w:noWrap/>
            <w:hideMark/>
          </w:tcPr>
          <w:p w14:paraId="2680CA2A"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HB2</w:t>
            </w:r>
          </w:p>
        </w:tc>
        <w:tc>
          <w:tcPr>
            <w:tcW w:w="4280" w:type="pct"/>
          </w:tcPr>
          <w:p w14:paraId="35D87138"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I am addicted to using mobile banking services</w:t>
            </w:r>
          </w:p>
        </w:tc>
        <w:tc>
          <w:tcPr>
            <w:tcW w:w="426" w:type="pct"/>
            <w:noWrap/>
            <w:hideMark/>
          </w:tcPr>
          <w:p w14:paraId="4B7C4184"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0.900</w:t>
            </w:r>
          </w:p>
        </w:tc>
      </w:tr>
      <w:tr w:rsidR="00497830" w:rsidRPr="000D44EC" w14:paraId="140E5CBD" w14:textId="77777777" w:rsidTr="00D1669C">
        <w:trPr>
          <w:trHeight w:val="20"/>
        </w:trPr>
        <w:tc>
          <w:tcPr>
            <w:tcW w:w="294" w:type="pct"/>
            <w:tcBorders>
              <w:bottom w:val="nil"/>
            </w:tcBorders>
            <w:noWrap/>
            <w:hideMark/>
          </w:tcPr>
          <w:p w14:paraId="4F82EBE1"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HB3</w:t>
            </w:r>
          </w:p>
        </w:tc>
        <w:tc>
          <w:tcPr>
            <w:tcW w:w="4280" w:type="pct"/>
            <w:tcBorders>
              <w:bottom w:val="nil"/>
            </w:tcBorders>
          </w:tcPr>
          <w:p w14:paraId="6CA0015C"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 xml:space="preserve">I feel like I must use mobile banking services </w:t>
            </w:r>
          </w:p>
        </w:tc>
        <w:tc>
          <w:tcPr>
            <w:tcW w:w="426" w:type="pct"/>
            <w:tcBorders>
              <w:bottom w:val="nil"/>
            </w:tcBorders>
            <w:noWrap/>
            <w:hideMark/>
          </w:tcPr>
          <w:p w14:paraId="51611278"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0.805</w:t>
            </w:r>
          </w:p>
        </w:tc>
      </w:tr>
      <w:tr w:rsidR="00497830" w:rsidRPr="000D44EC" w14:paraId="67379808" w14:textId="77777777" w:rsidTr="00D1669C">
        <w:trPr>
          <w:trHeight w:val="20"/>
        </w:trPr>
        <w:tc>
          <w:tcPr>
            <w:tcW w:w="294" w:type="pct"/>
            <w:tcBorders>
              <w:top w:val="nil"/>
              <w:bottom w:val="single" w:sz="4" w:space="0" w:color="auto"/>
            </w:tcBorders>
            <w:noWrap/>
            <w:hideMark/>
          </w:tcPr>
          <w:p w14:paraId="06087BA8"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HB4</w:t>
            </w:r>
          </w:p>
        </w:tc>
        <w:tc>
          <w:tcPr>
            <w:tcW w:w="4280" w:type="pct"/>
            <w:tcBorders>
              <w:top w:val="nil"/>
              <w:bottom w:val="single" w:sz="4" w:space="0" w:color="auto"/>
            </w:tcBorders>
          </w:tcPr>
          <w:p w14:paraId="0E7C89F7"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Using mobile banking has become natural to me</w:t>
            </w:r>
          </w:p>
        </w:tc>
        <w:tc>
          <w:tcPr>
            <w:tcW w:w="426" w:type="pct"/>
            <w:tcBorders>
              <w:top w:val="nil"/>
              <w:bottom w:val="single" w:sz="4" w:space="0" w:color="auto"/>
            </w:tcBorders>
            <w:noWrap/>
            <w:hideMark/>
          </w:tcPr>
          <w:p w14:paraId="5AC58978"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0.905</w:t>
            </w:r>
          </w:p>
        </w:tc>
      </w:tr>
      <w:tr w:rsidR="00497830" w:rsidRPr="000D44EC" w14:paraId="08848487" w14:textId="77777777" w:rsidTr="00D1669C">
        <w:trPr>
          <w:trHeight w:val="20"/>
        </w:trPr>
        <w:tc>
          <w:tcPr>
            <w:tcW w:w="5000" w:type="pct"/>
            <w:gridSpan w:val="3"/>
            <w:tcBorders>
              <w:top w:val="single" w:sz="4" w:space="0" w:color="auto"/>
            </w:tcBorders>
            <w:noWrap/>
          </w:tcPr>
          <w:p w14:paraId="5AD06A22" w14:textId="33B652B5" w:rsidR="00497830" w:rsidRPr="000D44EC" w:rsidRDefault="00497830" w:rsidP="00B727AE">
            <w:pPr>
              <w:spacing w:after="0"/>
              <w:contextualSpacing/>
              <w:jc w:val="center"/>
              <w:rPr>
                <w:rFonts w:ascii="Times New Roman" w:hAnsi="Times New Roman" w:cs="Times New Roman"/>
                <w:bCs/>
              </w:rPr>
            </w:pPr>
            <w:r w:rsidRPr="000D44EC">
              <w:rPr>
                <w:rFonts w:ascii="Times New Roman" w:hAnsi="Times New Roman" w:cs="Times New Roman"/>
                <w:color w:val="000000" w:themeColor="text1"/>
              </w:rPr>
              <w:t>HM (CA = .82, CR = .88, AVE = .66)</w:t>
            </w:r>
            <w:r w:rsidRPr="000D44EC">
              <w:rPr>
                <w:rFonts w:ascii="Times New Roman" w:hAnsi="Times New Roman" w:cs="Times New Roman"/>
                <w:i/>
                <w:color w:val="000000" w:themeColor="text1"/>
              </w:rPr>
              <w:t xml:space="preserve"> Source</w:t>
            </w:r>
            <w:r w:rsidRPr="000D44EC">
              <w:rPr>
                <w:rFonts w:ascii="Times New Roman" w:hAnsi="Times New Roman" w:cs="Times New Roman"/>
                <w:color w:val="000000" w:themeColor="text1"/>
              </w:rPr>
              <w:t xml:space="preserve">: Venkatesh </w:t>
            </w:r>
            <w:r w:rsidRPr="000D44EC">
              <w:rPr>
                <w:rFonts w:ascii="Times New Roman" w:hAnsi="Times New Roman" w:cs="Times New Roman"/>
                <w:i/>
                <w:color w:val="000000" w:themeColor="text1"/>
              </w:rPr>
              <w:t>et al</w:t>
            </w:r>
            <w:r w:rsidRPr="000D44EC">
              <w:rPr>
                <w:rFonts w:ascii="Times New Roman" w:hAnsi="Times New Roman" w:cs="Times New Roman"/>
                <w:color w:val="000000" w:themeColor="text1"/>
              </w:rPr>
              <w:t>.</w:t>
            </w:r>
            <w:r w:rsidR="00B727AE">
              <w:rPr>
                <w:rFonts w:ascii="Times New Roman" w:hAnsi="Times New Roman" w:cs="Times New Roman"/>
                <w:color w:val="000000" w:themeColor="text1"/>
              </w:rPr>
              <w:t xml:space="preserve"> </w:t>
            </w:r>
            <w:r w:rsidR="00B727AE">
              <w:rPr>
                <w:rFonts w:ascii="Times New Roman" w:hAnsi="Times New Roman" w:cs="Times New Roman"/>
                <w:color w:val="000000" w:themeColor="text1"/>
              </w:rPr>
              <w:fldChar w:fldCharType="begin" w:fldLock="1"/>
            </w:r>
            <w:r w:rsidR="008F28C8">
              <w:rPr>
                <w:rFonts w:ascii="Times New Roman" w:hAnsi="Times New Roman" w:cs="Times New Roman"/>
                <w:color w:val="000000" w:themeColor="text1"/>
              </w:rPr>
              <w:instrText>ADDIN CSL_CITATION {"citationItems":[{"id":"ITEM-1","itemData":{"abstract":"This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quarterly","id":"ITEM-1","issued":{"date-parts":[["2012"]]},"page":"157-178","title":"Consumer acceptance and use of information technology: Extending the unified theory of acceptance and use of technology","type":"article-journal","volume":"36"},"uris":["http://www.mendeley.com/documents/?uuid=47aaf082-83a2-46f0-b062-9c6987a306c3"]}],"mendeley":{"formattedCitation":"(Venkatesh et al., 2012)","plainTextFormattedCitation":"(Venkatesh et al., 2012)","previouslyFormattedCitation":"(Venkatesh et al., 2012)"},"properties":{"noteIndex":0},"schema":"https://github.com/citation-style-language/schema/raw/master/csl-citation.json"}</w:instrText>
            </w:r>
            <w:r w:rsidR="00B727AE">
              <w:rPr>
                <w:rFonts w:ascii="Times New Roman" w:hAnsi="Times New Roman" w:cs="Times New Roman"/>
                <w:color w:val="000000" w:themeColor="text1"/>
              </w:rPr>
              <w:fldChar w:fldCharType="separate"/>
            </w:r>
            <w:r w:rsidR="0056686A" w:rsidRPr="0056686A">
              <w:rPr>
                <w:rFonts w:ascii="Times New Roman" w:hAnsi="Times New Roman" w:cs="Times New Roman"/>
                <w:noProof/>
                <w:color w:val="000000" w:themeColor="text1"/>
              </w:rPr>
              <w:t>(Venkatesh et al., 2012)</w:t>
            </w:r>
            <w:r w:rsidR="00B727AE">
              <w:rPr>
                <w:rFonts w:ascii="Times New Roman" w:hAnsi="Times New Roman" w:cs="Times New Roman"/>
                <w:color w:val="000000" w:themeColor="text1"/>
              </w:rPr>
              <w:fldChar w:fldCharType="end"/>
            </w:r>
            <w:r w:rsidR="00B727AE">
              <w:rPr>
                <w:rFonts w:ascii="Times New Roman" w:hAnsi="Times New Roman" w:cs="Times New Roman"/>
                <w:color w:val="000000" w:themeColor="text1"/>
              </w:rPr>
              <w:t xml:space="preserve"> </w:t>
            </w:r>
            <w:r w:rsidRPr="000D44EC">
              <w:rPr>
                <w:rFonts w:ascii="Times New Roman" w:hAnsi="Times New Roman" w:cs="Times New Roman"/>
                <w:color w:val="000000" w:themeColor="text1"/>
              </w:rPr>
              <w:t xml:space="preserve">and Lin </w:t>
            </w:r>
            <w:r w:rsidRPr="000D44EC">
              <w:rPr>
                <w:rFonts w:ascii="Times New Roman" w:hAnsi="Times New Roman" w:cs="Times New Roman"/>
                <w:color w:val="000000" w:themeColor="text1"/>
              </w:rPr>
              <w:fldChar w:fldCharType="begin" w:fldLock="1"/>
            </w:r>
            <w:r w:rsidR="0056686A">
              <w:rPr>
                <w:rFonts w:ascii="Times New Roman" w:hAnsi="Times New Roman" w:cs="Times New Roman"/>
                <w:color w:val="000000" w:themeColor="text1"/>
              </w:rPr>
              <w:instrText>ADDIN CSL_CITATION {"citationItems":[{"id":"ITEM-1","itemData":{"DOI":"10.1007/s11628-011-0115-9","abstract":"The main purpose of this study is to investigate gender differences in the linkage of online patronage behavior with multi-channel shopping values in context of TV-and-online retailing. Data collected from 226 respondents in Taiwan are tested against the research model using the partial least squares (PLS) approach. The empirical result shows that utilitarian and hedonic TV shopping values have indirect positive effects on consumer online patronage intention through their associated online counterparts. Additionally, both utilitarian and hedonic TV shopping values are found to influence their associated online counterparts more strongly for men than for women. The findings of this study provide several important implications for the research and practice of multi-channel retail service.","author":[{"dropping-particle":"","family":"Lin","given":"Hsin-Hui","non-dropping-particle":"","parse-names":false,"suffix":""}],"container-title":"Service Business","id":"ITEM-1","issue":"4","issued":{"date-parts":[["2011","12"]]},"page":"295-312","title":"Gender differences in the linkage of online patronage behavior with TV-and-online shopping values","type":"article-journal","volume":"5"},"uris":["http://www.mendeley.com/documents/?uuid=a3e4e291-3515-40d0-86cd-a7c69ba7442d"]}],"mendeley":{"formattedCitation":"(Lin, 2011)","plainTextFormattedCitation":"(Lin, 2011)","previouslyFormattedCitation":"(Lin, 2011)"},"properties":{"noteIndex":0},"schema":"https://github.com/citation-style-language/schema/raw/master/csl-citation.json"}</w:instrText>
            </w:r>
            <w:r w:rsidRPr="000D44EC">
              <w:rPr>
                <w:rFonts w:ascii="Times New Roman" w:hAnsi="Times New Roman" w:cs="Times New Roman"/>
                <w:color w:val="000000" w:themeColor="text1"/>
              </w:rPr>
              <w:fldChar w:fldCharType="separate"/>
            </w:r>
            <w:r w:rsidR="0056686A" w:rsidRPr="0056686A">
              <w:rPr>
                <w:rFonts w:ascii="Times New Roman" w:hAnsi="Times New Roman" w:cs="Times New Roman"/>
                <w:noProof/>
                <w:color w:val="000000" w:themeColor="text1"/>
              </w:rPr>
              <w:t>(Lin, 2011)</w:t>
            </w:r>
            <w:r w:rsidRPr="000D44EC">
              <w:rPr>
                <w:rFonts w:ascii="Times New Roman" w:hAnsi="Times New Roman" w:cs="Times New Roman"/>
                <w:color w:val="000000" w:themeColor="text1"/>
              </w:rPr>
              <w:fldChar w:fldCharType="end"/>
            </w:r>
          </w:p>
        </w:tc>
      </w:tr>
      <w:tr w:rsidR="00497830" w:rsidRPr="000D44EC" w14:paraId="3ACE4825" w14:textId="77777777" w:rsidTr="00D1669C">
        <w:trPr>
          <w:trHeight w:val="20"/>
        </w:trPr>
        <w:tc>
          <w:tcPr>
            <w:tcW w:w="294" w:type="pct"/>
            <w:noWrap/>
            <w:hideMark/>
          </w:tcPr>
          <w:p w14:paraId="5EDCF147"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HM1</w:t>
            </w:r>
          </w:p>
        </w:tc>
        <w:tc>
          <w:tcPr>
            <w:tcW w:w="4280" w:type="pct"/>
          </w:tcPr>
          <w:p w14:paraId="5D212082"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My curiosity is often stimulated by mobile banking app</w:t>
            </w:r>
          </w:p>
        </w:tc>
        <w:tc>
          <w:tcPr>
            <w:tcW w:w="426" w:type="pct"/>
            <w:noWrap/>
            <w:hideMark/>
          </w:tcPr>
          <w:p w14:paraId="5AE914C2"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0.757</w:t>
            </w:r>
          </w:p>
        </w:tc>
      </w:tr>
      <w:tr w:rsidR="00497830" w:rsidRPr="000D44EC" w14:paraId="1E85DF2B" w14:textId="77777777" w:rsidTr="00D1669C">
        <w:trPr>
          <w:trHeight w:val="20"/>
        </w:trPr>
        <w:tc>
          <w:tcPr>
            <w:tcW w:w="294" w:type="pct"/>
            <w:noWrap/>
            <w:hideMark/>
          </w:tcPr>
          <w:p w14:paraId="16B27BFA"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HM2</w:t>
            </w:r>
          </w:p>
        </w:tc>
        <w:tc>
          <w:tcPr>
            <w:tcW w:w="4280" w:type="pct"/>
          </w:tcPr>
          <w:p w14:paraId="584AD2B4"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I enjoy using mobile banking</w:t>
            </w:r>
          </w:p>
        </w:tc>
        <w:tc>
          <w:tcPr>
            <w:tcW w:w="426" w:type="pct"/>
            <w:noWrap/>
            <w:hideMark/>
          </w:tcPr>
          <w:p w14:paraId="498215A9"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0.879</w:t>
            </w:r>
          </w:p>
        </w:tc>
      </w:tr>
      <w:tr w:rsidR="00497830" w:rsidRPr="000D44EC" w14:paraId="4109F33A" w14:textId="77777777" w:rsidTr="00D1669C">
        <w:trPr>
          <w:trHeight w:val="20"/>
        </w:trPr>
        <w:tc>
          <w:tcPr>
            <w:tcW w:w="294" w:type="pct"/>
            <w:tcBorders>
              <w:bottom w:val="nil"/>
            </w:tcBorders>
            <w:noWrap/>
            <w:hideMark/>
          </w:tcPr>
          <w:p w14:paraId="10CF483F"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HM3</w:t>
            </w:r>
          </w:p>
        </w:tc>
        <w:tc>
          <w:tcPr>
            <w:tcW w:w="4280" w:type="pct"/>
            <w:tcBorders>
              <w:bottom w:val="nil"/>
            </w:tcBorders>
          </w:tcPr>
          <w:p w14:paraId="7B134145"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While using mobile banking, I felt a sense of adventure</w:t>
            </w:r>
          </w:p>
        </w:tc>
        <w:tc>
          <w:tcPr>
            <w:tcW w:w="426" w:type="pct"/>
            <w:tcBorders>
              <w:bottom w:val="nil"/>
            </w:tcBorders>
            <w:noWrap/>
            <w:hideMark/>
          </w:tcPr>
          <w:p w14:paraId="2CBBF099"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0.809</w:t>
            </w:r>
          </w:p>
        </w:tc>
      </w:tr>
      <w:tr w:rsidR="00497830" w:rsidRPr="000D44EC" w14:paraId="0C54A536" w14:textId="77777777" w:rsidTr="00D1669C">
        <w:trPr>
          <w:trHeight w:val="20"/>
        </w:trPr>
        <w:tc>
          <w:tcPr>
            <w:tcW w:w="294" w:type="pct"/>
            <w:tcBorders>
              <w:top w:val="nil"/>
              <w:bottom w:val="single" w:sz="4" w:space="0" w:color="auto"/>
            </w:tcBorders>
            <w:noWrap/>
            <w:hideMark/>
          </w:tcPr>
          <w:p w14:paraId="35C4C326"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HM4</w:t>
            </w:r>
          </w:p>
        </w:tc>
        <w:tc>
          <w:tcPr>
            <w:tcW w:w="4280" w:type="pct"/>
            <w:tcBorders>
              <w:top w:val="nil"/>
              <w:bottom w:val="single" w:sz="4" w:space="0" w:color="auto"/>
            </w:tcBorders>
          </w:tcPr>
          <w:p w14:paraId="587F62CB"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I use mobile banking to keep up with the trends</w:t>
            </w:r>
          </w:p>
        </w:tc>
        <w:tc>
          <w:tcPr>
            <w:tcW w:w="426" w:type="pct"/>
            <w:tcBorders>
              <w:top w:val="nil"/>
              <w:bottom w:val="single" w:sz="4" w:space="0" w:color="auto"/>
            </w:tcBorders>
            <w:noWrap/>
            <w:hideMark/>
          </w:tcPr>
          <w:p w14:paraId="29FDE55B"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0.791</w:t>
            </w:r>
          </w:p>
        </w:tc>
      </w:tr>
      <w:tr w:rsidR="00497830" w:rsidRPr="000D44EC" w14:paraId="4D65E924" w14:textId="77777777" w:rsidTr="00D1669C">
        <w:trPr>
          <w:trHeight w:val="20"/>
        </w:trPr>
        <w:tc>
          <w:tcPr>
            <w:tcW w:w="5000" w:type="pct"/>
            <w:gridSpan w:val="3"/>
            <w:tcBorders>
              <w:top w:val="single" w:sz="4" w:space="0" w:color="auto"/>
            </w:tcBorders>
            <w:noWrap/>
          </w:tcPr>
          <w:p w14:paraId="2652B13B" w14:textId="6FFF8A3D" w:rsidR="00497830" w:rsidRPr="000D44EC" w:rsidRDefault="00497830" w:rsidP="00B727AE">
            <w:pPr>
              <w:spacing w:after="0"/>
              <w:contextualSpacing/>
              <w:jc w:val="center"/>
              <w:rPr>
                <w:rFonts w:ascii="Times New Roman" w:hAnsi="Times New Roman" w:cs="Times New Roman"/>
                <w:bCs/>
              </w:rPr>
            </w:pPr>
            <w:r w:rsidRPr="000D44EC">
              <w:rPr>
                <w:rFonts w:ascii="Times New Roman" w:hAnsi="Times New Roman" w:cs="Times New Roman"/>
                <w:bCs/>
              </w:rPr>
              <w:t xml:space="preserve">GM (CA = .79, CR = .86, AVE = .61) </w:t>
            </w:r>
            <w:r w:rsidRPr="000D44EC">
              <w:rPr>
                <w:rFonts w:ascii="Times New Roman" w:hAnsi="Times New Roman" w:cs="Times New Roman"/>
                <w:bCs/>
                <w:i/>
              </w:rPr>
              <w:t>Source</w:t>
            </w:r>
            <w:r w:rsidRPr="000D44EC">
              <w:rPr>
                <w:rFonts w:ascii="Times New Roman" w:hAnsi="Times New Roman" w:cs="Times New Roman"/>
                <w:bCs/>
              </w:rPr>
              <w:t>: Baptista and Oliveira</w:t>
            </w:r>
            <w:r w:rsidR="00B727AE">
              <w:rPr>
                <w:rFonts w:ascii="Times New Roman" w:hAnsi="Times New Roman" w:cs="Times New Roman"/>
                <w:bCs/>
              </w:rPr>
              <w:t xml:space="preserve"> </w:t>
            </w:r>
            <w:r w:rsidR="00B727AE">
              <w:rPr>
                <w:rFonts w:ascii="Times New Roman" w:hAnsi="Times New Roman" w:cs="Times New Roman"/>
                <w:bCs/>
              </w:rPr>
              <w:fldChar w:fldCharType="begin" w:fldLock="1"/>
            </w:r>
            <w:r w:rsidR="008F28C8">
              <w:rPr>
                <w:rFonts w:ascii="Times New Roman" w:hAnsi="Times New Roman" w:cs="Times New Roman"/>
                <w:bCs/>
              </w:rPr>
              <w:instrText>ADDIN CSL_CITATION {"citationItems":[{"id":"ITEM-1","itemData":{"DOI":"10.1108/IntR-10-2015-0295","ISSN":"1066-2243","abstract":"Purpose The purpose of this paper is to identify the potential impact of the utilization of game mechanics and game design techniques in the acceptance of mobile banking services. Design/methodology/approach The theoretical model was tested in a quantitative study using structural equation modelling, conducted in Brazil, with actual local banking customers. Findings The findings show that there is a direct and strong relationship between gamification and intention to use mobile banking services, supporting that, when used and designed properly, gamification can help make banking activities more exciting, more interesting and more enjoyable, and in turn increase customer acceptance, engagement and satisfaction. Research limitations/implications The research extends the unified theory of acceptance and use of technology (UTAUT2), and prior research to include gamification impact. The result is a more descriptive model that better explains consumers’ decision to use mobile banking services. Practical implica...","author":[{"dropping-particle":"","family":"Baptista","given":"Goncalo","non-dropping-particle":"","parse-names":false,"suffix":""},{"dropping-particle":"","family":"Oliveira","given":"Tiago","non-dropping-particle":"","parse-names":false,"suffix":""}],"container-title":"Internet Research","id":"ITEM-1","issue":"1","issued":{"date-parts":[["2017","2"]]},"page":"118-139","publisher":"Emerald Publishing Limited","title":"Why so serious? Gamification impact in the acceptance of mobile banking services","type":"article-journal","volume":"27"},"uris":["http://www.mendeley.com/documents/?uuid=0b3f374e-8b77-42e6-bc77-b7919247f6cf"]}],"mendeley":{"formattedCitation":"(Baptista &amp; Oliveira, 2017)","plainTextFormattedCitation":"(Baptista &amp; Oliveira, 2017)","previouslyFormattedCitation":"(Baptista &amp; Oliveira, 2017)"},"properties":{"noteIndex":0},"schema":"https://github.com/citation-style-language/schema/raw/master/csl-citation.json"}</w:instrText>
            </w:r>
            <w:r w:rsidR="00B727AE">
              <w:rPr>
                <w:rFonts w:ascii="Times New Roman" w:hAnsi="Times New Roman" w:cs="Times New Roman"/>
                <w:bCs/>
              </w:rPr>
              <w:fldChar w:fldCharType="separate"/>
            </w:r>
            <w:r w:rsidR="0056686A" w:rsidRPr="0056686A">
              <w:rPr>
                <w:rFonts w:ascii="Times New Roman" w:hAnsi="Times New Roman" w:cs="Times New Roman"/>
                <w:bCs/>
                <w:noProof/>
              </w:rPr>
              <w:t>(Baptista &amp; Oliveira, 2017)</w:t>
            </w:r>
            <w:r w:rsidR="00B727AE">
              <w:rPr>
                <w:rFonts w:ascii="Times New Roman" w:hAnsi="Times New Roman" w:cs="Times New Roman"/>
                <w:bCs/>
              </w:rPr>
              <w:fldChar w:fldCharType="end"/>
            </w:r>
            <w:r w:rsidRPr="000D44EC">
              <w:rPr>
                <w:rFonts w:ascii="Times New Roman" w:hAnsi="Times New Roman" w:cs="Times New Roman"/>
                <w:bCs/>
              </w:rPr>
              <w:t xml:space="preserve"> and Sigala </w:t>
            </w:r>
            <w:r w:rsidRPr="000D44EC">
              <w:rPr>
                <w:rFonts w:ascii="Times New Roman" w:hAnsi="Times New Roman" w:cs="Times New Roman"/>
                <w:bCs/>
              </w:rPr>
              <w:fldChar w:fldCharType="begin" w:fldLock="1"/>
            </w:r>
            <w:r w:rsidR="0056686A">
              <w:rPr>
                <w:rFonts w:ascii="Times New Roman" w:hAnsi="Times New Roman" w:cs="Times New Roman"/>
                <w:bCs/>
              </w:rPr>
              <w:instrText>ADDIN CSL_CITATION {"citationItems":[{"id":"ITEM-1","itemData":{"DOI":"10.1007/s12525-014-0179-1","abstract":"Despite the wide diffusion of gamification in business, limited research exists investigating the application and impacts of gamification. As the gamification effects are heavily dependent on the context of its implementation, this study used the design of the TripAdvisor’s funware for investigating the use and the impacts of gamification in a specific tourism context. After reviewing the literature for understanding how to design funwares that can lead to desired experiential and behavioural user outcomes, the paper discusses the way in which the TripAdvisor designed its funware for motivating the travellers to engage with its website and for enhancing the travellers’ online experiential values and trip planning processes. Data from TripAdvisor users were also collected for investigating the impacts of the TripAdvisor’s funware design on the following users’ outcomes: experiential values gained by using TripAdvisor; impacts of TripAdvisor on travellers’ trip planning processes; impacts of Tripadvisor on trip experiences. Finally, the paper discusses the implications of the findings to researchers, designers and tourism organisations.","author":[{"dropping-particle":"","family":"Sigala","given":"Marianna","non-dropping-particle":"","parse-names":false,"suffix":""}],"container-title":"Electronic Markets","id":"ITEM-1","issue":"3","issued":{"date-parts":[["2015","9"]]},"page":"189-209","publisher":"Springer Berlin Heidelberg","title":"The application and impact of gamification funware on trip planning and experiences: the case of TripAdvisor’s funware","type":"article-journal","volume":"25"},"uris":["http://www.mendeley.com/documents/?uuid=f3c2cc86-dcf7-4b70-95ef-08b4b978e185"]}],"mendeley":{"formattedCitation":"(Sigala, 2015)","plainTextFormattedCitation":"(Sigala, 2015)","previouslyFormattedCitation":"(Sigala, 2015)"},"properties":{"noteIndex":0},"schema":"https://github.com/citation-style-language/schema/raw/master/csl-citation.json"}</w:instrText>
            </w:r>
            <w:r w:rsidRPr="000D44EC">
              <w:rPr>
                <w:rFonts w:ascii="Times New Roman" w:hAnsi="Times New Roman" w:cs="Times New Roman"/>
                <w:bCs/>
              </w:rPr>
              <w:fldChar w:fldCharType="separate"/>
            </w:r>
            <w:r w:rsidR="0056686A" w:rsidRPr="0056686A">
              <w:rPr>
                <w:rFonts w:ascii="Times New Roman" w:hAnsi="Times New Roman" w:cs="Times New Roman"/>
                <w:bCs/>
                <w:noProof/>
              </w:rPr>
              <w:t>(Sigala, 2015)</w:t>
            </w:r>
            <w:r w:rsidRPr="000D44EC">
              <w:rPr>
                <w:rFonts w:ascii="Times New Roman" w:hAnsi="Times New Roman" w:cs="Times New Roman"/>
                <w:bCs/>
              </w:rPr>
              <w:fldChar w:fldCharType="end"/>
            </w:r>
          </w:p>
        </w:tc>
      </w:tr>
      <w:tr w:rsidR="00497830" w:rsidRPr="000D44EC" w14:paraId="0879D1CC" w14:textId="77777777" w:rsidTr="00D1669C">
        <w:trPr>
          <w:trHeight w:val="20"/>
        </w:trPr>
        <w:tc>
          <w:tcPr>
            <w:tcW w:w="294" w:type="pct"/>
            <w:noWrap/>
            <w:hideMark/>
          </w:tcPr>
          <w:p w14:paraId="59ADF992" w14:textId="445CBCC4" w:rsidR="00497830" w:rsidRPr="000D44EC" w:rsidRDefault="00497830" w:rsidP="00B727AE">
            <w:pPr>
              <w:spacing w:after="0"/>
              <w:contextualSpacing/>
              <w:rPr>
                <w:rFonts w:ascii="Times New Roman" w:hAnsi="Times New Roman" w:cs="Times New Roman"/>
                <w:bCs/>
              </w:rPr>
            </w:pPr>
            <w:r w:rsidRPr="000D44EC">
              <w:rPr>
                <w:rFonts w:ascii="Times New Roman" w:hAnsi="Times New Roman" w:cs="Times New Roman"/>
                <w:bCs/>
              </w:rPr>
              <w:t>G</w:t>
            </w:r>
            <w:r w:rsidR="00B727AE">
              <w:rPr>
                <w:rFonts w:ascii="Times New Roman" w:hAnsi="Times New Roman" w:cs="Times New Roman"/>
                <w:bCs/>
              </w:rPr>
              <w:t>M</w:t>
            </w:r>
            <w:r w:rsidRPr="000D44EC">
              <w:rPr>
                <w:rFonts w:ascii="Times New Roman" w:hAnsi="Times New Roman" w:cs="Times New Roman"/>
                <w:bCs/>
              </w:rPr>
              <w:t>1</w:t>
            </w:r>
          </w:p>
        </w:tc>
        <w:tc>
          <w:tcPr>
            <w:tcW w:w="4280" w:type="pct"/>
          </w:tcPr>
          <w:p w14:paraId="024C3AAC"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If using mobile banking would give me points, rewards and prizes I would use more often</w:t>
            </w:r>
          </w:p>
        </w:tc>
        <w:tc>
          <w:tcPr>
            <w:tcW w:w="426" w:type="pct"/>
            <w:noWrap/>
            <w:hideMark/>
          </w:tcPr>
          <w:p w14:paraId="417389CA"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0.767</w:t>
            </w:r>
          </w:p>
        </w:tc>
      </w:tr>
      <w:tr w:rsidR="00497830" w:rsidRPr="000D44EC" w14:paraId="283FC9B6" w14:textId="77777777" w:rsidTr="00D1669C">
        <w:trPr>
          <w:trHeight w:val="20"/>
        </w:trPr>
        <w:tc>
          <w:tcPr>
            <w:tcW w:w="294" w:type="pct"/>
            <w:noWrap/>
            <w:hideMark/>
          </w:tcPr>
          <w:p w14:paraId="44722732" w14:textId="459AE18D" w:rsidR="00497830" w:rsidRPr="000D44EC" w:rsidRDefault="00B727AE" w:rsidP="00D1669C">
            <w:pPr>
              <w:spacing w:after="0"/>
              <w:contextualSpacing/>
              <w:rPr>
                <w:rFonts w:ascii="Times New Roman" w:hAnsi="Times New Roman" w:cs="Times New Roman"/>
                <w:bCs/>
              </w:rPr>
            </w:pPr>
            <w:r>
              <w:rPr>
                <w:rFonts w:ascii="Times New Roman" w:hAnsi="Times New Roman" w:cs="Times New Roman"/>
                <w:bCs/>
              </w:rPr>
              <w:t>GM</w:t>
            </w:r>
            <w:r w:rsidR="00497830" w:rsidRPr="000D44EC">
              <w:rPr>
                <w:rFonts w:ascii="Times New Roman" w:hAnsi="Times New Roman" w:cs="Times New Roman"/>
                <w:bCs/>
              </w:rPr>
              <w:t>2</w:t>
            </w:r>
          </w:p>
        </w:tc>
        <w:tc>
          <w:tcPr>
            <w:tcW w:w="4280" w:type="pct"/>
          </w:tcPr>
          <w:p w14:paraId="6A5689D2"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If mobile banking was more fun/enjoyable I probably would use it more often</w:t>
            </w:r>
          </w:p>
        </w:tc>
        <w:tc>
          <w:tcPr>
            <w:tcW w:w="426" w:type="pct"/>
            <w:noWrap/>
            <w:hideMark/>
          </w:tcPr>
          <w:p w14:paraId="14F22345"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0.811</w:t>
            </w:r>
          </w:p>
        </w:tc>
      </w:tr>
      <w:tr w:rsidR="00497830" w:rsidRPr="000D44EC" w14:paraId="749BF165" w14:textId="77777777" w:rsidTr="00D1669C">
        <w:trPr>
          <w:trHeight w:val="20"/>
        </w:trPr>
        <w:tc>
          <w:tcPr>
            <w:tcW w:w="294" w:type="pct"/>
            <w:tcBorders>
              <w:bottom w:val="nil"/>
            </w:tcBorders>
            <w:noWrap/>
            <w:hideMark/>
          </w:tcPr>
          <w:p w14:paraId="322A1513" w14:textId="1DB614A1" w:rsidR="00497830" w:rsidRPr="000D44EC" w:rsidRDefault="00B727AE" w:rsidP="00D1669C">
            <w:pPr>
              <w:spacing w:after="0"/>
              <w:contextualSpacing/>
              <w:rPr>
                <w:rFonts w:ascii="Times New Roman" w:hAnsi="Times New Roman" w:cs="Times New Roman"/>
                <w:bCs/>
              </w:rPr>
            </w:pPr>
            <w:r>
              <w:rPr>
                <w:rFonts w:ascii="Times New Roman" w:hAnsi="Times New Roman" w:cs="Times New Roman"/>
                <w:bCs/>
              </w:rPr>
              <w:t>GM</w:t>
            </w:r>
            <w:r w:rsidR="00497830" w:rsidRPr="000D44EC">
              <w:rPr>
                <w:rFonts w:ascii="Times New Roman" w:hAnsi="Times New Roman" w:cs="Times New Roman"/>
                <w:bCs/>
              </w:rPr>
              <w:t>3</w:t>
            </w:r>
          </w:p>
        </w:tc>
        <w:tc>
          <w:tcPr>
            <w:tcW w:w="4280" w:type="pct"/>
            <w:tcBorders>
              <w:bottom w:val="nil"/>
            </w:tcBorders>
          </w:tcPr>
          <w:p w14:paraId="13773819"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Mobile banking helps me reach my financial achievements and deplete my creativity</w:t>
            </w:r>
          </w:p>
        </w:tc>
        <w:tc>
          <w:tcPr>
            <w:tcW w:w="426" w:type="pct"/>
            <w:tcBorders>
              <w:bottom w:val="nil"/>
            </w:tcBorders>
            <w:noWrap/>
            <w:hideMark/>
          </w:tcPr>
          <w:p w14:paraId="5FAFC16A"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0.810</w:t>
            </w:r>
          </w:p>
        </w:tc>
      </w:tr>
      <w:tr w:rsidR="00497830" w:rsidRPr="000D44EC" w14:paraId="759806B1" w14:textId="77777777" w:rsidTr="00D1669C">
        <w:trPr>
          <w:trHeight w:val="20"/>
        </w:trPr>
        <w:tc>
          <w:tcPr>
            <w:tcW w:w="294" w:type="pct"/>
            <w:tcBorders>
              <w:top w:val="nil"/>
              <w:bottom w:val="single" w:sz="4" w:space="0" w:color="auto"/>
            </w:tcBorders>
            <w:noWrap/>
            <w:hideMark/>
          </w:tcPr>
          <w:p w14:paraId="1D88B37E" w14:textId="1E949BC7" w:rsidR="00497830" w:rsidRPr="000D44EC" w:rsidRDefault="00B727AE" w:rsidP="00D1669C">
            <w:pPr>
              <w:spacing w:after="0"/>
              <w:contextualSpacing/>
              <w:rPr>
                <w:rFonts w:ascii="Times New Roman" w:hAnsi="Times New Roman" w:cs="Times New Roman"/>
                <w:bCs/>
              </w:rPr>
            </w:pPr>
            <w:r>
              <w:rPr>
                <w:rFonts w:ascii="Times New Roman" w:hAnsi="Times New Roman" w:cs="Times New Roman"/>
                <w:bCs/>
              </w:rPr>
              <w:t>GM</w:t>
            </w:r>
            <w:r w:rsidR="00497830" w:rsidRPr="000D44EC">
              <w:rPr>
                <w:rFonts w:ascii="Times New Roman" w:hAnsi="Times New Roman" w:cs="Times New Roman"/>
                <w:bCs/>
              </w:rPr>
              <w:t>4</w:t>
            </w:r>
          </w:p>
        </w:tc>
        <w:tc>
          <w:tcPr>
            <w:tcW w:w="4280" w:type="pct"/>
            <w:tcBorders>
              <w:top w:val="nil"/>
              <w:bottom w:val="single" w:sz="4" w:space="0" w:color="auto"/>
            </w:tcBorders>
          </w:tcPr>
          <w:p w14:paraId="205AAFBC"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Mobile banking with animated and gamified elements facilitates the money management</w:t>
            </w:r>
          </w:p>
        </w:tc>
        <w:tc>
          <w:tcPr>
            <w:tcW w:w="426" w:type="pct"/>
            <w:tcBorders>
              <w:top w:val="nil"/>
              <w:bottom w:val="single" w:sz="4" w:space="0" w:color="auto"/>
            </w:tcBorders>
            <w:noWrap/>
            <w:hideMark/>
          </w:tcPr>
          <w:p w14:paraId="5214734C"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0.726</w:t>
            </w:r>
          </w:p>
        </w:tc>
      </w:tr>
      <w:tr w:rsidR="00497830" w:rsidRPr="000D44EC" w14:paraId="62865AE3" w14:textId="77777777" w:rsidTr="00D1669C">
        <w:trPr>
          <w:trHeight w:val="20"/>
        </w:trPr>
        <w:tc>
          <w:tcPr>
            <w:tcW w:w="5000" w:type="pct"/>
            <w:gridSpan w:val="3"/>
            <w:tcBorders>
              <w:top w:val="single" w:sz="4" w:space="0" w:color="auto"/>
            </w:tcBorders>
            <w:noWrap/>
          </w:tcPr>
          <w:p w14:paraId="6445BD91" w14:textId="07E70080" w:rsidR="00497830" w:rsidRPr="000D44EC" w:rsidRDefault="00497830" w:rsidP="00B727AE">
            <w:pPr>
              <w:spacing w:after="0"/>
              <w:contextualSpacing/>
              <w:jc w:val="center"/>
              <w:rPr>
                <w:rFonts w:ascii="Times New Roman" w:hAnsi="Times New Roman" w:cs="Times New Roman"/>
                <w:bCs/>
              </w:rPr>
            </w:pPr>
            <w:r w:rsidRPr="000D44EC">
              <w:rPr>
                <w:rFonts w:ascii="Times New Roman" w:hAnsi="Times New Roman" w:cs="Times New Roman"/>
                <w:color w:val="000000" w:themeColor="text1"/>
              </w:rPr>
              <w:t xml:space="preserve">BI (CA = .88, CR = .92, AVE = .74) </w:t>
            </w:r>
            <w:r w:rsidRPr="000D44EC">
              <w:rPr>
                <w:rFonts w:ascii="Times New Roman" w:hAnsi="Times New Roman" w:cs="Times New Roman"/>
                <w:i/>
                <w:color w:val="000000" w:themeColor="text1"/>
              </w:rPr>
              <w:t>Source</w:t>
            </w:r>
            <w:r w:rsidRPr="000D44EC">
              <w:rPr>
                <w:rFonts w:ascii="Times New Roman" w:hAnsi="Times New Roman" w:cs="Times New Roman"/>
                <w:color w:val="000000" w:themeColor="text1"/>
              </w:rPr>
              <w:t xml:space="preserve">: Venkatesh </w:t>
            </w:r>
            <w:r w:rsidRPr="000D44EC">
              <w:rPr>
                <w:rFonts w:ascii="Times New Roman" w:hAnsi="Times New Roman" w:cs="Times New Roman"/>
                <w:i/>
                <w:color w:val="000000" w:themeColor="text1"/>
              </w:rPr>
              <w:t>et al</w:t>
            </w:r>
            <w:r w:rsidRPr="000D44EC">
              <w:rPr>
                <w:rFonts w:ascii="Times New Roman" w:hAnsi="Times New Roman" w:cs="Times New Roman"/>
                <w:color w:val="000000" w:themeColor="text1"/>
              </w:rPr>
              <w:t>.</w:t>
            </w:r>
            <w:r w:rsidR="00B727AE">
              <w:rPr>
                <w:rFonts w:ascii="Times New Roman" w:hAnsi="Times New Roman" w:cs="Times New Roman"/>
                <w:color w:val="000000" w:themeColor="text1"/>
              </w:rPr>
              <w:t xml:space="preserve"> </w:t>
            </w:r>
            <w:r w:rsidR="00B727AE">
              <w:rPr>
                <w:rFonts w:ascii="Times New Roman" w:hAnsi="Times New Roman" w:cs="Times New Roman"/>
                <w:color w:val="000000" w:themeColor="text1"/>
              </w:rPr>
              <w:fldChar w:fldCharType="begin" w:fldLock="1"/>
            </w:r>
            <w:r w:rsidR="008F28C8">
              <w:rPr>
                <w:rFonts w:ascii="Times New Roman" w:hAnsi="Times New Roman" w:cs="Times New Roman"/>
                <w:color w:val="000000" w:themeColor="text1"/>
              </w:rPr>
              <w:instrText>ADDIN CSL_CITATION {"citationItems":[{"id":"ITEM-1","itemData":{"abstract":"This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quarterly","id":"ITEM-1","issued":{"date-parts":[["2012"]]},"page":"157-178","title":"Consumer acceptance and use of information technology: Extending the unified theory of acceptance and use of technology","type":"article-journal","volume":"36"},"uris":["http://www.mendeley.com/documents/?uuid=47aaf082-83a2-46f0-b062-9c6987a306c3"]}],"mendeley":{"formattedCitation":"(Venkatesh et al., 2012)","plainTextFormattedCitation":"(Venkatesh et al., 2012)","previouslyFormattedCitation":"(Venkatesh et al., 2012)"},"properties":{"noteIndex":0},"schema":"https://github.com/citation-style-language/schema/raw/master/csl-citation.json"}</w:instrText>
            </w:r>
            <w:r w:rsidR="00B727AE">
              <w:rPr>
                <w:rFonts w:ascii="Times New Roman" w:hAnsi="Times New Roman" w:cs="Times New Roman"/>
                <w:color w:val="000000" w:themeColor="text1"/>
              </w:rPr>
              <w:fldChar w:fldCharType="separate"/>
            </w:r>
            <w:r w:rsidR="0056686A" w:rsidRPr="0056686A">
              <w:rPr>
                <w:rFonts w:ascii="Times New Roman" w:hAnsi="Times New Roman" w:cs="Times New Roman"/>
                <w:noProof/>
                <w:color w:val="000000" w:themeColor="text1"/>
              </w:rPr>
              <w:t>(Venkatesh et al., 2012)</w:t>
            </w:r>
            <w:r w:rsidR="00B727AE">
              <w:rPr>
                <w:rFonts w:ascii="Times New Roman" w:hAnsi="Times New Roman" w:cs="Times New Roman"/>
                <w:color w:val="000000" w:themeColor="text1"/>
              </w:rPr>
              <w:fldChar w:fldCharType="end"/>
            </w:r>
            <w:r w:rsidRPr="000D44EC">
              <w:rPr>
                <w:rFonts w:ascii="Times New Roman" w:hAnsi="Times New Roman" w:cs="Times New Roman"/>
                <w:color w:val="000000" w:themeColor="text1"/>
              </w:rPr>
              <w:t xml:space="preserve"> and Martins </w:t>
            </w:r>
            <w:r w:rsidRPr="000D44EC">
              <w:rPr>
                <w:rFonts w:ascii="Times New Roman" w:hAnsi="Times New Roman" w:cs="Times New Roman"/>
                <w:i/>
                <w:color w:val="000000" w:themeColor="text1"/>
              </w:rPr>
              <w:t>et al.</w:t>
            </w:r>
            <w:r w:rsidRPr="000D44EC">
              <w:rPr>
                <w:rFonts w:ascii="Times New Roman" w:hAnsi="Times New Roman" w:cs="Times New Roman"/>
                <w:color w:val="000000" w:themeColor="text1"/>
              </w:rPr>
              <w:t xml:space="preserve"> </w:t>
            </w:r>
            <w:r w:rsidRPr="000D44EC">
              <w:rPr>
                <w:rFonts w:ascii="Times New Roman" w:hAnsi="Times New Roman" w:cs="Times New Roman"/>
                <w:color w:val="000000" w:themeColor="text1"/>
              </w:rPr>
              <w:fldChar w:fldCharType="begin" w:fldLock="1"/>
            </w:r>
            <w:r w:rsidR="008F28C8">
              <w:rPr>
                <w:rFonts w:ascii="Times New Roman" w:hAnsi="Times New Roman" w:cs="Times New Roman"/>
                <w:color w:val="000000" w:themeColor="text1"/>
              </w:rPr>
              <w:instrText>ADDIN CSL_CITATION {"citationItems":[{"id":"ITEM-1","itemData":{"DOI":"10.1016/J.IJINFOMGT.2013.06.002","ISSN":"0268-4012","abstract":"Understanding the main determinants of Internet banking adoption is important for banks and users; our understanding of the role of users’ perceived risk in Internet banking adoption is limited. In response, we develop a conceptual model that combines unified theory of acceptance and use of technology (UTAUT) with perceived risk to explain behaviour intention and usage behaviour of Internet banking. To test the conceptual model we collected data from Portugal (249 valid cases). Our results support some relationships of UTAUT, such as performance expectancy, effort expectancy, and social influence, and also the role of risk as a stronger predictor of intention. To explain usage behaviour of Internet banking the most important factor is behavioural intention to use Internet banking.","author":[{"dropping-particle":"","family":"Martins","given":"Carolina","non-dropping-particle":"","parse-names":false,"suffix":""},{"dropping-particle":"","family":"Oliveira","given":"Tiago","non-dropping-particle":"","parse-names":false,"suffix":""},{"dropping-particle":"","family":"Popovič","given":"Aleš","non-dropping-particle":"","parse-names":false,"suffix":""}],"container-title":"International Journal of Information Management","id":"ITEM-1","issue":"1","issued":{"date-parts":[["2014","2"]]},"page":"1-13","publisher":"Pergamon","title":"Understanding the Internet banking adoption: A unified theory of acceptance and use of technology and perceived risk application","type":"article-journal","volume":"34"},"uris":["http://www.mendeley.com/documents/?uuid=96813dcc-876f-4822-b605-c49b13f34395"]}],"mendeley":{"formattedCitation":"(Martins et al., 2014)","plainTextFormattedCitation":"(Martins et al., 2014)","previouslyFormattedCitation":"(Martins et al., 2014)"},"properties":{"noteIndex":0},"schema":"https://github.com/citation-style-language/schema/raw/master/csl-citation.json"}</w:instrText>
            </w:r>
            <w:r w:rsidRPr="000D44EC">
              <w:rPr>
                <w:rFonts w:ascii="Times New Roman" w:hAnsi="Times New Roman" w:cs="Times New Roman"/>
                <w:color w:val="000000" w:themeColor="text1"/>
              </w:rPr>
              <w:fldChar w:fldCharType="separate"/>
            </w:r>
            <w:r w:rsidR="0056686A" w:rsidRPr="0056686A">
              <w:rPr>
                <w:rFonts w:ascii="Times New Roman" w:hAnsi="Times New Roman" w:cs="Times New Roman"/>
                <w:noProof/>
                <w:color w:val="000000" w:themeColor="text1"/>
              </w:rPr>
              <w:t>(Martins et al., 2014)</w:t>
            </w:r>
            <w:r w:rsidRPr="000D44EC">
              <w:rPr>
                <w:rFonts w:ascii="Times New Roman" w:hAnsi="Times New Roman" w:cs="Times New Roman"/>
                <w:color w:val="000000" w:themeColor="text1"/>
              </w:rPr>
              <w:fldChar w:fldCharType="end"/>
            </w:r>
          </w:p>
        </w:tc>
      </w:tr>
      <w:tr w:rsidR="00497830" w:rsidRPr="000D44EC" w14:paraId="0B766C1D" w14:textId="77777777" w:rsidTr="00D1669C">
        <w:trPr>
          <w:trHeight w:val="20"/>
        </w:trPr>
        <w:tc>
          <w:tcPr>
            <w:tcW w:w="294" w:type="pct"/>
            <w:noWrap/>
            <w:hideMark/>
          </w:tcPr>
          <w:p w14:paraId="57598FEE"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BI1</w:t>
            </w:r>
          </w:p>
        </w:tc>
        <w:tc>
          <w:tcPr>
            <w:tcW w:w="4280" w:type="pct"/>
          </w:tcPr>
          <w:p w14:paraId="21F372A8"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I intend to continue using mobile banking in the future</w:t>
            </w:r>
          </w:p>
        </w:tc>
        <w:tc>
          <w:tcPr>
            <w:tcW w:w="426" w:type="pct"/>
            <w:noWrap/>
            <w:hideMark/>
          </w:tcPr>
          <w:p w14:paraId="13825EAA"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0.866</w:t>
            </w:r>
          </w:p>
        </w:tc>
      </w:tr>
      <w:tr w:rsidR="00497830" w:rsidRPr="000D44EC" w14:paraId="5582B530" w14:textId="77777777" w:rsidTr="00D1669C">
        <w:trPr>
          <w:trHeight w:val="20"/>
        </w:trPr>
        <w:tc>
          <w:tcPr>
            <w:tcW w:w="294" w:type="pct"/>
            <w:noWrap/>
            <w:hideMark/>
          </w:tcPr>
          <w:p w14:paraId="591E4B88"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BI2</w:t>
            </w:r>
          </w:p>
        </w:tc>
        <w:tc>
          <w:tcPr>
            <w:tcW w:w="4280" w:type="pct"/>
          </w:tcPr>
          <w:p w14:paraId="7A4486AE"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I always try to use mobile banking in my daily life</w:t>
            </w:r>
          </w:p>
        </w:tc>
        <w:tc>
          <w:tcPr>
            <w:tcW w:w="426" w:type="pct"/>
            <w:noWrap/>
            <w:hideMark/>
          </w:tcPr>
          <w:p w14:paraId="31EFBF17"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0.874</w:t>
            </w:r>
          </w:p>
        </w:tc>
      </w:tr>
      <w:tr w:rsidR="00497830" w:rsidRPr="000D44EC" w14:paraId="4605C20A" w14:textId="77777777" w:rsidTr="00D1669C">
        <w:trPr>
          <w:trHeight w:val="20"/>
        </w:trPr>
        <w:tc>
          <w:tcPr>
            <w:tcW w:w="294" w:type="pct"/>
            <w:tcBorders>
              <w:bottom w:val="nil"/>
            </w:tcBorders>
            <w:noWrap/>
            <w:hideMark/>
          </w:tcPr>
          <w:p w14:paraId="126DD87E"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BI3</w:t>
            </w:r>
          </w:p>
        </w:tc>
        <w:tc>
          <w:tcPr>
            <w:tcW w:w="4280" w:type="pct"/>
            <w:tcBorders>
              <w:bottom w:val="nil"/>
            </w:tcBorders>
          </w:tcPr>
          <w:p w14:paraId="1B171C63"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I intend to consult the balance of my account on the app of mobile banking</w:t>
            </w:r>
          </w:p>
        </w:tc>
        <w:tc>
          <w:tcPr>
            <w:tcW w:w="426" w:type="pct"/>
            <w:tcBorders>
              <w:bottom w:val="nil"/>
            </w:tcBorders>
            <w:noWrap/>
            <w:hideMark/>
          </w:tcPr>
          <w:p w14:paraId="60A8C7CC"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0.887</w:t>
            </w:r>
          </w:p>
        </w:tc>
      </w:tr>
      <w:tr w:rsidR="00497830" w:rsidRPr="000D44EC" w14:paraId="0C76F2B3" w14:textId="77777777" w:rsidTr="00D1669C">
        <w:trPr>
          <w:trHeight w:val="20"/>
        </w:trPr>
        <w:tc>
          <w:tcPr>
            <w:tcW w:w="294" w:type="pct"/>
            <w:tcBorders>
              <w:top w:val="nil"/>
              <w:bottom w:val="single" w:sz="4" w:space="0" w:color="auto"/>
            </w:tcBorders>
            <w:noWrap/>
            <w:hideMark/>
          </w:tcPr>
          <w:p w14:paraId="65F1C6CF"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BI4</w:t>
            </w:r>
          </w:p>
        </w:tc>
        <w:tc>
          <w:tcPr>
            <w:tcW w:w="4280" w:type="pct"/>
            <w:tcBorders>
              <w:top w:val="nil"/>
              <w:bottom w:val="single" w:sz="4" w:space="0" w:color="auto"/>
            </w:tcBorders>
          </w:tcPr>
          <w:p w14:paraId="0764D07D"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I intend to perform a transfer on the app of mobile banking</w:t>
            </w:r>
          </w:p>
        </w:tc>
        <w:tc>
          <w:tcPr>
            <w:tcW w:w="426" w:type="pct"/>
            <w:tcBorders>
              <w:top w:val="nil"/>
              <w:bottom w:val="single" w:sz="4" w:space="0" w:color="auto"/>
            </w:tcBorders>
            <w:noWrap/>
            <w:hideMark/>
          </w:tcPr>
          <w:p w14:paraId="419F045B"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0.817</w:t>
            </w:r>
          </w:p>
        </w:tc>
      </w:tr>
      <w:tr w:rsidR="00497830" w:rsidRPr="000D44EC" w14:paraId="7F456CD5" w14:textId="77777777" w:rsidTr="00D1669C">
        <w:trPr>
          <w:trHeight w:val="20"/>
        </w:trPr>
        <w:tc>
          <w:tcPr>
            <w:tcW w:w="5000" w:type="pct"/>
            <w:gridSpan w:val="3"/>
            <w:tcBorders>
              <w:top w:val="single" w:sz="4" w:space="0" w:color="auto"/>
            </w:tcBorders>
            <w:noWrap/>
          </w:tcPr>
          <w:p w14:paraId="4A49761F" w14:textId="04D00935" w:rsidR="00497830" w:rsidRPr="000D44EC" w:rsidRDefault="00497830" w:rsidP="0056686A">
            <w:pPr>
              <w:spacing w:after="0"/>
              <w:contextualSpacing/>
              <w:jc w:val="center"/>
              <w:rPr>
                <w:rFonts w:ascii="Times New Roman" w:hAnsi="Times New Roman" w:cs="Times New Roman"/>
                <w:bCs/>
              </w:rPr>
            </w:pPr>
            <w:r w:rsidRPr="000D44EC">
              <w:rPr>
                <w:rFonts w:ascii="Times New Roman" w:hAnsi="Times New Roman" w:cs="Times New Roman"/>
                <w:color w:val="000000" w:themeColor="text1"/>
              </w:rPr>
              <w:t>IR (CA = .92, CR = .95, AVE = .86)</w:t>
            </w:r>
            <w:r w:rsidRPr="000D44EC">
              <w:rPr>
                <w:rFonts w:ascii="Times New Roman" w:hAnsi="Times New Roman" w:cs="Times New Roman"/>
                <w:i/>
                <w:color w:val="000000" w:themeColor="text1"/>
              </w:rPr>
              <w:t xml:space="preserve"> Source</w:t>
            </w:r>
            <w:r w:rsidRPr="000D44EC">
              <w:rPr>
                <w:rFonts w:ascii="Times New Roman" w:hAnsi="Times New Roman" w:cs="Times New Roman"/>
                <w:color w:val="000000" w:themeColor="text1"/>
              </w:rPr>
              <w:t xml:space="preserve">: Oliveira </w:t>
            </w:r>
            <w:r w:rsidRPr="000D44EC">
              <w:rPr>
                <w:rFonts w:ascii="Times New Roman" w:hAnsi="Times New Roman" w:cs="Times New Roman"/>
                <w:i/>
                <w:color w:val="000000" w:themeColor="text1"/>
              </w:rPr>
              <w:t xml:space="preserve">et al. </w:t>
            </w:r>
            <w:r w:rsidRPr="000D44EC">
              <w:rPr>
                <w:rFonts w:ascii="Times New Roman" w:hAnsi="Times New Roman" w:cs="Times New Roman"/>
                <w:color w:val="000000" w:themeColor="text1"/>
              </w:rPr>
              <w:fldChar w:fldCharType="begin" w:fldLock="1"/>
            </w:r>
            <w:r w:rsidR="008F28C8">
              <w:rPr>
                <w:rFonts w:ascii="Times New Roman" w:hAnsi="Times New Roman" w:cs="Times New Roman"/>
                <w:color w:val="000000" w:themeColor="text1"/>
              </w:rPr>
              <w:instrText>ADDIN CSL_CITATION {"citationItems":[{"id":"ITEM-1","itemData":{"DOI":"10.1016/J.CHB.2016.03.030","ISSN":"0747-5632","abstract":"Mobile payment is receiving growing attention globally, from consumers to merchants, as an alternative to using cash, check, or credit cards. The potential of this technology is enormous. This study aims to identify the main determinants of mobile payment adoption and the intention to recommend this technology. We advance the body of knowledge on this subject by proposing an innovative research model that combines the strengths of two well-known theories; the extended unified theory of acceptance and use of technology (UTAUT2) with the innovation characteristics of the diffusion of innovations (DOI), with perceived security and intention to recommend the technology constructs. The research model was empirically tested using 301 responses from an online survey conducted in a European country, Portugal. Data was analyzed using the structured equation modeling (SEM). We found compatibility, perceived technology security, performance expectations, innovativeness, and social influence to have significant direct and indirect effects over the adoption of mobile payment and the intention to recommend this technology. The relevance of customer's intention to recommend mobile payment technology in social networks and other means of communication was also confirmed, supporting the recommendation to include it in social marketing campaigns and in future technology adoption studies. For researchers this study provides a basis for further refinement of individual models of acceptance. For practitioners, understanding the key constructs is crucial to design, refine, and implement mobile payment services, applications, and products that achieve high consumer acceptance, value, and high rates of positive recommendations in social networks.","author":[{"dropping-particle":"","family":"Oliveira","given":"Tiago","non-dropping-particle":"","parse-names":false,"suffix":""},{"dropping-particle":"","family":"Thomas","given":"Manoj","non-dropping-particle":"","parse-names":false,"suffix":""},{"dropping-particle":"","family":"Baptista","given":"Goncalo","non-dropping-particle":"","parse-names":false,"suffix":""},{"dropping-particle":"","family":"Campos","given":"Filipe","non-dropping-particle":"","parse-names":false,"suffix":""}],"container-title":"Computers in Human Behavior","id":"ITEM-1","issued":{"date-parts":[["2016","8","1"]]},"page":"404-414","publisher":"Pergamon","title":"Mobile payment: Understanding the determinants of customer adoption and intention to recommend the technology","type":"article-journal","volume":"61"},"uris":["http://www.mendeley.com/documents/?uuid=694e6471-b004-3a32-af23-bebe125fa7d5"]}],"mendeley":{"formattedCitation":"(Oliveira et al., 2016)","plainTextFormattedCitation":"(Oliveira et al., 2016)","previouslyFormattedCitation":"(Oliveira et al., 2016)"},"properties":{"noteIndex":0},"schema":"https://github.com/citation-style-language/schema/raw/master/csl-citation.json"}</w:instrText>
            </w:r>
            <w:r w:rsidRPr="000D44EC">
              <w:rPr>
                <w:rFonts w:ascii="Times New Roman" w:hAnsi="Times New Roman" w:cs="Times New Roman"/>
                <w:color w:val="000000" w:themeColor="text1"/>
              </w:rPr>
              <w:fldChar w:fldCharType="separate"/>
            </w:r>
            <w:r w:rsidR="0056686A" w:rsidRPr="0056686A">
              <w:rPr>
                <w:rFonts w:ascii="Times New Roman" w:hAnsi="Times New Roman" w:cs="Times New Roman"/>
                <w:noProof/>
                <w:color w:val="000000" w:themeColor="text1"/>
              </w:rPr>
              <w:t>(Oliveira et al., 2016)</w:t>
            </w:r>
            <w:r w:rsidRPr="000D44EC">
              <w:rPr>
                <w:rFonts w:ascii="Times New Roman" w:hAnsi="Times New Roman" w:cs="Times New Roman"/>
                <w:color w:val="000000" w:themeColor="text1"/>
              </w:rPr>
              <w:fldChar w:fldCharType="end"/>
            </w:r>
          </w:p>
        </w:tc>
      </w:tr>
      <w:tr w:rsidR="00497830" w:rsidRPr="000D44EC" w14:paraId="009B726B" w14:textId="77777777" w:rsidTr="00D1669C">
        <w:trPr>
          <w:trHeight w:val="20"/>
        </w:trPr>
        <w:tc>
          <w:tcPr>
            <w:tcW w:w="294" w:type="pct"/>
            <w:noWrap/>
          </w:tcPr>
          <w:p w14:paraId="256D24F6"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IR1</w:t>
            </w:r>
          </w:p>
        </w:tc>
        <w:tc>
          <w:tcPr>
            <w:tcW w:w="4280" w:type="pct"/>
          </w:tcPr>
          <w:p w14:paraId="672FB553" w14:textId="77777777" w:rsidR="00497830" w:rsidRPr="000D44EC" w:rsidRDefault="00497830" w:rsidP="00D1669C">
            <w:pPr>
              <w:spacing w:after="0"/>
              <w:contextualSpacing/>
              <w:rPr>
                <w:rFonts w:ascii="Times New Roman" w:hAnsi="Times New Roman" w:cs="Times New Roman"/>
                <w:color w:val="000000" w:themeColor="text1"/>
              </w:rPr>
            </w:pPr>
            <w:r w:rsidRPr="000D44EC">
              <w:rPr>
                <w:rFonts w:ascii="Times New Roman" w:hAnsi="Times New Roman" w:cs="Times New Roman"/>
                <w:color w:val="000000" w:themeColor="text1"/>
              </w:rPr>
              <w:t>I will recommend to my friends to use the mobile banking service</w:t>
            </w:r>
          </w:p>
        </w:tc>
        <w:tc>
          <w:tcPr>
            <w:tcW w:w="426" w:type="pct"/>
            <w:noWrap/>
          </w:tcPr>
          <w:p w14:paraId="2C4C27B1" w14:textId="77777777" w:rsidR="00497830" w:rsidRPr="00B727AE" w:rsidRDefault="00497830" w:rsidP="00D1669C">
            <w:pPr>
              <w:spacing w:after="0"/>
              <w:contextualSpacing/>
              <w:jc w:val="center"/>
              <w:rPr>
                <w:rFonts w:ascii="Times New Roman" w:hAnsi="Times New Roman" w:cs="Times New Roman"/>
                <w:bCs/>
                <w:sz w:val="20"/>
                <w:szCs w:val="20"/>
              </w:rPr>
            </w:pPr>
            <w:r w:rsidRPr="00B727AE">
              <w:rPr>
                <w:rFonts w:ascii="Times New Roman" w:hAnsi="Times New Roman" w:cs="Times New Roman"/>
                <w:bCs/>
                <w:sz w:val="20"/>
                <w:szCs w:val="20"/>
              </w:rPr>
              <w:t>removed</w:t>
            </w:r>
          </w:p>
        </w:tc>
      </w:tr>
      <w:tr w:rsidR="00497830" w:rsidRPr="000D44EC" w14:paraId="012E8F8A" w14:textId="77777777" w:rsidTr="00D1669C">
        <w:trPr>
          <w:trHeight w:val="20"/>
        </w:trPr>
        <w:tc>
          <w:tcPr>
            <w:tcW w:w="294" w:type="pct"/>
            <w:noWrap/>
            <w:hideMark/>
          </w:tcPr>
          <w:p w14:paraId="6681206D"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IR2</w:t>
            </w:r>
          </w:p>
        </w:tc>
        <w:tc>
          <w:tcPr>
            <w:tcW w:w="4280" w:type="pct"/>
          </w:tcPr>
          <w:p w14:paraId="02C5E03A" w14:textId="77777777" w:rsidR="00497830" w:rsidRPr="000D44EC" w:rsidRDefault="00497830" w:rsidP="00D1669C">
            <w:pPr>
              <w:tabs>
                <w:tab w:val="left" w:pos="527"/>
              </w:tabs>
              <w:spacing w:after="0"/>
              <w:contextualSpacing/>
              <w:rPr>
                <w:rFonts w:ascii="Times New Roman" w:hAnsi="Times New Roman" w:cs="Times New Roman"/>
                <w:bCs/>
              </w:rPr>
            </w:pPr>
            <w:r w:rsidRPr="000D44EC">
              <w:rPr>
                <w:rFonts w:ascii="Times New Roman" w:hAnsi="Times New Roman" w:cs="Times New Roman"/>
                <w:color w:val="000000" w:themeColor="text1"/>
              </w:rPr>
              <w:t>I will recommend to my relatives to use the mobile banking service</w:t>
            </w:r>
          </w:p>
        </w:tc>
        <w:tc>
          <w:tcPr>
            <w:tcW w:w="426" w:type="pct"/>
            <w:noWrap/>
            <w:hideMark/>
          </w:tcPr>
          <w:p w14:paraId="7C37BBDA"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0.936</w:t>
            </w:r>
          </w:p>
        </w:tc>
      </w:tr>
      <w:tr w:rsidR="00497830" w:rsidRPr="000D44EC" w14:paraId="1FB09401" w14:textId="77777777" w:rsidTr="00D1669C">
        <w:trPr>
          <w:trHeight w:val="20"/>
        </w:trPr>
        <w:tc>
          <w:tcPr>
            <w:tcW w:w="294" w:type="pct"/>
            <w:tcBorders>
              <w:bottom w:val="nil"/>
            </w:tcBorders>
            <w:noWrap/>
            <w:hideMark/>
          </w:tcPr>
          <w:p w14:paraId="7245568E"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IR3</w:t>
            </w:r>
          </w:p>
        </w:tc>
        <w:tc>
          <w:tcPr>
            <w:tcW w:w="4280" w:type="pct"/>
            <w:tcBorders>
              <w:bottom w:val="nil"/>
            </w:tcBorders>
          </w:tcPr>
          <w:p w14:paraId="691672FB"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I intend to recommend to my co-workers to use the mobile banking services</w:t>
            </w:r>
          </w:p>
        </w:tc>
        <w:tc>
          <w:tcPr>
            <w:tcW w:w="426" w:type="pct"/>
            <w:tcBorders>
              <w:bottom w:val="nil"/>
            </w:tcBorders>
            <w:noWrap/>
            <w:hideMark/>
          </w:tcPr>
          <w:p w14:paraId="1D45F40F"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0.945</w:t>
            </w:r>
          </w:p>
        </w:tc>
      </w:tr>
      <w:tr w:rsidR="00497830" w:rsidRPr="000D44EC" w14:paraId="15D811CC" w14:textId="77777777" w:rsidTr="00D1669C">
        <w:trPr>
          <w:trHeight w:val="20"/>
        </w:trPr>
        <w:tc>
          <w:tcPr>
            <w:tcW w:w="294" w:type="pct"/>
            <w:tcBorders>
              <w:top w:val="nil"/>
              <w:bottom w:val="single" w:sz="4" w:space="0" w:color="auto"/>
            </w:tcBorders>
            <w:noWrap/>
            <w:hideMark/>
          </w:tcPr>
          <w:p w14:paraId="542AB8D0"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bCs/>
              </w:rPr>
              <w:t>IR4</w:t>
            </w:r>
          </w:p>
        </w:tc>
        <w:tc>
          <w:tcPr>
            <w:tcW w:w="4280" w:type="pct"/>
            <w:tcBorders>
              <w:top w:val="nil"/>
              <w:bottom w:val="single" w:sz="4" w:space="0" w:color="auto"/>
            </w:tcBorders>
          </w:tcPr>
          <w:p w14:paraId="0600E439" w14:textId="77777777" w:rsidR="00497830" w:rsidRPr="000D44EC" w:rsidRDefault="00497830" w:rsidP="00D1669C">
            <w:pPr>
              <w:spacing w:after="0"/>
              <w:contextualSpacing/>
              <w:rPr>
                <w:rFonts w:ascii="Times New Roman" w:hAnsi="Times New Roman" w:cs="Times New Roman"/>
                <w:bCs/>
              </w:rPr>
            </w:pPr>
            <w:r w:rsidRPr="000D44EC">
              <w:rPr>
                <w:rFonts w:ascii="Times New Roman" w:hAnsi="Times New Roman" w:cs="Times New Roman"/>
                <w:color w:val="000000" w:themeColor="text1"/>
              </w:rPr>
              <w:t>I intend to offer help to those I have recommended to use mobile banking</w:t>
            </w:r>
          </w:p>
        </w:tc>
        <w:tc>
          <w:tcPr>
            <w:tcW w:w="426" w:type="pct"/>
            <w:tcBorders>
              <w:top w:val="nil"/>
              <w:bottom w:val="single" w:sz="4" w:space="0" w:color="auto"/>
            </w:tcBorders>
            <w:noWrap/>
            <w:hideMark/>
          </w:tcPr>
          <w:p w14:paraId="6B401E52" w14:textId="77777777" w:rsidR="00497830" w:rsidRPr="000D44EC" w:rsidRDefault="00497830" w:rsidP="00D1669C">
            <w:pPr>
              <w:spacing w:after="0"/>
              <w:contextualSpacing/>
              <w:jc w:val="center"/>
              <w:rPr>
                <w:rFonts w:ascii="Times New Roman" w:hAnsi="Times New Roman" w:cs="Times New Roman"/>
                <w:bCs/>
              </w:rPr>
            </w:pPr>
            <w:r w:rsidRPr="000D44EC">
              <w:rPr>
                <w:rFonts w:ascii="Times New Roman" w:hAnsi="Times New Roman" w:cs="Times New Roman"/>
                <w:bCs/>
              </w:rPr>
              <w:t>0.901</w:t>
            </w:r>
          </w:p>
        </w:tc>
      </w:tr>
      <w:tr w:rsidR="00497830" w:rsidRPr="000D44EC" w14:paraId="43AA0F5E" w14:textId="77777777" w:rsidTr="00D1669C">
        <w:trPr>
          <w:trHeight w:val="20"/>
        </w:trPr>
        <w:tc>
          <w:tcPr>
            <w:tcW w:w="5000" w:type="pct"/>
            <w:gridSpan w:val="3"/>
            <w:tcBorders>
              <w:top w:val="single" w:sz="4" w:space="0" w:color="auto"/>
              <w:left w:val="nil"/>
              <w:bottom w:val="nil"/>
              <w:right w:val="nil"/>
            </w:tcBorders>
            <w:noWrap/>
          </w:tcPr>
          <w:p w14:paraId="1D2F8911" w14:textId="77777777" w:rsidR="00497830" w:rsidRPr="000D44EC" w:rsidRDefault="00497830" w:rsidP="00D1669C">
            <w:pPr>
              <w:spacing w:after="0"/>
              <w:contextualSpacing/>
              <w:jc w:val="left"/>
              <w:rPr>
                <w:rFonts w:ascii="Times New Roman" w:hAnsi="Times New Roman" w:cs="Times New Roman"/>
                <w:bCs/>
                <w:sz w:val="18"/>
              </w:rPr>
            </w:pPr>
            <w:r w:rsidRPr="000D44EC">
              <w:rPr>
                <w:rFonts w:ascii="Times New Roman" w:hAnsi="Times New Roman" w:cs="Times New Roman"/>
                <w:bCs/>
                <w:i/>
                <w:sz w:val="18"/>
              </w:rPr>
              <w:t>Note</w:t>
            </w:r>
            <w:r w:rsidRPr="000D44EC">
              <w:rPr>
                <w:rFonts w:ascii="Times New Roman" w:hAnsi="Times New Roman" w:cs="Times New Roman"/>
                <w:bCs/>
                <w:sz w:val="18"/>
              </w:rPr>
              <w:t>: CA, Cronbach’s alpha; CR, composite reliability; AVE, average variance extracted; PE, performance expectancy; EE, effort expectancy; SI, social influence; FC, facilitating conditions; HM, hedonic motivation; HB: habit; GM, gamification; BI, behavioural intention; IR, intention to recommend.</w:t>
            </w:r>
          </w:p>
        </w:tc>
      </w:tr>
    </w:tbl>
    <w:p w14:paraId="6A1AA25C" w14:textId="77777777" w:rsidR="00626739" w:rsidRPr="000D44EC" w:rsidRDefault="00626739" w:rsidP="00626739">
      <w:pPr>
        <w:rPr>
          <w:rFonts w:ascii="Times New Roman" w:hAnsi="Times New Roman" w:cs="Times New Roman"/>
        </w:rPr>
      </w:pPr>
    </w:p>
    <w:p w14:paraId="1C845BAA" w14:textId="2E36B9A1" w:rsidR="00360D22" w:rsidRPr="000D44EC" w:rsidRDefault="002C56C9" w:rsidP="00360D22">
      <w:pPr>
        <w:rPr>
          <w:rFonts w:ascii="Times New Roman" w:hAnsi="Times New Roman" w:cs="Times New Roman"/>
        </w:rPr>
      </w:pPr>
      <w:r>
        <w:rPr>
          <w:rFonts w:ascii="Times New Roman" w:hAnsi="Times New Roman" w:cs="Times New Roman"/>
        </w:rPr>
        <w:t>The analyse continues with the investigation of</w:t>
      </w:r>
      <w:r w:rsidR="000140EA" w:rsidRPr="000D44EC">
        <w:rPr>
          <w:rFonts w:ascii="Times New Roman" w:hAnsi="Times New Roman" w:cs="Times New Roman"/>
        </w:rPr>
        <w:t xml:space="preserve"> discriminant validity.</w:t>
      </w:r>
      <w:r w:rsidR="00360D22" w:rsidRPr="000D44EC">
        <w:rPr>
          <w:rFonts w:ascii="Times New Roman" w:hAnsi="Times New Roman" w:cs="Times New Roman"/>
        </w:rPr>
        <w:t xml:space="preserve"> Since PLS is a variance-based SEM, for discriminant validity assessment it was applied the Heterotrait-Monotrait (HTMT) criteria </w:t>
      </w:r>
      <w:r w:rsidR="00360D22"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{"citationItems":[{"id":"ITEM-1","itemData":{"DOI":"10.1007/s11747-014-0403-8","ISSN":"0092-0703","abstract":"HETEROTRAIT-MONOTRAIT RATIO OF CORRELATIONS =&gt; VALIDEZ DISCRIMINANTE: HTMT -&gt; PUNTO CORTE: .85 (+ restrictivo); .90 (- restrictivo)","author":[{"dropping-particle":"","family":"Henseler","given":"Jörg","non-dropping-particle":"","parse-names":false,"suffix":""},{"dropping-particle":"","family":"Ringle","given":"Christian M.","non-dropping-particle":"","parse-names":false,"suffix":""},{"dropping-particle":"","family":"Sarstedt","given":"Marko","non-dropping-particle":"","parse-names":false,"suffix":""}],"container-title":"Journal of the Academy of Marketing Science","id":"ITEM-1","issue":"1","issued":{"date-parts":[["2015","1","22"]]},"page":"115-135","title":"A new criterion for assessing discriminant validity in variance-based structural equation modeling","type":"article-journal","volume":"43"},"uris":["http://www.mendeley.com/documents/?uuid=f4184bc8-24fe-33df-b7ff-461acd560fd5","http://www.mendeley.com/documents/?uuid=7b232f1f-11cc-423c-83a8-cd400118be89"]}],"mendeley":{"formattedCitation":"(Henseler, Ringle, &amp; Sarstedt, 2015)","plainTextFormattedCitation":"(Henseler, Ringle, &amp; Sarstedt, 2015)","previouslyFormattedCitation":"(Henseler, Ringle, &amp; Sarstedt, 2015)"},"properties":{"noteIndex":0},"schema":"https://github.com/citation-style-language/schema/raw/master/csl-citation.json"}</w:instrText>
      </w:r>
      <w:r w:rsidR="00360D22" w:rsidRPr="000D44EC">
        <w:rPr>
          <w:rFonts w:ascii="Times New Roman" w:hAnsi="Times New Roman" w:cs="Times New Roman"/>
        </w:rPr>
        <w:fldChar w:fldCharType="separate"/>
      </w:r>
      <w:r w:rsidR="0056686A" w:rsidRPr="0056686A">
        <w:rPr>
          <w:rFonts w:ascii="Times New Roman" w:hAnsi="Times New Roman" w:cs="Times New Roman"/>
          <w:noProof/>
        </w:rPr>
        <w:t>(Henseler, Ringle, &amp; Sarstedt, 2015)</w:t>
      </w:r>
      <w:r w:rsidR="00360D22" w:rsidRPr="000D44EC">
        <w:rPr>
          <w:rFonts w:ascii="Times New Roman" w:hAnsi="Times New Roman" w:cs="Times New Roman"/>
        </w:rPr>
        <w:fldChar w:fldCharType="end"/>
      </w:r>
      <w:r w:rsidR="00360D22" w:rsidRPr="000D44EC">
        <w:rPr>
          <w:rFonts w:ascii="Times New Roman" w:hAnsi="Times New Roman" w:cs="Times New Roman"/>
        </w:rPr>
        <w:t xml:space="preserve">. </w:t>
      </w:r>
      <w:r>
        <w:rPr>
          <w:rFonts w:ascii="Times New Roman" w:hAnsi="Times New Roman" w:cs="Times New Roman"/>
        </w:rPr>
        <w:t>The</w:t>
      </w:r>
      <w:r w:rsidR="00360D22" w:rsidRPr="000D44EC">
        <w:rPr>
          <w:rFonts w:ascii="Times New Roman" w:hAnsi="Times New Roman" w:cs="Times New Roman"/>
        </w:rPr>
        <w:t xml:space="preserve"> HTMT coefficients (see Table 3</w:t>
      </w:r>
      <w:r w:rsidR="00701712" w:rsidRPr="000D44EC">
        <w:rPr>
          <w:rFonts w:ascii="Times New Roman" w:hAnsi="Times New Roman" w:cs="Times New Roman"/>
        </w:rPr>
        <w:t>, above the diagonal</w:t>
      </w:r>
      <w:r w:rsidR="00B727AE">
        <w:rPr>
          <w:rFonts w:ascii="Times New Roman" w:hAnsi="Times New Roman" w:cs="Times New Roman"/>
        </w:rPr>
        <w:t>) were</w:t>
      </w:r>
      <w:r w:rsidR="00360D22" w:rsidRPr="000D44EC">
        <w:rPr>
          <w:rFonts w:ascii="Times New Roman" w:hAnsi="Times New Roman" w:cs="Times New Roman"/>
        </w:rPr>
        <w:t xml:space="preserve"> below the conservative </w:t>
      </w:r>
      <w:r w:rsidR="00BC24CB" w:rsidRPr="000D44EC">
        <w:rPr>
          <w:rFonts w:ascii="Times New Roman" w:hAnsi="Times New Roman" w:cs="Times New Roman"/>
        </w:rPr>
        <w:t>threshold</w:t>
      </w:r>
      <w:r w:rsidR="00360D22" w:rsidRPr="000D44EC">
        <w:rPr>
          <w:rFonts w:ascii="Times New Roman" w:hAnsi="Times New Roman" w:cs="Times New Roman"/>
        </w:rPr>
        <w:t xml:space="preserve"> of 0.85 </w:t>
      </w:r>
      <w:r w:rsidR="00360D22"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{"citationItems":[{"id":"ITEM-1","itemData":{"DOI":"10.1007/s11747-014-0403-8","ISSN":"0092-0703","abstract":"HETEROTRAIT-MONOTRAIT RATIO OF CORRELATIONS =&gt; VALIDEZ DISCRIMINANTE: HTMT -&gt; PUNTO CORTE: .85 (+ restrictivo); .90 (- restrictivo)","author":[{"dropping-particle":"","family":"Henseler","given":"Jörg","non-dropping-particle":"","parse-names":false,"suffix":""},{"dropping-particle":"","family":"Ringle","given":"Christian M.","non-dropping-particle":"","parse-names":false,"suffix":""},{"dropping-particle":"","family":"Sarstedt","given":"Marko","non-dropping-particle":"","parse-names":false,"suffix":""}],"container-title":"Journal of the Academy of Marketing Science","id":"ITEM-1","issue":"1","issued":{"date-parts":[["2015","1","22"]]},"page":"115-135","title":"A new criterion for assessing discriminant validity in variance-based structural equation modeling","type":"article-journal","volume":"43"},"uris":["http://www.mendeley.com/documents/?uuid=7b232f1f-11cc-423c-83a8-cd400118be89","http://www.mendeley.com/documents/?uuid=f4184bc8-24fe-33df-b7ff-461acd560fd5"]}],"mendeley":{"formattedCitation":"(Henseler et al., 2015)","plainTextFormattedCitation":"(Henseler et al., 2015)","previouslyFormattedCitation":"(Henseler et al., 2015)"},"properties":{"noteIndex":0},"schema":"https://github.com/citation-style-language/schema/raw/master/csl-citation.json"}</w:instrText>
      </w:r>
      <w:r w:rsidR="00360D22" w:rsidRPr="000D44EC">
        <w:rPr>
          <w:rFonts w:ascii="Times New Roman" w:hAnsi="Times New Roman" w:cs="Times New Roman"/>
        </w:rPr>
        <w:fldChar w:fldCharType="separate"/>
      </w:r>
      <w:r w:rsidR="0056686A" w:rsidRPr="0056686A">
        <w:rPr>
          <w:rFonts w:ascii="Times New Roman" w:hAnsi="Times New Roman" w:cs="Times New Roman"/>
          <w:noProof/>
        </w:rPr>
        <w:t>(Henseler et al., 2015)</w:t>
      </w:r>
      <w:r w:rsidR="00360D22" w:rsidRPr="000D44EC">
        <w:rPr>
          <w:rFonts w:ascii="Times New Roman" w:hAnsi="Times New Roman" w:cs="Times New Roman"/>
        </w:rPr>
        <w:fldChar w:fldCharType="end"/>
      </w:r>
      <w:r w:rsidR="00360D22" w:rsidRPr="000D44EC">
        <w:rPr>
          <w:rFonts w:ascii="Times New Roman" w:hAnsi="Times New Roman" w:cs="Times New Roman"/>
        </w:rPr>
        <w:t xml:space="preserve">. </w:t>
      </w:r>
      <w:r>
        <w:rPr>
          <w:rFonts w:ascii="Times New Roman" w:hAnsi="Times New Roman" w:cs="Times New Roman"/>
        </w:rPr>
        <w:t xml:space="preserve">Consequently, the </w:t>
      </w:r>
      <w:r w:rsidR="00BC24CB" w:rsidRPr="000D44EC">
        <w:rPr>
          <w:rFonts w:ascii="Times New Roman" w:hAnsi="Times New Roman" w:cs="Times New Roman"/>
        </w:rPr>
        <w:t xml:space="preserve">measured </w:t>
      </w:r>
      <w:r w:rsidR="00360D22" w:rsidRPr="000D44EC">
        <w:rPr>
          <w:rFonts w:ascii="Times New Roman" w:hAnsi="Times New Roman" w:cs="Times New Roman"/>
        </w:rPr>
        <w:t>construct</w:t>
      </w:r>
      <w:r w:rsidR="00BC24CB" w:rsidRPr="000D44EC">
        <w:rPr>
          <w:rFonts w:ascii="Times New Roman" w:hAnsi="Times New Roman" w:cs="Times New Roman"/>
        </w:rPr>
        <w:t>s</w:t>
      </w:r>
      <w:r w:rsidR="00360D22" w:rsidRPr="000D44EC">
        <w:rPr>
          <w:rFonts w:ascii="Times New Roman" w:hAnsi="Times New Roman" w:cs="Times New Roman"/>
        </w:rPr>
        <w:t xml:space="preserve"> </w:t>
      </w:r>
      <w:r>
        <w:rPr>
          <w:rFonts w:ascii="Times New Roman" w:hAnsi="Times New Roman" w:cs="Times New Roman"/>
        </w:rPr>
        <w:t>satisfy the</w:t>
      </w:r>
      <w:r w:rsidR="00360D22" w:rsidRPr="000D44EC">
        <w:rPr>
          <w:rFonts w:ascii="Times New Roman" w:hAnsi="Times New Roman" w:cs="Times New Roman"/>
        </w:rPr>
        <w:t xml:space="preserve"> assumption of discriminant </w:t>
      </w:r>
      <w:r w:rsidR="00BC24CB" w:rsidRPr="000D44EC">
        <w:rPr>
          <w:rFonts w:ascii="Times New Roman" w:hAnsi="Times New Roman" w:cs="Times New Roman"/>
        </w:rPr>
        <w:t>validity</w:t>
      </w:r>
      <w:r w:rsidR="00360D22" w:rsidRPr="000D44EC">
        <w:rPr>
          <w:rFonts w:ascii="Times New Roman" w:hAnsi="Times New Roman" w:cs="Times New Roman"/>
        </w:rPr>
        <w:t>.</w:t>
      </w:r>
    </w:p>
    <w:p w14:paraId="3AF4B4CB" w14:textId="050A0C3F" w:rsidR="000140EA" w:rsidRPr="000D44EC" w:rsidRDefault="000140EA" w:rsidP="000140EA">
      <w:pPr>
        <w:rPr>
          <w:rFonts w:ascii="Times New Roman" w:hAnsi="Times New Roman" w:cs="Times New Roman"/>
        </w:rPr>
      </w:pPr>
    </w:p>
    <w:p w14:paraId="1336FE91" w14:textId="7CF2D1C8" w:rsidR="00B84533" w:rsidRPr="000D44EC" w:rsidRDefault="00B84533" w:rsidP="0039190A">
      <w:pPr>
        <w:jc w:val="center"/>
        <w:rPr>
          <w:rFonts w:ascii="Times New Roman" w:hAnsi="Times New Roman" w:cs="Times New Roman"/>
        </w:rPr>
      </w:pPr>
      <w:r w:rsidRPr="000D44EC">
        <w:rPr>
          <w:rFonts w:ascii="Times New Roman" w:hAnsi="Times New Roman" w:cs="Times New Roman"/>
          <w:b/>
          <w:szCs w:val="20"/>
        </w:rPr>
        <w:t xml:space="preserve">Table </w:t>
      </w:r>
      <w:r w:rsidR="00360D22" w:rsidRPr="000D44EC">
        <w:rPr>
          <w:rFonts w:ascii="Times New Roman" w:hAnsi="Times New Roman" w:cs="Times New Roman"/>
          <w:b/>
          <w:szCs w:val="20"/>
        </w:rPr>
        <w:t>3</w:t>
      </w:r>
      <w:r w:rsidRPr="000D44EC">
        <w:rPr>
          <w:rFonts w:ascii="Times New Roman" w:hAnsi="Times New Roman" w:cs="Times New Roman"/>
          <w:szCs w:val="20"/>
        </w:rPr>
        <w:t xml:space="preserve">. </w:t>
      </w:r>
      <w:r w:rsidR="00C56F58" w:rsidRPr="000D44EC">
        <w:rPr>
          <w:rFonts w:ascii="Times New Roman" w:hAnsi="Times New Roman" w:cs="Times New Roman"/>
          <w:szCs w:val="20"/>
        </w:rPr>
        <w:t>D</w:t>
      </w:r>
      <w:r w:rsidR="00C56F58" w:rsidRPr="000D44EC">
        <w:rPr>
          <w:rFonts w:ascii="Times New Roman" w:hAnsi="Times New Roman" w:cs="Times New Roman"/>
        </w:rPr>
        <w:t>iscriminant analysis with Heterotrait-Monotrait (HTMT) ratio and c</w:t>
      </w:r>
      <w:r w:rsidRPr="000D44EC">
        <w:rPr>
          <w:rFonts w:ascii="Times New Roman" w:hAnsi="Times New Roman" w:cs="Times New Roman"/>
        </w:rPr>
        <w:t>orrelation matrix</w:t>
      </w:r>
      <w:r w:rsidR="00C56F58" w:rsidRPr="000D44EC">
        <w:rPr>
          <w:rFonts w:ascii="Times New Roman" w:hAnsi="Times New Roman" w:cs="Times New Roman"/>
        </w:rPr>
        <w:t>es</w:t>
      </w:r>
    </w:p>
    <w:tbl>
      <w:tblPr>
        <w:tblStyle w:val="Mkatabulky"/>
        <w:tblW w:w="5000" w:type="pct"/>
        <w:jc w:val="center"/>
        <w:tblBorders>
          <w:insideH w:val="none" w:sz="0" w:space="0" w:color="auto"/>
          <w:insideV w:val="none" w:sz="0" w:space="0" w:color="auto"/>
        </w:tblBorders>
        <w:tblLook w:val="04A0" w:firstRow="1" w:lastRow="0" w:firstColumn="1" w:lastColumn="0" w:noHBand="0" w:noVBand="1"/>
      </w:tblPr>
      <w:tblGrid>
        <w:gridCol w:w="726"/>
        <w:gridCol w:w="864"/>
        <w:gridCol w:w="864"/>
        <w:gridCol w:w="864"/>
        <w:gridCol w:w="864"/>
        <w:gridCol w:w="862"/>
        <w:gridCol w:w="862"/>
        <w:gridCol w:w="862"/>
        <w:gridCol w:w="862"/>
        <w:gridCol w:w="862"/>
        <w:gridCol w:w="858"/>
      </w:tblGrid>
      <w:tr w:rsidR="00B84533" w:rsidRPr="000D44EC" w14:paraId="0BE1972D" w14:textId="77777777" w:rsidTr="00301246">
        <w:trPr>
          <w:trHeight w:val="227"/>
          <w:jc w:val="center"/>
        </w:trPr>
        <w:tc>
          <w:tcPr>
            <w:tcW w:w="388" w:type="pct"/>
            <w:tcBorders>
              <w:top w:val="single" w:sz="4" w:space="0" w:color="auto"/>
              <w:bottom w:val="single" w:sz="4" w:space="0" w:color="auto"/>
              <w:right w:val="single" w:sz="4" w:space="0" w:color="auto"/>
            </w:tcBorders>
            <w:noWrap/>
            <w:vAlign w:val="center"/>
            <w:hideMark/>
          </w:tcPr>
          <w:p w14:paraId="3FD0CAC8" w14:textId="77777777" w:rsidR="00B84533" w:rsidRPr="000D44EC" w:rsidRDefault="00B84533" w:rsidP="00B84533">
            <w:pPr>
              <w:spacing w:after="0"/>
              <w:contextualSpacing/>
              <w:jc w:val="center"/>
              <w:rPr>
                <w:rFonts w:ascii="Times New Roman" w:hAnsi="Times New Roman" w:cs="Times New Roman"/>
              </w:rPr>
            </w:pPr>
          </w:p>
        </w:tc>
        <w:tc>
          <w:tcPr>
            <w:tcW w:w="462" w:type="pct"/>
            <w:tcBorders>
              <w:top w:val="single" w:sz="4" w:space="0" w:color="auto"/>
              <w:bottom w:val="single" w:sz="4" w:space="0" w:color="auto"/>
              <w:right w:val="nil"/>
            </w:tcBorders>
            <w:vAlign w:val="center"/>
          </w:tcPr>
          <w:p w14:paraId="199F19CC" w14:textId="4B4BB2FF" w:rsidR="00B84533" w:rsidRPr="000D44EC" w:rsidRDefault="00B84533" w:rsidP="00B84533">
            <w:pPr>
              <w:spacing w:after="0"/>
              <w:contextualSpacing/>
              <w:jc w:val="center"/>
              <w:rPr>
                <w:rFonts w:ascii="Times New Roman" w:hAnsi="Times New Roman" w:cs="Times New Roman"/>
                <w:bCs/>
              </w:rPr>
            </w:pPr>
            <w:r w:rsidRPr="000D44EC">
              <w:rPr>
                <w:rFonts w:ascii="Times New Roman" w:hAnsi="Times New Roman" w:cs="Times New Roman"/>
                <w:bCs/>
              </w:rPr>
              <w:t>FC</w:t>
            </w:r>
          </w:p>
        </w:tc>
        <w:tc>
          <w:tcPr>
            <w:tcW w:w="462" w:type="pct"/>
            <w:tcBorders>
              <w:top w:val="single" w:sz="4" w:space="0" w:color="auto"/>
              <w:left w:val="nil"/>
              <w:bottom w:val="single" w:sz="4" w:space="0" w:color="auto"/>
            </w:tcBorders>
            <w:vAlign w:val="center"/>
          </w:tcPr>
          <w:p w14:paraId="480026C9" w14:textId="0FD5D6D3" w:rsidR="00B84533" w:rsidRPr="000D44EC" w:rsidRDefault="00B84533" w:rsidP="00B84533">
            <w:pPr>
              <w:spacing w:after="0"/>
              <w:contextualSpacing/>
              <w:jc w:val="center"/>
              <w:rPr>
                <w:rFonts w:ascii="Times New Roman" w:hAnsi="Times New Roman" w:cs="Times New Roman"/>
                <w:bCs/>
              </w:rPr>
            </w:pPr>
            <w:r w:rsidRPr="000D44EC">
              <w:rPr>
                <w:rFonts w:ascii="Times New Roman" w:hAnsi="Times New Roman" w:cs="Times New Roman"/>
                <w:bCs/>
              </w:rPr>
              <w:t>PE</w:t>
            </w:r>
          </w:p>
        </w:tc>
        <w:tc>
          <w:tcPr>
            <w:tcW w:w="462" w:type="pct"/>
            <w:tcBorders>
              <w:top w:val="single" w:sz="4" w:space="0" w:color="auto"/>
              <w:bottom w:val="single" w:sz="4" w:space="0" w:color="auto"/>
            </w:tcBorders>
            <w:noWrap/>
            <w:vAlign w:val="center"/>
            <w:hideMark/>
          </w:tcPr>
          <w:p w14:paraId="48DCB57A"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EE</w:t>
            </w:r>
          </w:p>
        </w:tc>
        <w:tc>
          <w:tcPr>
            <w:tcW w:w="462" w:type="pct"/>
            <w:tcBorders>
              <w:top w:val="single" w:sz="4" w:space="0" w:color="auto"/>
              <w:bottom w:val="single" w:sz="4" w:space="0" w:color="auto"/>
            </w:tcBorders>
            <w:vAlign w:val="center"/>
          </w:tcPr>
          <w:p w14:paraId="445124F9" w14:textId="77777777" w:rsidR="00B84533" w:rsidRPr="000D44EC" w:rsidRDefault="00B84533" w:rsidP="00B84533">
            <w:pPr>
              <w:spacing w:after="0"/>
              <w:contextualSpacing/>
              <w:jc w:val="center"/>
              <w:rPr>
                <w:rFonts w:ascii="Times New Roman" w:hAnsi="Times New Roman" w:cs="Times New Roman"/>
                <w:bCs/>
              </w:rPr>
            </w:pPr>
            <w:r w:rsidRPr="000D44EC">
              <w:rPr>
                <w:rFonts w:ascii="Times New Roman" w:hAnsi="Times New Roman" w:cs="Times New Roman"/>
                <w:bCs/>
              </w:rPr>
              <w:t>SI</w:t>
            </w:r>
          </w:p>
        </w:tc>
        <w:tc>
          <w:tcPr>
            <w:tcW w:w="461" w:type="pct"/>
            <w:tcBorders>
              <w:top w:val="single" w:sz="4" w:space="0" w:color="auto"/>
              <w:bottom w:val="single" w:sz="4" w:space="0" w:color="auto"/>
            </w:tcBorders>
            <w:vAlign w:val="center"/>
          </w:tcPr>
          <w:p w14:paraId="78044EDA" w14:textId="77777777" w:rsidR="00B84533" w:rsidRPr="000D44EC" w:rsidRDefault="00B84533" w:rsidP="00B84533">
            <w:pPr>
              <w:spacing w:after="0"/>
              <w:contextualSpacing/>
              <w:jc w:val="center"/>
              <w:rPr>
                <w:rFonts w:ascii="Times New Roman" w:hAnsi="Times New Roman" w:cs="Times New Roman"/>
                <w:bCs/>
              </w:rPr>
            </w:pPr>
            <w:r w:rsidRPr="000D44EC">
              <w:rPr>
                <w:rFonts w:ascii="Times New Roman" w:hAnsi="Times New Roman" w:cs="Times New Roman"/>
                <w:bCs/>
              </w:rPr>
              <w:t>HB</w:t>
            </w:r>
          </w:p>
        </w:tc>
        <w:tc>
          <w:tcPr>
            <w:tcW w:w="461" w:type="pct"/>
            <w:tcBorders>
              <w:top w:val="single" w:sz="4" w:space="0" w:color="auto"/>
              <w:bottom w:val="single" w:sz="4" w:space="0" w:color="auto"/>
            </w:tcBorders>
            <w:vAlign w:val="center"/>
          </w:tcPr>
          <w:p w14:paraId="5851FEB3" w14:textId="77777777" w:rsidR="00B84533" w:rsidRPr="000D44EC" w:rsidRDefault="00B84533" w:rsidP="00B84533">
            <w:pPr>
              <w:spacing w:after="0"/>
              <w:contextualSpacing/>
              <w:jc w:val="center"/>
              <w:rPr>
                <w:rFonts w:ascii="Times New Roman" w:hAnsi="Times New Roman" w:cs="Times New Roman"/>
                <w:bCs/>
              </w:rPr>
            </w:pPr>
            <w:r w:rsidRPr="000D44EC">
              <w:rPr>
                <w:rFonts w:ascii="Times New Roman" w:hAnsi="Times New Roman" w:cs="Times New Roman"/>
                <w:bCs/>
              </w:rPr>
              <w:t>HM</w:t>
            </w:r>
          </w:p>
        </w:tc>
        <w:tc>
          <w:tcPr>
            <w:tcW w:w="461" w:type="pct"/>
            <w:tcBorders>
              <w:top w:val="single" w:sz="4" w:space="0" w:color="auto"/>
              <w:bottom w:val="single" w:sz="4" w:space="0" w:color="auto"/>
            </w:tcBorders>
            <w:noWrap/>
            <w:vAlign w:val="center"/>
            <w:hideMark/>
          </w:tcPr>
          <w:p w14:paraId="5CA4FC75"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GM</w:t>
            </w:r>
          </w:p>
        </w:tc>
        <w:tc>
          <w:tcPr>
            <w:tcW w:w="461" w:type="pct"/>
            <w:tcBorders>
              <w:top w:val="single" w:sz="4" w:space="0" w:color="auto"/>
              <w:bottom w:val="single" w:sz="4" w:space="0" w:color="auto"/>
            </w:tcBorders>
            <w:vAlign w:val="center"/>
          </w:tcPr>
          <w:p w14:paraId="4075EFC4" w14:textId="77777777" w:rsidR="00B84533" w:rsidRPr="000D44EC" w:rsidRDefault="00B84533" w:rsidP="00B84533">
            <w:pPr>
              <w:spacing w:after="0"/>
              <w:contextualSpacing/>
              <w:jc w:val="center"/>
              <w:rPr>
                <w:rFonts w:ascii="Times New Roman" w:hAnsi="Times New Roman" w:cs="Times New Roman"/>
                <w:bCs/>
              </w:rPr>
            </w:pPr>
            <w:r w:rsidRPr="000D44EC">
              <w:rPr>
                <w:rFonts w:ascii="Times New Roman" w:hAnsi="Times New Roman" w:cs="Times New Roman"/>
                <w:bCs/>
              </w:rPr>
              <w:t>BI</w:t>
            </w:r>
          </w:p>
        </w:tc>
        <w:tc>
          <w:tcPr>
            <w:tcW w:w="461" w:type="pct"/>
            <w:tcBorders>
              <w:top w:val="single" w:sz="4" w:space="0" w:color="auto"/>
              <w:bottom w:val="single" w:sz="4" w:space="0" w:color="auto"/>
            </w:tcBorders>
            <w:noWrap/>
            <w:vAlign w:val="center"/>
            <w:hideMark/>
          </w:tcPr>
          <w:p w14:paraId="077C1530"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IR</w:t>
            </w:r>
          </w:p>
        </w:tc>
        <w:tc>
          <w:tcPr>
            <w:tcW w:w="461" w:type="pct"/>
            <w:tcBorders>
              <w:top w:val="single" w:sz="4" w:space="0" w:color="auto"/>
              <w:bottom w:val="single" w:sz="4" w:space="0" w:color="auto"/>
            </w:tcBorders>
            <w:noWrap/>
            <w:vAlign w:val="center"/>
            <w:hideMark/>
          </w:tcPr>
          <w:p w14:paraId="3E4583E4"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UB</w:t>
            </w:r>
          </w:p>
        </w:tc>
      </w:tr>
      <w:tr w:rsidR="00E47BC3" w:rsidRPr="000D44EC" w14:paraId="5C8350DD" w14:textId="77777777" w:rsidTr="00301246">
        <w:trPr>
          <w:trHeight w:val="227"/>
          <w:jc w:val="center"/>
        </w:trPr>
        <w:tc>
          <w:tcPr>
            <w:tcW w:w="388" w:type="pct"/>
            <w:tcBorders>
              <w:top w:val="single" w:sz="4" w:space="0" w:color="auto"/>
              <w:bottom w:val="nil"/>
              <w:right w:val="single" w:sz="4" w:space="0" w:color="auto"/>
            </w:tcBorders>
            <w:noWrap/>
            <w:vAlign w:val="center"/>
            <w:hideMark/>
          </w:tcPr>
          <w:p w14:paraId="56454551" w14:textId="77777777" w:rsidR="00E47BC3" w:rsidRPr="000D44EC" w:rsidRDefault="00E47BC3" w:rsidP="00311E7F">
            <w:pPr>
              <w:spacing w:after="0"/>
              <w:contextualSpacing/>
              <w:jc w:val="center"/>
              <w:rPr>
                <w:rFonts w:ascii="Times New Roman" w:hAnsi="Times New Roman" w:cs="Times New Roman"/>
              </w:rPr>
            </w:pPr>
            <w:r w:rsidRPr="000D44EC">
              <w:rPr>
                <w:rFonts w:ascii="Times New Roman" w:hAnsi="Times New Roman" w:cs="Times New Roman"/>
                <w:bCs/>
              </w:rPr>
              <w:t>FC</w:t>
            </w:r>
          </w:p>
        </w:tc>
        <w:tc>
          <w:tcPr>
            <w:tcW w:w="462" w:type="pct"/>
            <w:tcBorders>
              <w:top w:val="single" w:sz="4" w:space="0" w:color="auto"/>
              <w:bottom w:val="nil"/>
              <w:right w:val="nil"/>
            </w:tcBorders>
            <w:vAlign w:val="center"/>
          </w:tcPr>
          <w:p w14:paraId="3A81268B" w14:textId="77777777" w:rsidR="00E47BC3" w:rsidRPr="000D44EC" w:rsidRDefault="00E47BC3" w:rsidP="00311E7F">
            <w:pPr>
              <w:spacing w:after="0"/>
              <w:contextualSpacing/>
              <w:jc w:val="center"/>
              <w:rPr>
                <w:rFonts w:ascii="Times New Roman" w:hAnsi="Times New Roman" w:cs="Times New Roman"/>
                <w:bCs/>
              </w:rPr>
            </w:pPr>
          </w:p>
        </w:tc>
        <w:tc>
          <w:tcPr>
            <w:tcW w:w="462" w:type="pct"/>
            <w:tcBorders>
              <w:top w:val="single" w:sz="4" w:space="0" w:color="auto"/>
              <w:left w:val="nil"/>
              <w:bottom w:val="nil"/>
            </w:tcBorders>
            <w:vAlign w:val="center"/>
          </w:tcPr>
          <w:p w14:paraId="07B06E7A" w14:textId="04B33B2C" w:rsidR="00E47BC3" w:rsidRPr="000D44EC" w:rsidRDefault="00E47BC3" w:rsidP="00311E7F">
            <w:pPr>
              <w:spacing w:after="0"/>
              <w:contextualSpacing/>
              <w:jc w:val="center"/>
              <w:rPr>
                <w:rFonts w:ascii="Times New Roman" w:hAnsi="Times New Roman" w:cs="Times New Roman"/>
              </w:rPr>
            </w:pPr>
            <w:r w:rsidRPr="000D44EC">
              <w:rPr>
                <w:rFonts w:ascii="Times New Roman" w:hAnsi="Times New Roman" w:cs="Times New Roman"/>
              </w:rPr>
              <w:t>0.716</w:t>
            </w:r>
          </w:p>
        </w:tc>
        <w:tc>
          <w:tcPr>
            <w:tcW w:w="462" w:type="pct"/>
            <w:tcBorders>
              <w:top w:val="single" w:sz="4" w:space="0" w:color="auto"/>
              <w:bottom w:val="nil"/>
            </w:tcBorders>
            <w:noWrap/>
            <w:vAlign w:val="center"/>
            <w:hideMark/>
          </w:tcPr>
          <w:p w14:paraId="168AF8D8" w14:textId="22AF1C70" w:rsidR="00E47BC3" w:rsidRPr="000D44EC" w:rsidRDefault="00E47BC3" w:rsidP="00311E7F">
            <w:pPr>
              <w:spacing w:after="0"/>
              <w:contextualSpacing/>
              <w:jc w:val="center"/>
              <w:rPr>
                <w:rFonts w:ascii="Times New Roman" w:hAnsi="Times New Roman" w:cs="Times New Roman"/>
              </w:rPr>
            </w:pPr>
            <w:r w:rsidRPr="000D44EC">
              <w:rPr>
                <w:rFonts w:ascii="Times New Roman" w:hAnsi="Times New Roman" w:cs="Times New Roman"/>
                <w:bCs/>
              </w:rPr>
              <w:t>0.776</w:t>
            </w:r>
          </w:p>
        </w:tc>
        <w:tc>
          <w:tcPr>
            <w:tcW w:w="462" w:type="pct"/>
            <w:tcBorders>
              <w:top w:val="single" w:sz="4" w:space="0" w:color="auto"/>
              <w:bottom w:val="nil"/>
            </w:tcBorders>
            <w:vAlign w:val="center"/>
          </w:tcPr>
          <w:p w14:paraId="6C79249F" w14:textId="77777777" w:rsidR="00E47BC3" w:rsidRPr="000D44EC" w:rsidRDefault="00E47BC3" w:rsidP="00311E7F">
            <w:pPr>
              <w:spacing w:after="0"/>
              <w:contextualSpacing/>
              <w:jc w:val="center"/>
              <w:rPr>
                <w:rFonts w:ascii="Times New Roman" w:hAnsi="Times New Roman" w:cs="Times New Roman"/>
              </w:rPr>
            </w:pPr>
            <w:r w:rsidRPr="000D44EC">
              <w:rPr>
                <w:rFonts w:ascii="Times New Roman" w:hAnsi="Times New Roman" w:cs="Times New Roman"/>
                <w:bCs/>
              </w:rPr>
              <w:t>0.678</w:t>
            </w:r>
          </w:p>
        </w:tc>
        <w:tc>
          <w:tcPr>
            <w:tcW w:w="461" w:type="pct"/>
            <w:tcBorders>
              <w:top w:val="single" w:sz="4" w:space="0" w:color="auto"/>
              <w:bottom w:val="nil"/>
            </w:tcBorders>
            <w:vAlign w:val="center"/>
          </w:tcPr>
          <w:p w14:paraId="7E7EE3C4" w14:textId="77777777" w:rsidR="00E47BC3" w:rsidRPr="000D44EC" w:rsidRDefault="00E47BC3" w:rsidP="00311E7F">
            <w:pPr>
              <w:spacing w:after="0"/>
              <w:contextualSpacing/>
              <w:jc w:val="center"/>
              <w:rPr>
                <w:rFonts w:ascii="Times New Roman" w:hAnsi="Times New Roman" w:cs="Times New Roman"/>
                <w:bCs/>
              </w:rPr>
            </w:pPr>
            <w:r w:rsidRPr="000D44EC">
              <w:rPr>
                <w:rFonts w:ascii="Times New Roman" w:hAnsi="Times New Roman" w:cs="Times New Roman"/>
                <w:bCs/>
              </w:rPr>
              <w:t>0.455</w:t>
            </w:r>
          </w:p>
        </w:tc>
        <w:tc>
          <w:tcPr>
            <w:tcW w:w="461" w:type="pct"/>
            <w:tcBorders>
              <w:top w:val="single" w:sz="4" w:space="0" w:color="auto"/>
              <w:bottom w:val="nil"/>
            </w:tcBorders>
            <w:vAlign w:val="center"/>
          </w:tcPr>
          <w:p w14:paraId="64F4C7B8" w14:textId="77777777" w:rsidR="00E47BC3" w:rsidRPr="000D44EC" w:rsidRDefault="00E47BC3" w:rsidP="00311E7F">
            <w:pPr>
              <w:spacing w:after="0"/>
              <w:contextualSpacing/>
              <w:jc w:val="center"/>
              <w:rPr>
                <w:rFonts w:ascii="Times New Roman" w:hAnsi="Times New Roman" w:cs="Times New Roman"/>
                <w:bCs/>
              </w:rPr>
            </w:pPr>
            <w:r w:rsidRPr="000D44EC">
              <w:rPr>
                <w:rFonts w:ascii="Times New Roman" w:hAnsi="Times New Roman" w:cs="Times New Roman"/>
                <w:bCs/>
              </w:rPr>
              <w:t>0.514</w:t>
            </w:r>
          </w:p>
        </w:tc>
        <w:tc>
          <w:tcPr>
            <w:tcW w:w="461" w:type="pct"/>
            <w:tcBorders>
              <w:top w:val="single" w:sz="4" w:space="0" w:color="auto"/>
              <w:bottom w:val="nil"/>
            </w:tcBorders>
            <w:noWrap/>
            <w:vAlign w:val="center"/>
            <w:hideMark/>
          </w:tcPr>
          <w:p w14:paraId="1D9EBEE1" w14:textId="77777777" w:rsidR="00E47BC3" w:rsidRPr="000D44EC" w:rsidRDefault="00E47BC3" w:rsidP="00311E7F">
            <w:pPr>
              <w:spacing w:after="0"/>
              <w:contextualSpacing/>
              <w:jc w:val="center"/>
              <w:rPr>
                <w:rFonts w:ascii="Times New Roman" w:hAnsi="Times New Roman" w:cs="Times New Roman"/>
              </w:rPr>
            </w:pPr>
            <w:r w:rsidRPr="000D44EC">
              <w:rPr>
                <w:rFonts w:ascii="Times New Roman" w:hAnsi="Times New Roman" w:cs="Times New Roman"/>
                <w:bCs/>
              </w:rPr>
              <w:t>0.527</w:t>
            </w:r>
          </w:p>
        </w:tc>
        <w:tc>
          <w:tcPr>
            <w:tcW w:w="461" w:type="pct"/>
            <w:tcBorders>
              <w:top w:val="single" w:sz="4" w:space="0" w:color="auto"/>
              <w:bottom w:val="nil"/>
            </w:tcBorders>
            <w:vAlign w:val="center"/>
          </w:tcPr>
          <w:p w14:paraId="6E0D79D4" w14:textId="77777777" w:rsidR="00E47BC3" w:rsidRPr="000D44EC" w:rsidRDefault="00E47BC3" w:rsidP="00311E7F">
            <w:pPr>
              <w:spacing w:after="0"/>
              <w:contextualSpacing/>
              <w:jc w:val="center"/>
              <w:rPr>
                <w:rFonts w:ascii="Times New Roman" w:hAnsi="Times New Roman" w:cs="Times New Roman"/>
                <w:bCs/>
              </w:rPr>
            </w:pPr>
            <w:r w:rsidRPr="000D44EC">
              <w:rPr>
                <w:rFonts w:ascii="Times New Roman" w:hAnsi="Times New Roman" w:cs="Times New Roman"/>
              </w:rPr>
              <w:t>0.623</w:t>
            </w:r>
          </w:p>
        </w:tc>
        <w:tc>
          <w:tcPr>
            <w:tcW w:w="461" w:type="pct"/>
            <w:tcBorders>
              <w:top w:val="single" w:sz="4" w:space="0" w:color="auto"/>
              <w:bottom w:val="nil"/>
            </w:tcBorders>
            <w:noWrap/>
            <w:vAlign w:val="center"/>
            <w:hideMark/>
          </w:tcPr>
          <w:p w14:paraId="1607ADC8" w14:textId="77777777" w:rsidR="00E47BC3" w:rsidRPr="000D44EC" w:rsidRDefault="00E47BC3" w:rsidP="00311E7F">
            <w:pPr>
              <w:spacing w:after="0"/>
              <w:contextualSpacing/>
              <w:jc w:val="center"/>
              <w:rPr>
                <w:rFonts w:ascii="Times New Roman" w:hAnsi="Times New Roman" w:cs="Times New Roman"/>
              </w:rPr>
            </w:pPr>
            <w:r w:rsidRPr="000D44EC">
              <w:rPr>
                <w:rFonts w:ascii="Times New Roman" w:hAnsi="Times New Roman" w:cs="Times New Roman"/>
                <w:bCs/>
              </w:rPr>
              <w:t>0.671</w:t>
            </w:r>
          </w:p>
        </w:tc>
        <w:tc>
          <w:tcPr>
            <w:tcW w:w="461" w:type="pct"/>
            <w:tcBorders>
              <w:top w:val="single" w:sz="4" w:space="0" w:color="auto"/>
              <w:bottom w:val="nil"/>
            </w:tcBorders>
            <w:noWrap/>
            <w:vAlign w:val="center"/>
            <w:hideMark/>
          </w:tcPr>
          <w:p w14:paraId="3FA29D8F" w14:textId="77777777" w:rsidR="00E47BC3" w:rsidRPr="000D44EC" w:rsidRDefault="00E47BC3" w:rsidP="00311E7F">
            <w:pPr>
              <w:spacing w:after="0"/>
              <w:contextualSpacing/>
              <w:jc w:val="center"/>
              <w:rPr>
                <w:rFonts w:ascii="Times New Roman" w:hAnsi="Times New Roman" w:cs="Times New Roman"/>
              </w:rPr>
            </w:pPr>
            <w:r w:rsidRPr="000D44EC">
              <w:rPr>
                <w:rFonts w:ascii="Times New Roman" w:hAnsi="Times New Roman" w:cs="Times New Roman"/>
                <w:bCs/>
              </w:rPr>
              <w:t>0.240</w:t>
            </w:r>
          </w:p>
        </w:tc>
      </w:tr>
      <w:tr w:rsidR="00B84533" w:rsidRPr="000D44EC" w14:paraId="3B220BC3" w14:textId="77777777" w:rsidTr="00301246">
        <w:trPr>
          <w:trHeight w:val="227"/>
          <w:jc w:val="center"/>
        </w:trPr>
        <w:tc>
          <w:tcPr>
            <w:tcW w:w="388" w:type="pct"/>
            <w:tcBorders>
              <w:top w:val="nil"/>
              <w:bottom w:val="nil"/>
              <w:right w:val="single" w:sz="4" w:space="0" w:color="auto"/>
            </w:tcBorders>
            <w:noWrap/>
            <w:vAlign w:val="center"/>
            <w:hideMark/>
          </w:tcPr>
          <w:p w14:paraId="6871488D"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PE</w:t>
            </w:r>
          </w:p>
        </w:tc>
        <w:tc>
          <w:tcPr>
            <w:tcW w:w="462" w:type="pct"/>
            <w:tcBorders>
              <w:top w:val="nil"/>
              <w:bottom w:val="nil"/>
              <w:right w:val="nil"/>
            </w:tcBorders>
            <w:vAlign w:val="center"/>
          </w:tcPr>
          <w:p w14:paraId="21BAEFAF" w14:textId="528CF581" w:rsidR="00B84533" w:rsidRPr="000D44EC" w:rsidRDefault="00E47BC3" w:rsidP="00E47BC3">
            <w:pPr>
              <w:spacing w:after="0"/>
              <w:contextualSpacing/>
              <w:jc w:val="center"/>
              <w:rPr>
                <w:rFonts w:ascii="Times New Roman" w:hAnsi="Times New Roman" w:cs="Times New Roman"/>
              </w:rPr>
            </w:pPr>
            <w:r w:rsidRPr="000D44EC">
              <w:rPr>
                <w:rFonts w:ascii="Times New Roman" w:hAnsi="Times New Roman" w:cs="Times New Roman"/>
                <w:bCs/>
              </w:rPr>
              <w:t>0.802</w:t>
            </w:r>
          </w:p>
        </w:tc>
        <w:tc>
          <w:tcPr>
            <w:tcW w:w="462" w:type="pct"/>
            <w:tcBorders>
              <w:top w:val="nil"/>
              <w:left w:val="nil"/>
              <w:bottom w:val="nil"/>
            </w:tcBorders>
            <w:vAlign w:val="center"/>
          </w:tcPr>
          <w:p w14:paraId="5CF933B2" w14:textId="07AD62FB" w:rsidR="00B84533" w:rsidRPr="000D44EC" w:rsidRDefault="00B84533" w:rsidP="00B84533">
            <w:pPr>
              <w:spacing w:after="0"/>
              <w:contextualSpacing/>
              <w:jc w:val="center"/>
              <w:rPr>
                <w:rFonts w:ascii="Times New Roman" w:hAnsi="Times New Roman" w:cs="Times New Roman"/>
              </w:rPr>
            </w:pPr>
          </w:p>
        </w:tc>
        <w:tc>
          <w:tcPr>
            <w:tcW w:w="462" w:type="pct"/>
            <w:tcBorders>
              <w:top w:val="nil"/>
              <w:bottom w:val="nil"/>
            </w:tcBorders>
            <w:noWrap/>
            <w:vAlign w:val="center"/>
            <w:hideMark/>
          </w:tcPr>
          <w:p w14:paraId="5F4111C6"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0.735</w:t>
            </w:r>
          </w:p>
        </w:tc>
        <w:tc>
          <w:tcPr>
            <w:tcW w:w="462" w:type="pct"/>
            <w:tcBorders>
              <w:top w:val="nil"/>
              <w:bottom w:val="nil"/>
            </w:tcBorders>
            <w:vAlign w:val="center"/>
          </w:tcPr>
          <w:p w14:paraId="4CCCF7ED"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0.699</w:t>
            </w:r>
          </w:p>
        </w:tc>
        <w:tc>
          <w:tcPr>
            <w:tcW w:w="461" w:type="pct"/>
            <w:tcBorders>
              <w:top w:val="nil"/>
              <w:bottom w:val="nil"/>
            </w:tcBorders>
            <w:vAlign w:val="center"/>
          </w:tcPr>
          <w:p w14:paraId="6E5022AD"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0.480</w:t>
            </w:r>
          </w:p>
        </w:tc>
        <w:tc>
          <w:tcPr>
            <w:tcW w:w="461" w:type="pct"/>
            <w:tcBorders>
              <w:top w:val="nil"/>
              <w:bottom w:val="nil"/>
            </w:tcBorders>
            <w:vAlign w:val="center"/>
          </w:tcPr>
          <w:p w14:paraId="134F300D"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0.475</w:t>
            </w:r>
          </w:p>
        </w:tc>
        <w:tc>
          <w:tcPr>
            <w:tcW w:w="461" w:type="pct"/>
            <w:tcBorders>
              <w:top w:val="nil"/>
              <w:bottom w:val="nil"/>
            </w:tcBorders>
            <w:noWrap/>
            <w:vAlign w:val="center"/>
            <w:hideMark/>
          </w:tcPr>
          <w:p w14:paraId="5FF31719"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0.475</w:t>
            </w:r>
          </w:p>
        </w:tc>
        <w:tc>
          <w:tcPr>
            <w:tcW w:w="461" w:type="pct"/>
            <w:tcBorders>
              <w:top w:val="nil"/>
              <w:bottom w:val="nil"/>
            </w:tcBorders>
            <w:vAlign w:val="center"/>
          </w:tcPr>
          <w:p w14:paraId="0BC9F2A7"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0.624</w:t>
            </w:r>
          </w:p>
        </w:tc>
        <w:tc>
          <w:tcPr>
            <w:tcW w:w="461" w:type="pct"/>
            <w:tcBorders>
              <w:top w:val="nil"/>
              <w:bottom w:val="nil"/>
            </w:tcBorders>
            <w:noWrap/>
            <w:vAlign w:val="center"/>
            <w:hideMark/>
          </w:tcPr>
          <w:p w14:paraId="5D6E989A"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0.609</w:t>
            </w:r>
          </w:p>
        </w:tc>
        <w:tc>
          <w:tcPr>
            <w:tcW w:w="461" w:type="pct"/>
            <w:tcBorders>
              <w:top w:val="nil"/>
              <w:bottom w:val="nil"/>
            </w:tcBorders>
            <w:noWrap/>
            <w:vAlign w:val="center"/>
            <w:hideMark/>
          </w:tcPr>
          <w:p w14:paraId="76E14507"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0.289</w:t>
            </w:r>
          </w:p>
        </w:tc>
      </w:tr>
      <w:tr w:rsidR="00B84533" w:rsidRPr="000D44EC" w14:paraId="7BCE8219" w14:textId="77777777" w:rsidTr="00301246">
        <w:trPr>
          <w:trHeight w:val="227"/>
          <w:jc w:val="center"/>
        </w:trPr>
        <w:tc>
          <w:tcPr>
            <w:tcW w:w="388" w:type="pct"/>
            <w:tcBorders>
              <w:top w:val="nil"/>
              <w:bottom w:val="nil"/>
              <w:right w:val="single" w:sz="4" w:space="0" w:color="auto"/>
            </w:tcBorders>
            <w:noWrap/>
            <w:vAlign w:val="center"/>
            <w:hideMark/>
          </w:tcPr>
          <w:p w14:paraId="242A192C"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EE</w:t>
            </w:r>
          </w:p>
        </w:tc>
        <w:tc>
          <w:tcPr>
            <w:tcW w:w="462" w:type="pct"/>
            <w:tcBorders>
              <w:top w:val="nil"/>
              <w:bottom w:val="nil"/>
              <w:right w:val="nil"/>
            </w:tcBorders>
            <w:vAlign w:val="center"/>
          </w:tcPr>
          <w:p w14:paraId="0E5A473E" w14:textId="32E2AE89" w:rsidR="00B84533" w:rsidRPr="000D44EC" w:rsidRDefault="00E47BC3" w:rsidP="00B84533">
            <w:pPr>
              <w:spacing w:after="0"/>
              <w:contextualSpacing/>
              <w:jc w:val="center"/>
              <w:rPr>
                <w:rFonts w:ascii="Times New Roman" w:hAnsi="Times New Roman" w:cs="Times New Roman"/>
                <w:bCs/>
              </w:rPr>
            </w:pPr>
            <w:r w:rsidRPr="000D44EC">
              <w:rPr>
                <w:rFonts w:ascii="Times New Roman" w:hAnsi="Times New Roman" w:cs="Times New Roman"/>
              </w:rPr>
              <w:t>0.697</w:t>
            </w:r>
          </w:p>
        </w:tc>
        <w:tc>
          <w:tcPr>
            <w:tcW w:w="462" w:type="pct"/>
            <w:tcBorders>
              <w:top w:val="nil"/>
              <w:left w:val="nil"/>
              <w:bottom w:val="nil"/>
            </w:tcBorders>
            <w:vAlign w:val="center"/>
          </w:tcPr>
          <w:p w14:paraId="7E1484F2" w14:textId="1B89BE6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0.844</w:t>
            </w:r>
          </w:p>
        </w:tc>
        <w:tc>
          <w:tcPr>
            <w:tcW w:w="462" w:type="pct"/>
            <w:tcBorders>
              <w:top w:val="nil"/>
              <w:bottom w:val="nil"/>
            </w:tcBorders>
            <w:noWrap/>
            <w:vAlign w:val="center"/>
            <w:hideMark/>
          </w:tcPr>
          <w:p w14:paraId="743D418E" w14:textId="77777777" w:rsidR="00B84533" w:rsidRPr="000D44EC" w:rsidRDefault="00B84533" w:rsidP="00B84533">
            <w:pPr>
              <w:spacing w:after="0"/>
              <w:contextualSpacing/>
              <w:jc w:val="center"/>
              <w:rPr>
                <w:rFonts w:ascii="Times New Roman" w:hAnsi="Times New Roman" w:cs="Times New Roman"/>
              </w:rPr>
            </w:pPr>
          </w:p>
        </w:tc>
        <w:tc>
          <w:tcPr>
            <w:tcW w:w="462" w:type="pct"/>
            <w:tcBorders>
              <w:top w:val="nil"/>
              <w:bottom w:val="nil"/>
            </w:tcBorders>
            <w:vAlign w:val="center"/>
          </w:tcPr>
          <w:p w14:paraId="0760C09A" w14:textId="77777777" w:rsidR="00B84533" w:rsidRPr="000D44EC" w:rsidRDefault="00B84533" w:rsidP="00B84533">
            <w:pPr>
              <w:spacing w:after="0"/>
              <w:contextualSpacing/>
              <w:jc w:val="center"/>
              <w:rPr>
                <w:rFonts w:ascii="Times New Roman" w:hAnsi="Times New Roman" w:cs="Times New Roman"/>
                <w:bCs/>
              </w:rPr>
            </w:pPr>
            <w:r w:rsidRPr="000D44EC">
              <w:rPr>
                <w:rFonts w:ascii="Times New Roman" w:hAnsi="Times New Roman" w:cs="Times New Roman"/>
                <w:bCs/>
              </w:rPr>
              <w:t>0.562</w:t>
            </w:r>
          </w:p>
        </w:tc>
        <w:tc>
          <w:tcPr>
            <w:tcW w:w="461" w:type="pct"/>
            <w:tcBorders>
              <w:top w:val="nil"/>
              <w:bottom w:val="nil"/>
            </w:tcBorders>
            <w:vAlign w:val="center"/>
          </w:tcPr>
          <w:p w14:paraId="25C98793" w14:textId="77777777" w:rsidR="00B84533" w:rsidRPr="000D44EC" w:rsidRDefault="00B84533" w:rsidP="00B84533">
            <w:pPr>
              <w:spacing w:after="0"/>
              <w:contextualSpacing/>
              <w:jc w:val="center"/>
              <w:rPr>
                <w:rFonts w:ascii="Times New Roman" w:hAnsi="Times New Roman" w:cs="Times New Roman"/>
                <w:bCs/>
              </w:rPr>
            </w:pPr>
            <w:r w:rsidRPr="000D44EC">
              <w:rPr>
                <w:rFonts w:ascii="Times New Roman" w:hAnsi="Times New Roman" w:cs="Times New Roman"/>
                <w:bCs/>
              </w:rPr>
              <w:t>0.380</w:t>
            </w:r>
          </w:p>
        </w:tc>
        <w:tc>
          <w:tcPr>
            <w:tcW w:w="461" w:type="pct"/>
            <w:tcBorders>
              <w:top w:val="nil"/>
              <w:bottom w:val="nil"/>
            </w:tcBorders>
            <w:vAlign w:val="center"/>
          </w:tcPr>
          <w:p w14:paraId="3F62CBA6" w14:textId="77777777" w:rsidR="00B84533" w:rsidRPr="000D44EC" w:rsidRDefault="00B84533" w:rsidP="00B84533">
            <w:pPr>
              <w:spacing w:after="0"/>
              <w:contextualSpacing/>
              <w:jc w:val="center"/>
              <w:rPr>
                <w:rFonts w:ascii="Times New Roman" w:hAnsi="Times New Roman" w:cs="Times New Roman"/>
                <w:bCs/>
              </w:rPr>
            </w:pPr>
            <w:r w:rsidRPr="000D44EC">
              <w:rPr>
                <w:rFonts w:ascii="Times New Roman" w:hAnsi="Times New Roman" w:cs="Times New Roman"/>
                <w:bCs/>
              </w:rPr>
              <w:t>0.422</w:t>
            </w:r>
          </w:p>
        </w:tc>
        <w:tc>
          <w:tcPr>
            <w:tcW w:w="461" w:type="pct"/>
            <w:tcBorders>
              <w:top w:val="nil"/>
              <w:bottom w:val="nil"/>
            </w:tcBorders>
            <w:noWrap/>
            <w:vAlign w:val="center"/>
            <w:hideMark/>
          </w:tcPr>
          <w:p w14:paraId="4C2B7074"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0.415</w:t>
            </w:r>
          </w:p>
        </w:tc>
        <w:tc>
          <w:tcPr>
            <w:tcW w:w="461" w:type="pct"/>
            <w:tcBorders>
              <w:top w:val="nil"/>
              <w:bottom w:val="nil"/>
            </w:tcBorders>
            <w:vAlign w:val="center"/>
          </w:tcPr>
          <w:p w14:paraId="3985E11E" w14:textId="77777777" w:rsidR="00B84533" w:rsidRPr="000D44EC" w:rsidRDefault="00B84533" w:rsidP="00B84533">
            <w:pPr>
              <w:spacing w:after="0"/>
              <w:contextualSpacing/>
              <w:jc w:val="center"/>
              <w:rPr>
                <w:rFonts w:ascii="Times New Roman" w:hAnsi="Times New Roman" w:cs="Times New Roman"/>
                <w:bCs/>
              </w:rPr>
            </w:pPr>
            <w:r w:rsidRPr="000D44EC">
              <w:rPr>
                <w:rFonts w:ascii="Times New Roman" w:hAnsi="Times New Roman" w:cs="Times New Roman"/>
              </w:rPr>
              <w:t>0.497</w:t>
            </w:r>
          </w:p>
        </w:tc>
        <w:tc>
          <w:tcPr>
            <w:tcW w:w="461" w:type="pct"/>
            <w:tcBorders>
              <w:top w:val="nil"/>
              <w:bottom w:val="nil"/>
            </w:tcBorders>
            <w:noWrap/>
            <w:vAlign w:val="center"/>
            <w:hideMark/>
          </w:tcPr>
          <w:p w14:paraId="601A009B"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0.587</w:t>
            </w:r>
          </w:p>
        </w:tc>
        <w:tc>
          <w:tcPr>
            <w:tcW w:w="461" w:type="pct"/>
            <w:tcBorders>
              <w:top w:val="nil"/>
              <w:bottom w:val="nil"/>
            </w:tcBorders>
            <w:noWrap/>
            <w:vAlign w:val="center"/>
            <w:hideMark/>
          </w:tcPr>
          <w:p w14:paraId="609629CD"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0.218</w:t>
            </w:r>
          </w:p>
        </w:tc>
      </w:tr>
      <w:tr w:rsidR="00B84533" w:rsidRPr="000D44EC" w14:paraId="28DDDD2D" w14:textId="77777777" w:rsidTr="00301246">
        <w:trPr>
          <w:trHeight w:val="227"/>
          <w:jc w:val="center"/>
        </w:trPr>
        <w:tc>
          <w:tcPr>
            <w:tcW w:w="388" w:type="pct"/>
            <w:tcBorders>
              <w:top w:val="nil"/>
              <w:bottom w:val="nil"/>
              <w:right w:val="single" w:sz="4" w:space="0" w:color="auto"/>
            </w:tcBorders>
            <w:noWrap/>
            <w:vAlign w:val="center"/>
            <w:hideMark/>
          </w:tcPr>
          <w:p w14:paraId="260E496B"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SI</w:t>
            </w:r>
          </w:p>
        </w:tc>
        <w:tc>
          <w:tcPr>
            <w:tcW w:w="462" w:type="pct"/>
            <w:tcBorders>
              <w:top w:val="nil"/>
              <w:bottom w:val="nil"/>
              <w:right w:val="nil"/>
            </w:tcBorders>
            <w:vAlign w:val="center"/>
          </w:tcPr>
          <w:p w14:paraId="21F88D1A" w14:textId="31672B92"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0.606</w:t>
            </w:r>
          </w:p>
        </w:tc>
        <w:tc>
          <w:tcPr>
            <w:tcW w:w="462" w:type="pct"/>
            <w:tcBorders>
              <w:top w:val="nil"/>
              <w:left w:val="nil"/>
              <w:bottom w:val="nil"/>
            </w:tcBorders>
            <w:vAlign w:val="center"/>
          </w:tcPr>
          <w:p w14:paraId="0D235E7F" w14:textId="365CD232"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0.595</w:t>
            </w:r>
          </w:p>
        </w:tc>
        <w:tc>
          <w:tcPr>
            <w:tcW w:w="462" w:type="pct"/>
            <w:tcBorders>
              <w:top w:val="nil"/>
              <w:bottom w:val="nil"/>
            </w:tcBorders>
            <w:noWrap/>
            <w:vAlign w:val="center"/>
            <w:hideMark/>
          </w:tcPr>
          <w:p w14:paraId="20ECF2B3"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0.493</w:t>
            </w:r>
          </w:p>
        </w:tc>
        <w:tc>
          <w:tcPr>
            <w:tcW w:w="462" w:type="pct"/>
            <w:tcBorders>
              <w:top w:val="nil"/>
              <w:bottom w:val="nil"/>
            </w:tcBorders>
            <w:vAlign w:val="center"/>
          </w:tcPr>
          <w:p w14:paraId="2E3BE937" w14:textId="77777777" w:rsidR="00B84533" w:rsidRPr="000D44EC" w:rsidRDefault="00B84533" w:rsidP="00B84533">
            <w:pPr>
              <w:spacing w:after="0"/>
              <w:contextualSpacing/>
              <w:jc w:val="center"/>
              <w:rPr>
                <w:rFonts w:ascii="Times New Roman" w:hAnsi="Times New Roman" w:cs="Times New Roman"/>
              </w:rPr>
            </w:pPr>
          </w:p>
        </w:tc>
        <w:tc>
          <w:tcPr>
            <w:tcW w:w="461" w:type="pct"/>
            <w:tcBorders>
              <w:top w:val="nil"/>
              <w:bottom w:val="nil"/>
            </w:tcBorders>
            <w:vAlign w:val="center"/>
          </w:tcPr>
          <w:p w14:paraId="4B6EB9E6"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0.492</w:t>
            </w:r>
          </w:p>
        </w:tc>
        <w:tc>
          <w:tcPr>
            <w:tcW w:w="461" w:type="pct"/>
            <w:tcBorders>
              <w:top w:val="nil"/>
              <w:bottom w:val="nil"/>
            </w:tcBorders>
            <w:vAlign w:val="center"/>
          </w:tcPr>
          <w:p w14:paraId="71DE7B00"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0.543</w:t>
            </w:r>
          </w:p>
        </w:tc>
        <w:tc>
          <w:tcPr>
            <w:tcW w:w="461" w:type="pct"/>
            <w:tcBorders>
              <w:top w:val="nil"/>
              <w:bottom w:val="nil"/>
            </w:tcBorders>
            <w:noWrap/>
            <w:vAlign w:val="center"/>
            <w:hideMark/>
          </w:tcPr>
          <w:p w14:paraId="7F21B604"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0.447</w:t>
            </w:r>
          </w:p>
        </w:tc>
        <w:tc>
          <w:tcPr>
            <w:tcW w:w="461" w:type="pct"/>
            <w:tcBorders>
              <w:top w:val="nil"/>
              <w:bottom w:val="nil"/>
            </w:tcBorders>
            <w:vAlign w:val="center"/>
          </w:tcPr>
          <w:p w14:paraId="4B50C3F1"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0.547</w:t>
            </w:r>
          </w:p>
        </w:tc>
        <w:tc>
          <w:tcPr>
            <w:tcW w:w="461" w:type="pct"/>
            <w:tcBorders>
              <w:top w:val="nil"/>
              <w:bottom w:val="nil"/>
            </w:tcBorders>
            <w:noWrap/>
            <w:vAlign w:val="center"/>
            <w:hideMark/>
          </w:tcPr>
          <w:p w14:paraId="7479E491"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0.563</w:t>
            </w:r>
          </w:p>
        </w:tc>
        <w:tc>
          <w:tcPr>
            <w:tcW w:w="461" w:type="pct"/>
            <w:tcBorders>
              <w:top w:val="nil"/>
              <w:bottom w:val="nil"/>
            </w:tcBorders>
            <w:noWrap/>
            <w:vAlign w:val="center"/>
            <w:hideMark/>
          </w:tcPr>
          <w:p w14:paraId="03427DB9"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0.217</w:t>
            </w:r>
          </w:p>
        </w:tc>
      </w:tr>
      <w:tr w:rsidR="00B84533" w:rsidRPr="000D44EC" w14:paraId="50317B3E" w14:textId="77777777" w:rsidTr="00301246">
        <w:trPr>
          <w:trHeight w:val="227"/>
          <w:jc w:val="center"/>
        </w:trPr>
        <w:tc>
          <w:tcPr>
            <w:tcW w:w="388" w:type="pct"/>
            <w:tcBorders>
              <w:top w:val="nil"/>
              <w:bottom w:val="nil"/>
              <w:right w:val="single" w:sz="4" w:space="0" w:color="auto"/>
            </w:tcBorders>
            <w:noWrap/>
            <w:vAlign w:val="center"/>
            <w:hideMark/>
          </w:tcPr>
          <w:p w14:paraId="627ADF50"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HB</w:t>
            </w:r>
          </w:p>
        </w:tc>
        <w:tc>
          <w:tcPr>
            <w:tcW w:w="462" w:type="pct"/>
            <w:tcBorders>
              <w:top w:val="nil"/>
              <w:bottom w:val="nil"/>
              <w:right w:val="nil"/>
            </w:tcBorders>
            <w:vAlign w:val="center"/>
          </w:tcPr>
          <w:p w14:paraId="46A8152A" w14:textId="5DFF5202" w:rsidR="00B84533" w:rsidRPr="000D44EC" w:rsidRDefault="00B84533" w:rsidP="00B84533">
            <w:pPr>
              <w:spacing w:after="0"/>
              <w:contextualSpacing/>
              <w:jc w:val="center"/>
              <w:rPr>
                <w:rFonts w:ascii="Times New Roman" w:hAnsi="Times New Roman" w:cs="Times New Roman"/>
                <w:bCs/>
              </w:rPr>
            </w:pPr>
            <w:r w:rsidRPr="000D44EC">
              <w:rPr>
                <w:rFonts w:ascii="Times New Roman" w:hAnsi="Times New Roman" w:cs="Times New Roman"/>
              </w:rPr>
              <w:t>0.421</w:t>
            </w:r>
          </w:p>
        </w:tc>
        <w:tc>
          <w:tcPr>
            <w:tcW w:w="462" w:type="pct"/>
            <w:tcBorders>
              <w:top w:val="nil"/>
              <w:left w:val="nil"/>
              <w:bottom w:val="nil"/>
            </w:tcBorders>
            <w:vAlign w:val="center"/>
          </w:tcPr>
          <w:p w14:paraId="1ED5FA59" w14:textId="5749D61E"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0.543</w:t>
            </w:r>
          </w:p>
        </w:tc>
        <w:tc>
          <w:tcPr>
            <w:tcW w:w="462" w:type="pct"/>
            <w:tcBorders>
              <w:top w:val="nil"/>
              <w:bottom w:val="nil"/>
            </w:tcBorders>
            <w:noWrap/>
            <w:vAlign w:val="center"/>
            <w:hideMark/>
          </w:tcPr>
          <w:p w14:paraId="11F1EC98"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0.344</w:t>
            </w:r>
          </w:p>
        </w:tc>
        <w:tc>
          <w:tcPr>
            <w:tcW w:w="462" w:type="pct"/>
            <w:tcBorders>
              <w:top w:val="nil"/>
              <w:bottom w:val="nil"/>
            </w:tcBorders>
            <w:vAlign w:val="center"/>
          </w:tcPr>
          <w:p w14:paraId="040F9CEA"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0.585</w:t>
            </w:r>
          </w:p>
        </w:tc>
        <w:tc>
          <w:tcPr>
            <w:tcW w:w="461" w:type="pct"/>
            <w:tcBorders>
              <w:top w:val="nil"/>
              <w:bottom w:val="nil"/>
            </w:tcBorders>
            <w:vAlign w:val="center"/>
          </w:tcPr>
          <w:p w14:paraId="66036C10" w14:textId="77777777" w:rsidR="00B84533" w:rsidRPr="000D44EC" w:rsidRDefault="00B84533" w:rsidP="00B84533">
            <w:pPr>
              <w:spacing w:after="0"/>
              <w:contextualSpacing/>
              <w:jc w:val="center"/>
              <w:rPr>
                <w:rFonts w:ascii="Times New Roman" w:hAnsi="Times New Roman" w:cs="Times New Roman"/>
              </w:rPr>
            </w:pPr>
          </w:p>
        </w:tc>
        <w:tc>
          <w:tcPr>
            <w:tcW w:w="461" w:type="pct"/>
            <w:tcBorders>
              <w:top w:val="nil"/>
              <w:bottom w:val="nil"/>
            </w:tcBorders>
            <w:vAlign w:val="center"/>
          </w:tcPr>
          <w:p w14:paraId="2C557E5A"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0.596</w:t>
            </w:r>
          </w:p>
        </w:tc>
        <w:tc>
          <w:tcPr>
            <w:tcW w:w="461" w:type="pct"/>
            <w:tcBorders>
              <w:top w:val="nil"/>
              <w:bottom w:val="nil"/>
            </w:tcBorders>
            <w:noWrap/>
            <w:vAlign w:val="center"/>
            <w:hideMark/>
          </w:tcPr>
          <w:p w14:paraId="66DD02AF"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0.461</w:t>
            </w:r>
          </w:p>
        </w:tc>
        <w:tc>
          <w:tcPr>
            <w:tcW w:w="461" w:type="pct"/>
            <w:tcBorders>
              <w:top w:val="nil"/>
              <w:bottom w:val="nil"/>
            </w:tcBorders>
            <w:vAlign w:val="center"/>
          </w:tcPr>
          <w:p w14:paraId="47BCD20F"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0.681</w:t>
            </w:r>
          </w:p>
        </w:tc>
        <w:tc>
          <w:tcPr>
            <w:tcW w:w="461" w:type="pct"/>
            <w:tcBorders>
              <w:top w:val="nil"/>
              <w:bottom w:val="nil"/>
            </w:tcBorders>
            <w:noWrap/>
            <w:vAlign w:val="center"/>
            <w:hideMark/>
          </w:tcPr>
          <w:p w14:paraId="31D3652A"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0.609</w:t>
            </w:r>
          </w:p>
        </w:tc>
        <w:tc>
          <w:tcPr>
            <w:tcW w:w="461" w:type="pct"/>
            <w:tcBorders>
              <w:top w:val="nil"/>
              <w:bottom w:val="nil"/>
            </w:tcBorders>
            <w:noWrap/>
            <w:vAlign w:val="center"/>
            <w:hideMark/>
          </w:tcPr>
          <w:p w14:paraId="15DCBC53"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0.389</w:t>
            </w:r>
          </w:p>
        </w:tc>
      </w:tr>
      <w:tr w:rsidR="00B84533" w:rsidRPr="000D44EC" w14:paraId="0D4457B9" w14:textId="77777777" w:rsidTr="00301246">
        <w:trPr>
          <w:trHeight w:val="227"/>
          <w:jc w:val="center"/>
        </w:trPr>
        <w:tc>
          <w:tcPr>
            <w:tcW w:w="388" w:type="pct"/>
            <w:tcBorders>
              <w:top w:val="nil"/>
              <w:bottom w:val="nil"/>
              <w:right w:val="single" w:sz="4" w:space="0" w:color="auto"/>
            </w:tcBorders>
            <w:noWrap/>
            <w:vAlign w:val="center"/>
            <w:hideMark/>
          </w:tcPr>
          <w:p w14:paraId="1551D11E"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HM</w:t>
            </w:r>
          </w:p>
        </w:tc>
        <w:tc>
          <w:tcPr>
            <w:tcW w:w="462" w:type="pct"/>
            <w:tcBorders>
              <w:top w:val="nil"/>
              <w:bottom w:val="nil"/>
              <w:right w:val="nil"/>
            </w:tcBorders>
            <w:vAlign w:val="center"/>
          </w:tcPr>
          <w:p w14:paraId="04D44092" w14:textId="26FA0BFE" w:rsidR="00B84533" w:rsidRPr="000D44EC" w:rsidRDefault="00B84533" w:rsidP="00B84533">
            <w:pPr>
              <w:spacing w:after="0"/>
              <w:contextualSpacing/>
              <w:jc w:val="center"/>
              <w:rPr>
                <w:rFonts w:ascii="Times New Roman" w:hAnsi="Times New Roman" w:cs="Times New Roman"/>
                <w:bCs/>
              </w:rPr>
            </w:pPr>
            <w:r w:rsidRPr="000D44EC">
              <w:rPr>
                <w:rFonts w:ascii="Times New Roman" w:hAnsi="Times New Roman" w:cs="Times New Roman"/>
              </w:rPr>
              <w:t>0.461</w:t>
            </w:r>
          </w:p>
        </w:tc>
        <w:tc>
          <w:tcPr>
            <w:tcW w:w="462" w:type="pct"/>
            <w:tcBorders>
              <w:top w:val="nil"/>
              <w:left w:val="nil"/>
              <w:bottom w:val="nil"/>
            </w:tcBorders>
            <w:vAlign w:val="center"/>
          </w:tcPr>
          <w:p w14:paraId="7ED02C55" w14:textId="3940C50C"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0.549</w:t>
            </w:r>
          </w:p>
        </w:tc>
        <w:tc>
          <w:tcPr>
            <w:tcW w:w="462" w:type="pct"/>
            <w:tcBorders>
              <w:top w:val="nil"/>
              <w:bottom w:val="nil"/>
            </w:tcBorders>
            <w:noWrap/>
            <w:vAlign w:val="center"/>
            <w:hideMark/>
          </w:tcPr>
          <w:p w14:paraId="1341C12D"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0.369</w:t>
            </w:r>
          </w:p>
        </w:tc>
        <w:tc>
          <w:tcPr>
            <w:tcW w:w="462" w:type="pct"/>
            <w:tcBorders>
              <w:top w:val="nil"/>
              <w:bottom w:val="nil"/>
            </w:tcBorders>
            <w:vAlign w:val="center"/>
          </w:tcPr>
          <w:p w14:paraId="7F75EB6C"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0.667</w:t>
            </w:r>
          </w:p>
        </w:tc>
        <w:tc>
          <w:tcPr>
            <w:tcW w:w="461" w:type="pct"/>
            <w:tcBorders>
              <w:top w:val="nil"/>
              <w:bottom w:val="nil"/>
            </w:tcBorders>
            <w:vAlign w:val="center"/>
          </w:tcPr>
          <w:p w14:paraId="69D580CC"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0.523</w:t>
            </w:r>
          </w:p>
        </w:tc>
        <w:tc>
          <w:tcPr>
            <w:tcW w:w="461" w:type="pct"/>
            <w:tcBorders>
              <w:top w:val="nil"/>
              <w:bottom w:val="nil"/>
            </w:tcBorders>
            <w:vAlign w:val="center"/>
          </w:tcPr>
          <w:p w14:paraId="3EBB07F9" w14:textId="77777777" w:rsidR="00B84533" w:rsidRPr="000D44EC" w:rsidRDefault="00B84533" w:rsidP="00B84533">
            <w:pPr>
              <w:spacing w:after="0"/>
              <w:contextualSpacing/>
              <w:jc w:val="center"/>
              <w:rPr>
                <w:rFonts w:ascii="Times New Roman" w:hAnsi="Times New Roman" w:cs="Times New Roman"/>
              </w:rPr>
            </w:pPr>
          </w:p>
        </w:tc>
        <w:tc>
          <w:tcPr>
            <w:tcW w:w="461" w:type="pct"/>
            <w:tcBorders>
              <w:top w:val="nil"/>
              <w:bottom w:val="nil"/>
            </w:tcBorders>
            <w:noWrap/>
            <w:vAlign w:val="center"/>
            <w:hideMark/>
          </w:tcPr>
          <w:p w14:paraId="282DAA95"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0.582</w:t>
            </w:r>
          </w:p>
        </w:tc>
        <w:tc>
          <w:tcPr>
            <w:tcW w:w="461" w:type="pct"/>
            <w:tcBorders>
              <w:top w:val="nil"/>
              <w:bottom w:val="nil"/>
            </w:tcBorders>
            <w:vAlign w:val="center"/>
          </w:tcPr>
          <w:p w14:paraId="7AF5E8C6"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0.548</w:t>
            </w:r>
          </w:p>
        </w:tc>
        <w:tc>
          <w:tcPr>
            <w:tcW w:w="461" w:type="pct"/>
            <w:tcBorders>
              <w:top w:val="nil"/>
              <w:bottom w:val="nil"/>
            </w:tcBorders>
            <w:noWrap/>
            <w:vAlign w:val="center"/>
            <w:hideMark/>
          </w:tcPr>
          <w:p w14:paraId="46EFDB2E"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0.543</w:t>
            </w:r>
          </w:p>
        </w:tc>
        <w:tc>
          <w:tcPr>
            <w:tcW w:w="461" w:type="pct"/>
            <w:tcBorders>
              <w:top w:val="nil"/>
              <w:bottom w:val="nil"/>
            </w:tcBorders>
            <w:noWrap/>
            <w:vAlign w:val="center"/>
            <w:hideMark/>
          </w:tcPr>
          <w:p w14:paraId="7AB8593C"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0.102</w:t>
            </w:r>
          </w:p>
        </w:tc>
      </w:tr>
      <w:tr w:rsidR="00B84533" w:rsidRPr="000D44EC" w14:paraId="6CFDD9CF" w14:textId="77777777" w:rsidTr="00301246">
        <w:trPr>
          <w:trHeight w:val="227"/>
          <w:jc w:val="center"/>
        </w:trPr>
        <w:tc>
          <w:tcPr>
            <w:tcW w:w="388" w:type="pct"/>
            <w:tcBorders>
              <w:top w:val="nil"/>
              <w:bottom w:val="nil"/>
              <w:right w:val="single" w:sz="4" w:space="0" w:color="auto"/>
            </w:tcBorders>
            <w:noWrap/>
            <w:vAlign w:val="center"/>
            <w:hideMark/>
          </w:tcPr>
          <w:p w14:paraId="11E610AD"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GM</w:t>
            </w:r>
          </w:p>
        </w:tc>
        <w:tc>
          <w:tcPr>
            <w:tcW w:w="462" w:type="pct"/>
            <w:tcBorders>
              <w:top w:val="nil"/>
              <w:bottom w:val="nil"/>
              <w:right w:val="nil"/>
            </w:tcBorders>
            <w:vAlign w:val="center"/>
          </w:tcPr>
          <w:p w14:paraId="53A33F40" w14:textId="61AACD03" w:rsidR="00B84533" w:rsidRPr="000D44EC" w:rsidRDefault="00B84533" w:rsidP="00B84533">
            <w:pPr>
              <w:spacing w:after="0"/>
              <w:contextualSpacing/>
              <w:jc w:val="center"/>
              <w:rPr>
                <w:rFonts w:ascii="Times New Roman" w:hAnsi="Times New Roman" w:cs="Times New Roman"/>
                <w:bCs/>
              </w:rPr>
            </w:pPr>
            <w:r w:rsidRPr="000D44EC">
              <w:rPr>
                <w:rFonts w:ascii="Times New Roman" w:hAnsi="Times New Roman" w:cs="Times New Roman"/>
              </w:rPr>
              <w:t>0.467</w:t>
            </w:r>
          </w:p>
        </w:tc>
        <w:tc>
          <w:tcPr>
            <w:tcW w:w="462" w:type="pct"/>
            <w:tcBorders>
              <w:top w:val="nil"/>
              <w:left w:val="nil"/>
              <w:bottom w:val="nil"/>
            </w:tcBorders>
            <w:vAlign w:val="center"/>
          </w:tcPr>
          <w:p w14:paraId="421A86BA" w14:textId="5DBDC108"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0.560</w:t>
            </w:r>
          </w:p>
        </w:tc>
        <w:tc>
          <w:tcPr>
            <w:tcW w:w="462" w:type="pct"/>
            <w:tcBorders>
              <w:top w:val="nil"/>
              <w:bottom w:val="nil"/>
            </w:tcBorders>
            <w:noWrap/>
            <w:vAlign w:val="center"/>
            <w:hideMark/>
          </w:tcPr>
          <w:p w14:paraId="0EAF6B29"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0.360</w:t>
            </w:r>
          </w:p>
        </w:tc>
        <w:tc>
          <w:tcPr>
            <w:tcW w:w="462" w:type="pct"/>
            <w:tcBorders>
              <w:top w:val="nil"/>
              <w:bottom w:val="nil"/>
            </w:tcBorders>
            <w:vAlign w:val="center"/>
          </w:tcPr>
          <w:p w14:paraId="1AFCF1DA"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0.558</w:t>
            </w:r>
          </w:p>
        </w:tc>
        <w:tc>
          <w:tcPr>
            <w:tcW w:w="461" w:type="pct"/>
            <w:tcBorders>
              <w:top w:val="nil"/>
              <w:bottom w:val="nil"/>
            </w:tcBorders>
            <w:vAlign w:val="center"/>
          </w:tcPr>
          <w:p w14:paraId="74D6F2DC"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0.536</w:t>
            </w:r>
          </w:p>
        </w:tc>
        <w:tc>
          <w:tcPr>
            <w:tcW w:w="461" w:type="pct"/>
            <w:tcBorders>
              <w:top w:val="nil"/>
              <w:bottom w:val="nil"/>
            </w:tcBorders>
            <w:vAlign w:val="center"/>
          </w:tcPr>
          <w:p w14:paraId="752FEABD"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0.709</w:t>
            </w:r>
          </w:p>
        </w:tc>
        <w:tc>
          <w:tcPr>
            <w:tcW w:w="461" w:type="pct"/>
            <w:tcBorders>
              <w:top w:val="nil"/>
              <w:bottom w:val="nil"/>
            </w:tcBorders>
            <w:noWrap/>
            <w:vAlign w:val="center"/>
            <w:hideMark/>
          </w:tcPr>
          <w:p w14:paraId="4A4D4893" w14:textId="77777777" w:rsidR="00B84533" w:rsidRPr="000D44EC" w:rsidRDefault="00B84533" w:rsidP="00B84533">
            <w:pPr>
              <w:spacing w:after="0"/>
              <w:contextualSpacing/>
              <w:jc w:val="center"/>
              <w:rPr>
                <w:rFonts w:ascii="Times New Roman" w:hAnsi="Times New Roman" w:cs="Times New Roman"/>
              </w:rPr>
            </w:pPr>
          </w:p>
        </w:tc>
        <w:tc>
          <w:tcPr>
            <w:tcW w:w="461" w:type="pct"/>
            <w:tcBorders>
              <w:top w:val="nil"/>
              <w:bottom w:val="nil"/>
            </w:tcBorders>
            <w:vAlign w:val="center"/>
          </w:tcPr>
          <w:p w14:paraId="11E6093F" w14:textId="77777777" w:rsidR="00B84533" w:rsidRPr="000D44EC" w:rsidRDefault="00B84533" w:rsidP="00B84533">
            <w:pPr>
              <w:spacing w:after="0"/>
              <w:contextualSpacing/>
              <w:jc w:val="center"/>
              <w:rPr>
                <w:rFonts w:ascii="Times New Roman" w:hAnsi="Times New Roman" w:cs="Times New Roman"/>
                <w:bCs/>
              </w:rPr>
            </w:pPr>
            <w:r w:rsidRPr="000D44EC">
              <w:rPr>
                <w:rFonts w:ascii="Times New Roman" w:hAnsi="Times New Roman" w:cs="Times New Roman"/>
              </w:rPr>
              <w:t>0.501</w:t>
            </w:r>
          </w:p>
        </w:tc>
        <w:tc>
          <w:tcPr>
            <w:tcW w:w="461" w:type="pct"/>
            <w:tcBorders>
              <w:top w:val="nil"/>
              <w:bottom w:val="nil"/>
            </w:tcBorders>
            <w:noWrap/>
            <w:vAlign w:val="center"/>
            <w:hideMark/>
          </w:tcPr>
          <w:p w14:paraId="40FD6132"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0.560</w:t>
            </w:r>
          </w:p>
        </w:tc>
        <w:tc>
          <w:tcPr>
            <w:tcW w:w="461" w:type="pct"/>
            <w:tcBorders>
              <w:top w:val="nil"/>
              <w:bottom w:val="nil"/>
            </w:tcBorders>
            <w:noWrap/>
            <w:vAlign w:val="center"/>
            <w:hideMark/>
          </w:tcPr>
          <w:p w14:paraId="5386948D"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0.097</w:t>
            </w:r>
          </w:p>
        </w:tc>
      </w:tr>
      <w:tr w:rsidR="00B84533" w:rsidRPr="000D44EC" w14:paraId="42641A78" w14:textId="77777777" w:rsidTr="00301246">
        <w:trPr>
          <w:trHeight w:val="227"/>
          <w:jc w:val="center"/>
        </w:trPr>
        <w:tc>
          <w:tcPr>
            <w:tcW w:w="388" w:type="pct"/>
            <w:tcBorders>
              <w:top w:val="nil"/>
              <w:bottom w:val="nil"/>
              <w:right w:val="single" w:sz="4" w:space="0" w:color="auto"/>
            </w:tcBorders>
            <w:noWrap/>
            <w:vAlign w:val="center"/>
            <w:hideMark/>
          </w:tcPr>
          <w:p w14:paraId="6199CC50"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BI</w:t>
            </w:r>
          </w:p>
        </w:tc>
        <w:tc>
          <w:tcPr>
            <w:tcW w:w="462" w:type="pct"/>
            <w:tcBorders>
              <w:top w:val="nil"/>
              <w:bottom w:val="nil"/>
              <w:right w:val="nil"/>
            </w:tcBorders>
            <w:vAlign w:val="center"/>
          </w:tcPr>
          <w:p w14:paraId="78340D75" w14:textId="7087DFB4" w:rsidR="00B84533" w:rsidRPr="000D44EC" w:rsidRDefault="00B84533" w:rsidP="00B84533">
            <w:pPr>
              <w:spacing w:after="0"/>
              <w:contextualSpacing/>
              <w:jc w:val="center"/>
              <w:rPr>
                <w:rFonts w:ascii="Times New Roman" w:hAnsi="Times New Roman" w:cs="Times New Roman"/>
                <w:bCs/>
              </w:rPr>
            </w:pPr>
            <w:r w:rsidRPr="000D44EC">
              <w:rPr>
                <w:rFonts w:ascii="Times New Roman" w:hAnsi="Times New Roman" w:cs="Times New Roman"/>
                <w:bCs/>
              </w:rPr>
              <w:t>0.690</w:t>
            </w:r>
          </w:p>
        </w:tc>
        <w:tc>
          <w:tcPr>
            <w:tcW w:w="462" w:type="pct"/>
            <w:tcBorders>
              <w:top w:val="nil"/>
              <w:left w:val="nil"/>
              <w:bottom w:val="nil"/>
            </w:tcBorders>
            <w:vAlign w:val="center"/>
          </w:tcPr>
          <w:p w14:paraId="64400B7A" w14:textId="38BE50F1" w:rsidR="00B84533" w:rsidRPr="000D44EC" w:rsidRDefault="00B84533" w:rsidP="00B84533">
            <w:pPr>
              <w:spacing w:after="0"/>
              <w:contextualSpacing/>
              <w:jc w:val="center"/>
              <w:rPr>
                <w:rFonts w:ascii="Times New Roman" w:hAnsi="Times New Roman" w:cs="Times New Roman"/>
                <w:bCs/>
              </w:rPr>
            </w:pPr>
            <w:r w:rsidRPr="000D44EC">
              <w:rPr>
                <w:rFonts w:ascii="Times New Roman" w:hAnsi="Times New Roman" w:cs="Times New Roman"/>
                <w:bCs/>
              </w:rPr>
              <w:t>0.714</w:t>
            </w:r>
          </w:p>
        </w:tc>
        <w:tc>
          <w:tcPr>
            <w:tcW w:w="462" w:type="pct"/>
            <w:tcBorders>
              <w:top w:val="nil"/>
              <w:bottom w:val="nil"/>
            </w:tcBorders>
            <w:noWrap/>
            <w:vAlign w:val="center"/>
            <w:hideMark/>
          </w:tcPr>
          <w:p w14:paraId="08052F2D"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0.564</w:t>
            </w:r>
          </w:p>
        </w:tc>
        <w:tc>
          <w:tcPr>
            <w:tcW w:w="462" w:type="pct"/>
            <w:tcBorders>
              <w:top w:val="nil"/>
              <w:bottom w:val="nil"/>
            </w:tcBorders>
            <w:vAlign w:val="center"/>
          </w:tcPr>
          <w:p w14:paraId="035D34A0" w14:textId="77777777" w:rsidR="00B84533" w:rsidRPr="000D44EC" w:rsidRDefault="00B84533" w:rsidP="00B84533">
            <w:pPr>
              <w:spacing w:after="0"/>
              <w:contextualSpacing/>
              <w:jc w:val="center"/>
              <w:rPr>
                <w:rFonts w:ascii="Times New Roman" w:hAnsi="Times New Roman" w:cs="Times New Roman"/>
                <w:bCs/>
              </w:rPr>
            </w:pPr>
            <w:r w:rsidRPr="000D44EC">
              <w:rPr>
                <w:rFonts w:ascii="Times New Roman" w:hAnsi="Times New Roman" w:cs="Times New Roman"/>
                <w:bCs/>
              </w:rPr>
              <w:t>0.639</w:t>
            </w:r>
          </w:p>
        </w:tc>
        <w:tc>
          <w:tcPr>
            <w:tcW w:w="461" w:type="pct"/>
            <w:tcBorders>
              <w:top w:val="nil"/>
              <w:bottom w:val="nil"/>
            </w:tcBorders>
            <w:vAlign w:val="center"/>
          </w:tcPr>
          <w:p w14:paraId="29B87F52" w14:textId="77777777" w:rsidR="00B84533" w:rsidRPr="000D44EC" w:rsidRDefault="00B84533" w:rsidP="00B84533">
            <w:pPr>
              <w:spacing w:after="0"/>
              <w:contextualSpacing/>
              <w:jc w:val="center"/>
              <w:rPr>
                <w:rFonts w:ascii="Times New Roman" w:hAnsi="Times New Roman" w:cs="Times New Roman"/>
                <w:bCs/>
              </w:rPr>
            </w:pPr>
            <w:r w:rsidRPr="000D44EC">
              <w:rPr>
                <w:rFonts w:ascii="Times New Roman" w:hAnsi="Times New Roman" w:cs="Times New Roman"/>
                <w:bCs/>
              </w:rPr>
              <w:t>0.756</w:t>
            </w:r>
          </w:p>
        </w:tc>
        <w:tc>
          <w:tcPr>
            <w:tcW w:w="461" w:type="pct"/>
            <w:tcBorders>
              <w:top w:val="nil"/>
              <w:bottom w:val="nil"/>
            </w:tcBorders>
            <w:vAlign w:val="center"/>
          </w:tcPr>
          <w:p w14:paraId="25F9322D" w14:textId="77777777" w:rsidR="00B84533" w:rsidRPr="000D44EC" w:rsidRDefault="00B84533" w:rsidP="00B84533">
            <w:pPr>
              <w:spacing w:after="0"/>
              <w:contextualSpacing/>
              <w:jc w:val="center"/>
              <w:rPr>
                <w:rFonts w:ascii="Times New Roman" w:hAnsi="Times New Roman" w:cs="Times New Roman"/>
                <w:bCs/>
              </w:rPr>
            </w:pPr>
            <w:r w:rsidRPr="000D44EC">
              <w:rPr>
                <w:rFonts w:ascii="Times New Roman" w:hAnsi="Times New Roman" w:cs="Times New Roman"/>
                <w:bCs/>
              </w:rPr>
              <w:t>0.625</w:t>
            </w:r>
          </w:p>
        </w:tc>
        <w:tc>
          <w:tcPr>
            <w:tcW w:w="461" w:type="pct"/>
            <w:tcBorders>
              <w:top w:val="nil"/>
              <w:bottom w:val="nil"/>
            </w:tcBorders>
            <w:noWrap/>
            <w:vAlign w:val="center"/>
            <w:hideMark/>
          </w:tcPr>
          <w:p w14:paraId="6406A377"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0.583</w:t>
            </w:r>
          </w:p>
        </w:tc>
        <w:tc>
          <w:tcPr>
            <w:tcW w:w="461" w:type="pct"/>
            <w:tcBorders>
              <w:top w:val="nil"/>
              <w:bottom w:val="nil"/>
            </w:tcBorders>
            <w:vAlign w:val="center"/>
          </w:tcPr>
          <w:p w14:paraId="6DB9F221" w14:textId="77777777" w:rsidR="00B84533" w:rsidRPr="000D44EC" w:rsidRDefault="00B84533" w:rsidP="00B84533">
            <w:pPr>
              <w:spacing w:after="0"/>
              <w:contextualSpacing/>
              <w:jc w:val="center"/>
              <w:rPr>
                <w:rFonts w:ascii="Times New Roman" w:hAnsi="Times New Roman" w:cs="Times New Roman"/>
                <w:bCs/>
              </w:rPr>
            </w:pPr>
          </w:p>
        </w:tc>
        <w:tc>
          <w:tcPr>
            <w:tcW w:w="461" w:type="pct"/>
            <w:tcBorders>
              <w:top w:val="nil"/>
              <w:bottom w:val="nil"/>
            </w:tcBorders>
            <w:noWrap/>
            <w:vAlign w:val="center"/>
            <w:hideMark/>
          </w:tcPr>
          <w:p w14:paraId="118ADD65"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0.808</w:t>
            </w:r>
          </w:p>
        </w:tc>
        <w:tc>
          <w:tcPr>
            <w:tcW w:w="461" w:type="pct"/>
            <w:tcBorders>
              <w:top w:val="nil"/>
              <w:bottom w:val="nil"/>
            </w:tcBorders>
            <w:noWrap/>
            <w:vAlign w:val="center"/>
            <w:hideMark/>
          </w:tcPr>
          <w:p w14:paraId="175C137B"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0.365</w:t>
            </w:r>
          </w:p>
        </w:tc>
      </w:tr>
      <w:tr w:rsidR="00B84533" w:rsidRPr="000D44EC" w14:paraId="731A8DF2" w14:textId="77777777" w:rsidTr="00301246">
        <w:trPr>
          <w:trHeight w:val="227"/>
          <w:jc w:val="center"/>
        </w:trPr>
        <w:tc>
          <w:tcPr>
            <w:tcW w:w="388" w:type="pct"/>
            <w:tcBorders>
              <w:top w:val="nil"/>
              <w:bottom w:val="nil"/>
              <w:right w:val="single" w:sz="4" w:space="0" w:color="auto"/>
            </w:tcBorders>
            <w:noWrap/>
            <w:vAlign w:val="center"/>
            <w:hideMark/>
          </w:tcPr>
          <w:p w14:paraId="15583DB2"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IR</w:t>
            </w:r>
          </w:p>
        </w:tc>
        <w:tc>
          <w:tcPr>
            <w:tcW w:w="462" w:type="pct"/>
            <w:tcBorders>
              <w:top w:val="nil"/>
              <w:bottom w:val="nil"/>
              <w:right w:val="nil"/>
            </w:tcBorders>
            <w:vAlign w:val="center"/>
          </w:tcPr>
          <w:p w14:paraId="7C06AF9B" w14:textId="279DE0A6" w:rsidR="00B84533" w:rsidRPr="000D44EC" w:rsidRDefault="00B84533" w:rsidP="00B84533">
            <w:pPr>
              <w:spacing w:after="0"/>
              <w:contextualSpacing/>
              <w:jc w:val="center"/>
              <w:rPr>
                <w:rFonts w:ascii="Times New Roman" w:hAnsi="Times New Roman" w:cs="Times New Roman"/>
                <w:bCs/>
              </w:rPr>
            </w:pPr>
            <w:r w:rsidRPr="000D44EC">
              <w:rPr>
                <w:rFonts w:ascii="Times New Roman" w:hAnsi="Times New Roman" w:cs="Times New Roman"/>
              </w:rPr>
              <w:t>0.616</w:t>
            </w:r>
          </w:p>
        </w:tc>
        <w:tc>
          <w:tcPr>
            <w:tcW w:w="462" w:type="pct"/>
            <w:tcBorders>
              <w:top w:val="nil"/>
              <w:left w:val="nil"/>
              <w:bottom w:val="nil"/>
            </w:tcBorders>
            <w:vAlign w:val="center"/>
          </w:tcPr>
          <w:p w14:paraId="75438FCE" w14:textId="7FF52E85"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0.684</w:t>
            </w:r>
          </w:p>
        </w:tc>
        <w:tc>
          <w:tcPr>
            <w:tcW w:w="462" w:type="pct"/>
            <w:tcBorders>
              <w:top w:val="nil"/>
              <w:bottom w:val="nil"/>
            </w:tcBorders>
            <w:noWrap/>
            <w:vAlign w:val="center"/>
            <w:hideMark/>
          </w:tcPr>
          <w:p w14:paraId="3BF0D03E"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0.528</w:t>
            </w:r>
          </w:p>
        </w:tc>
        <w:tc>
          <w:tcPr>
            <w:tcW w:w="462" w:type="pct"/>
            <w:tcBorders>
              <w:top w:val="nil"/>
              <w:bottom w:val="nil"/>
            </w:tcBorders>
            <w:vAlign w:val="center"/>
          </w:tcPr>
          <w:p w14:paraId="41D9CB38"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0.651</w:t>
            </w:r>
          </w:p>
        </w:tc>
        <w:tc>
          <w:tcPr>
            <w:tcW w:w="461" w:type="pct"/>
            <w:tcBorders>
              <w:top w:val="nil"/>
              <w:bottom w:val="nil"/>
            </w:tcBorders>
            <w:vAlign w:val="center"/>
          </w:tcPr>
          <w:p w14:paraId="5B560AD2"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0.555</w:t>
            </w:r>
          </w:p>
        </w:tc>
        <w:tc>
          <w:tcPr>
            <w:tcW w:w="461" w:type="pct"/>
            <w:tcBorders>
              <w:top w:val="nil"/>
              <w:bottom w:val="nil"/>
            </w:tcBorders>
            <w:vAlign w:val="center"/>
          </w:tcPr>
          <w:p w14:paraId="0EE9EE36"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0.489</w:t>
            </w:r>
          </w:p>
        </w:tc>
        <w:tc>
          <w:tcPr>
            <w:tcW w:w="461" w:type="pct"/>
            <w:tcBorders>
              <w:top w:val="nil"/>
              <w:bottom w:val="nil"/>
            </w:tcBorders>
            <w:noWrap/>
            <w:vAlign w:val="center"/>
            <w:hideMark/>
          </w:tcPr>
          <w:p w14:paraId="3F6451E1"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0.488</w:t>
            </w:r>
          </w:p>
        </w:tc>
        <w:tc>
          <w:tcPr>
            <w:tcW w:w="461" w:type="pct"/>
            <w:tcBorders>
              <w:top w:val="nil"/>
              <w:bottom w:val="nil"/>
            </w:tcBorders>
            <w:vAlign w:val="center"/>
          </w:tcPr>
          <w:p w14:paraId="06A5EA6D"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0.728</w:t>
            </w:r>
          </w:p>
        </w:tc>
        <w:tc>
          <w:tcPr>
            <w:tcW w:w="461" w:type="pct"/>
            <w:tcBorders>
              <w:top w:val="nil"/>
              <w:bottom w:val="nil"/>
            </w:tcBorders>
            <w:noWrap/>
            <w:vAlign w:val="center"/>
            <w:hideMark/>
          </w:tcPr>
          <w:p w14:paraId="261F083A" w14:textId="77777777" w:rsidR="00B84533" w:rsidRPr="000D44EC" w:rsidRDefault="00B84533" w:rsidP="00B84533">
            <w:pPr>
              <w:spacing w:after="0"/>
              <w:contextualSpacing/>
              <w:jc w:val="center"/>
              <w:rPr>
                <w:rFonts w:ascii="Times New Roman" w:hAnsi="Times New Roman" w:cs="Times New Roman"/>
              </w:rPr>
            </w:pPr>
          </w:p>
        </w:tc>
        <w:tc>
          <w:tcPr>
            <w:tcW w:w="461" w:type="pct"/>
            <w:tcBorders>
              <w:top w:val="nil"/>
              <w:bottom w:val="nil"/>
            </w:tcBorders>
            <w:noWrap/>
            <w:vAlign w:val="center"/>
            <w:hideMark/>
          </w:tcPr>
          <w:p w14:paraId="0F8B6E7E"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0.283</w:t>
            </w:r>
          </w:p>
        </w:tc>
      </w:tr>
      <w:tr w:rsidR="00B84533" w:rsidRPr="000D44EC" w14:paraId="3F2CFD46" w14:textId="77777777" w:rsidTr="00301246">
        <w:trPr>
          <w:trHeight w:val="227"/>
          <w:jc w:val="center"/>
        </w:trPr>
        <w:tc>
          <w:tcPr>
            <w:tcW w:w="388" w:type="pct"/>
            <w:tcBorders>
              <w:top w:val="nil"/>
              <w:bottom w:val="single" w:sz="4" w:space="0" w:color="auto"/>
              <w:right w:val="single" w:sz="4" w:space="0" w:color="auto"/>
            </w:tcBorders>
            <w:noWrap/>
            <w:vAlign w:val="center"/>
            <w:hideMark/>
          </w:tcPr>
          <w:p w14:paraId="5CC46344"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bCs/>
              </w:rPr>
              <w:t>UB</w:t>
            </w:r>
          </w:p>
        </w:tc>
        <w:tc>
          <w:tcPr>
            <w:tcW w:w="462" w:type="pct"/>
            <w:tcBorders>
              <w:top w:val="nil"/>
              <w:bottom w:val="single" w:sz="4" w:space="0" w:color="auto"/>
              <w:right w:val="nil"/>
            </w:tcBorders>
            <w:vAlign w:val="center"/>
          </w:tcPr>
          <w:p w14:paraId="37750210" w14:textId="6EBFF54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0.229</w:t>
            </w:r>
          </w:p>
        </w:tc>
        <w:tc>
          <w:tcPr>
            <w:tcW w:w="462" w:type="pct"/>
            <w:tcBorders>
              <w:top w:val="nil"/>
              <w:left w:val="nil"/>
              <w:bottom w:val="single" w:sz="4" w:space="0" w:color="auto"/>
            </w:tcBorders>
            <w:vAlign w:val="center"/>
          </w:tcPr>
          <w:p w14:paraId="75210656" w14:textId="278BC0ED"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0.266</w:t>
            </w:r>
          </w:p>
        </w:tc>
        <w:tc>
          <w:tcPr>
            <w:tcW w:w="462" w:type="pct"/>
            <w:tcBorders>
              <w:top w:val="nil"/>
              <w:bottom w:val="single" w:sz="4" w:space="0" w:color="auto"/>
            </w:tcBorders>
            <w:noWrap/>
            <w:vAlign w:val="center"/>
            <w:hideMark/>
          </w:tcPr>
          <w:p w14:paraId="0EFCFAE5"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0.204</w:t>
            </w:r>
          </w:p>
        </w:tc>
        <w:tc>
          <w:tcPr>
            <w:tcW w:w="462" w:type="pct"/>
            <w:tcBorders>
              <w:top w:val="nil"/>
              <w:bottom w:val="single" w:sz="4" w:space="0" w:color="auto"/>
            </w:tcBorders>
            <w:vAlign w:val="center"/>
          </w:tcPr>
          <w:p w14:paraId="05B1A80A"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0.187</w:t>
            </w:r>
          </w:p>
        </w:tc>
        <w:tc>
          <w:tcPr>
            <w:tcW w:w="461" w:type="pct"/>
            <w:tcBorders>
              <w:top w:val="nil"/>
              <w:bottom w:val="single" w:sz="4" w:space="0" w:color="auto"/>
            </w:tcBorders>
            <w:vAlign w:val="center"/>
          </w:tcPr>
          <w:p w14:paraId="0B882994"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0.377</w:t>
            </w:r>
          </w:p>
        </w:tc>
        <w:tc>
          <w:tcPr>
            <w:tcW w:w="461" w:type="pct"/>
            <w:tcBorders>
              <w:top w:val="nil"/>
              <w:bottom w:val="single" w:sz="4" w:space="0" w:color="auto"/>
            </w:tcBorders>
            <w:vAlign w:val="center"/>
          </w:tcPr>
          <w:p w14:paraId="01AFD11C"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0.106</w:t>
            </w:r>
          </w:p>
        </w:tc>
        <w:tc>
          <w:tcPr>
            <w:tcW w:w="461" w:type="pct"/>
            <w:tcBorders>
              <w:top w:val="nil"/>
              <w:bottom w:val="single" w:sz="4" w:space="0" w:color="auto"/>
            </w:tcBorders>
            <w:noWrap/>
            <w:vAlign w:val="center"/>
            <w:hideMark/>
          </w:tcPr>
          <w:p w14:paraId="50F5D771"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0.082</w:t>
            </w:r>
          </w:p>
        </w:tc>
        <w:tc>
          <w:tcPr>
            <w:tcW w:w="461" w:type="pct"/>
            <w:tcBorders>
              <w:top w:val="nil"/>
              <w:bottom w:val="single" w:sz="4" w:space="0" w:color="auto"/>
            </w:tcBorders>
            <w:vAlign w:val="center"/>
          </w:tcPr>
          <w:p w14:paraId="0256F3B5"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0.343</w:t>
            </w:r>
          </w:p>
        </w:tc>
        <w:tc>
          <w:tcPr>
            <w:tcW w:w="461" w:type="pct"/>
            <w:tcBorders>
              <w:top w:val="nil"/>
              <w:bottom w:val="single" w:sz="4" w:space="0" w:color="auto"/>
            </w:tcBorders>
            <w:noWrap/>
            <w:vAlign w:val="center"/>
            <w:hideMark/>
          </w:tcPr>
          <w:p w14:paraId="5CD00F37" w14:textId="77777777" w:rsidR="00B84533" w:rsidRPr="000D44EC" w:rsidRDefault="00B84533" w:rsidP="00B84533">
            <w:pPr>
              <w:spacing w:after="0"/>
              <w:contextualSpacing/>
              <w:jc w:val="center"/>
              <w:rPr>
                <w:rFonts w:ascii="Times New Roman" w:hAnsi="Times New Roman" w:cs="Times New Roman"/>
              </w:rPr>
            </w:pPr>
            <w:r w:rsidRPr="000D44EC">
              <w:rPr>
                <w:rFonts w:ascii="Times New Roman" w:hAnsi="Times New Roman" w:cs="Times New Roman"/>
              </w:rPr>
              <w:t>0.272</w:t>
            </w:r>
          </w:p>
        </w:tc>
        <w:tc>
          <w:tcPr>
            <w:tcW w:w="461" w:type="pct"/>
            <w:tcBorders>
              <w:top w:val="nil"/>
              <w:bottom w:val="single" w:sz="4" w:space="0" w:color="auto"/>
            </w:tcBorders>
            <w:noWrap/>
            <w:vAlign w:val="center"/>
            <w:hideMark/>
          </w:tcPr>
          <w:p w14:paraId="34E48E1F" w14:textId="77777777" w:rsidR="00B84533" w:rsidRPr="000D44EC" w:rsidRDefault="00B84533" w:rsidP="00B84533">
            <w:pPr>
              <w:spacing w:after="0"/>
              <w:contextualSpacing/>
              <w:jc w:val="center"/>
              <w:rPr>
                <w:rFonts w:ascii="Times New Roman" w:hAnsi="Times New Roman" w:cs="Times New Roman"/>
              </w:rPr>
            </w:pPr>
          </w:p>
        </w:tc>
      </w:tr>
      <w:tr w:rsidR="00B84533" w:rsidRPr="000D44EC" w14:paraId="7DBCC70E" w14:textId="77777777" w:rsidTr="00301246">
        <w:trPr>
          <w:trHeight w:val="227"/>
          <w:jc w:val="center"/>
        </w:trPr>
        <w:tc>
          <w:tcPr>
            <w:tcW w:w="5000" w:type="pct"/>
            <w:gridSpan w:val="11"/>
            <w:tcBorders>
              <w:top w:val="single" w:sz="4" w:space="0" w:color="auto"/>
              <w:left w:val="nil"/>
              <w:bottom w:val="nil"/>
              <w:right w:val="nil"/>
            </w:tcBorders>
            <w:noWrap/>
            <w:vAlign w:val="center"/>
          </w:tcPr>
          <w:p w14:paraId="3BFD413E" w14:textId="0016130A" w:rsidR="00B84533" w:rsidRPr="000D44EC" w:rsidRDefault="00B84533" w:rsidP="00C335C3">
            <w:pPr>
              <w:spacing w:after="0"/>
              <w:contextualSpacing/>
              <w:jc w:val="left"/>
              <w:rPr>
                <w:rFonts w:ascii="Times New Roman" w:hAnsi="Times New Roman" w:cs="Times New Roman"/>
              </w:rPr>
            </w:pPr>
            <w:r w:rsidRPr="000D44EC">
              <w:rPr>
                <w:rFonts w:ascii="Times New Roman" w:hAnsi="Times New Roman" w:cs="Times New Roman"/>
                <w:i/>
                <w:sz w:val="18"/>
              </w:rPr>
              <w:t>Note</w:t>
            </w:r>
            <w:r w:rsidRPr="000D44EC">
              <w:rPr>
                <w:rFonts w:ascii="Times New Roman" w:hAnsi="Times New Roman" w:cs="Times New Roman"/>
                <w:sz w:val="18"/>
              </w:rPr>
              <w:t xml:space="preserve">: N = 380. </w:t>
            </w:r>
            <w:r w:rsidR="00F8006E" w:rsidRPr="000D44EC">
              <w:rPr>
                <w:rFonts w:ascii="Times New Roman" w:hAnsi="Times New Roman" w:cs="Times New Roman"/>
                <w:sz w:val="18"/>
              </w:rPr>
              <w:t>The HTMT coefficients are above the diagonal, whereas c</w:t>
            </w:r>
            <w:r w:rsidRPr="000D44EC">
              <w:rPr>
                <w:rFonts w:ascii="Times New Roman" w:hAnsi="Times New Roman" w:cs="Times New Roman"/>
                <w:sz w:val="18"/>
              </w:rPr>
              <w:t>orrelation coefficients are below it.</w:t>
            </w:r>
          </w:p>
        </w:tc>
      </w:tr>
    </w:tbl>
    <w:p w14:paraId="4E2D54A1" w14:textId="77777777" w:rsidR="00B84533" w:rsidRPr="000D44EC" w:rsidRDefault="00B84533" w:rsidP="00B84533">
      <w:pPr>
        <w:rPr>
          <w:rFonts w:ascii="Times New Roman" w:hAnsi="Times New Roman" w:cs="Times New Roman"/>
        </w:rPr>
      </w:pPr>
    </w:p>
    <w:p w14:paraId="173B932E" w14:textId="77777777" w:rsidR="00626739" w:rsidRPr="000D44EC" w:rsidRDefault="00626739" w:rsidP="00497830">
      <w:pPr>
        <w:keepNext/>
        <w:rPr>
          <w:rFonts w:ascii="Times New Roman" w:hAnsi="Times New Roman" w:cs="Times New Roman"/>
          <w:i/>
        </w:rPr>
      </w:pPr>
      <w:r w:rsidRPr="000D44EC">
        <w:rPr>
          <w:rFonts w:ascii="Times New Roman" w:hAnsi="Times New Roman" w:cs="Times New Roman"/>
          <w:i/>
        </w:rPr>
        <w:t>Structural model</w:t>
      </w:r>
    </w:p>
    <w:p w14:paraId="6AA6E126" w14:textId="0C0994C9" w:rsidR="00F12448" w:rsidRPr="000D44EC" w:rsidRDefault="002C56C9" w:rsidP="00E81BB2">
      <w:pPr>
        <w:rPr>
          <w:rFonts w:ascii="Times New Roman" w:hAnsi="Times New Roman" w:cs="Times New Roman"/>
        </w:rPr>
      </w:pPr>
      <w:r>
        <w:rPr>
          <w:rFonts w:ascii="Times New Roman" w:hAnsi="Times New Roman" w:cs="Times New Roman"/>
        </w:rPr>
        <w:t>Following the fulfilment of PLS-SEM</w:t>
      </w:r>
      <w:r w:rsidR="002C04D7" w:rsidRPr="000D44EC">
        <w:rPr>
          <w:rFonts w:ascii="Times New Roman" w:hAnsi="Times New Roman" w:cs="Times New Roman"/>
        </w:rPr>
        <w:t xml:space="preserve"> assumption, </w:t>
      </w:r>
      <w:r w:rsidR="00790799" w:rsidRPr="000D44EC">
        <w:rPr>
          <w:rFonts w:ascii="Times New Roman" w:hAnsi="Times New Roman" w:cs="Times New Roman"/>
        </w:rPr>
        <w:t xml:space="preserve">the examination of structural model </w:t>
      </w:r>
      <w:r>
        <w:rPr>
          <w:rFonts w:ascii="Times New Roman" w:hAnsi="Times New Roman" w:cs="Times New Roman"/>
        </w:rPr>
        <w:t>has been completed</w:t>
      </w:r>
      <w:r w:rsidR="00790799" w:rsidRPr="000D44EC">
        <w:rPr>
          <w:rFonts w:ascii="Times New Roman" w:hAnsi="Times New Roman" w:cs="Times New Roman"/>
        </w:rPr>
        <w:t xml:space="preserve"> (see Table 4). </w:t>
      </w:r>
      <w:r w:rsidR="00275318" w:rsidRPr="000D44EC">
        <w:rPr>
          <w:rFonts w:ascii="Times New Roman" w:hAnsi="Times New Roman" w:cs="Times New Roman"/>
        </w:rPr>
        <w:t>The model explains 1</w:t>
      </w:r>
      <w:r w:rsidR="00790799" w:rsidRPr="000D44EC">
        <w:rPr>
          <w:rFonts w:ascii="Times New Roman" w:hAnsi="Times New Roman" w:cs="Times New Roman"/>
        </w:rPr>
        <w:t>5.</w:t>
      </w:r>
      <w:r w:rsidR="00275318" w:rsidRPr="000D44EC">
        <w:rPr>
          <w:rFonts w:ascii="Times New Roman" w:hAnsi="Times New Roman" w:cs="Times New Roman"/>
        </w:rPr>
        <w:t>7% of the variation in UB, 6</w:t>
      </w:r>
      <w:r w:rsidR="00790799" w:rsidRPr="000D44EC">
        <w:rPr>
          <w:rFonts w:ascii="Times New Roman" w:hAnsi="Times New Roman" w:cs="Times New Roman"/>
        </w:rPr>
        <w:t>3</w:t>
      </w:r>
      <w:r w:rsidR="00275318" w:rsidRPr="000D44EC">
        <w:rPr>
          <w:rFonts w:ascii="Times New Roman" w:hAnsi="Times New Roman" w:cs="Times New Roman"/>
        </w:rPr>
        <w:t>.</w:t>
      </w:r>
      <w:r w:rsidR="00790799" w:rsidRPr="000D44EC">
        <w:rPr>
          <w:rFonts w:ascii="Times New Roman" w:hAnsi="Times New Roman" w:cs="Times New Roman"/>
        </w:rPr>
        <w:t>5</w:t>
      </w:r>
      <w:r w:rsidR="00275318" w:rsidRPr="000D44EC">
        <w:rPr>
          <w:rFonts w:ascii="Times New Roman" w:hAnsi="Times New Roman" w:cs="Times New Roman"/>
        </w:rPr>
        <w:t>% in BI, 4</w:t>
      </w:r>
      <w:r w:rsidR="00790799" w:rsidRPr="000D44EC">
        <w:rPr>
          <w:rFonts w:ascii="Times New Roman" w:hAnsi="Times New Roman" w:cs="Times New Roman"/>
        </w:rPr>
        <w:t>0.7</w:t>
      </w:r>
      <w:r w:rsidR="00275318" w:rsidRPr="000D44EC">
        <w:rPr>
          <w:rFonts w:ascii="Times New Roman" w:hAnsi="Times New Roman" w:cs="Times New Roman"/>
        </w:rPr>
        <w:t>% in GM, and 7.</w:t>
      </w:r>
      <w:r w:rsidR="00790799" w:rsidRPr="000D44EC">
        <w:rPr>
          <w:rFonts w:ascii="Times New Roman" w:hAnsi="Times New Roman" w:cs="Times New Roman"/>
        </w:rPr>
        <w:t>4</w:t>
      </w:r>
      <w:r w:rsidR="00275318" w:rsidRPr="000D44EC">
        <w:rPr>
          <w:rFonts w:ascii="Times New Roman" w:hAnsi="Times New Roman" w:cs="Times New Roman"/>
        </w:rPr>
        <w:t xml:space="preserve">% in IR. </w:t>
      </w:r>
      <w:r w:rsidR="00521DB5" w:rsidRPr="000D44EC">
        <w:rPr>
          <w:rFonts w:ascii="Times New Roman" w:hAnsi="Times New Roman" w:cs="Times New Roman"/>
        </w:rPr>
        <w:t>Based on our conceptual framewo</w:t>
      </w:r>
      <w:r w:rsidR="00790799" w:rsidRPr="000D44EC">
        <w:rPr>
          <w:rFonts w:ascii="Times New Roman" w:hAnsi="Times New Roman" w:cs="Times New Roman"/>
        </w:rPr>
        <w:t xml:space="preserve">rk, UB is determined by FC, HB </w:t>
      </w:r>
      <w:r w:rsidR="00521DB5" w:rsidRPr="000D44EC">
        <w:rPr>
          <w:rFonts w:ascii="Times New Roman" w:hAnsi="Times New Roman" w:cs="Times New Roman"/>
        </w:rPr>
        <w:t xml:space="preserve">and BI. </w:t>
      </w:r>
      <w:r>
        <w:rPr>
          <w:rFonts w:ascii="Times New Roman" w:hAnsi="Times New Roman" w:cs="Times New Roman"/>
        </w:rPr>
        <w:t xml:space="preserve">Hence, </w:t>
      </w:r>
      <w:r w:rsidR="00521DB5" w:rsidRPr="000D44EC">
        <w:rPr>
          <w:rFonts w:ascii="Times New Roman" w:hAnsi="Times New Roman" w:cs="Times New Roman"/>
        </w:rPr>
        <w:t>UB</w:t>
      </w:r>
      <w:r w:rsidR="00F74735" w:rsidRPr="000D44EC">
        <w:rPr>
          <w:rFonts w:ascii="Times New Roman" w:hAnsi="Times New Roman" w:cs="Times New Roman"/>
        </w:rPr>
        <w:t xml:space="preserve"> is positively affected</w:t>
      </w:r>
      <w:r w:rsidR="00FE4CF5" w:rsidRPr="000D44EC">
        <w:rPr>
          <w:rFonts w:ascii="Times New Roman" w:hAnsi="Times New Roman" w:cs="Times New Roman"/>
        </w:rPr>
        <w:t xml:space="preserve"> </w:t>
      </w:r>
      <w:r w:rsidR="00F74735" w:rsidRPr="000D44EC">
        <w:rPr>
          <w:rFonts w:ascii="Times New Roman" w:hAnsi="Times New Roman" w:cs="Times New Roman"/>
        </w:rPr>
        <w:t xml:space="preserve">by </w:t>
      </w:r>
      <w:r w:rsidR="00521DB5" w:rsidRPr="000D44EC">
        <w:rPr>
          <w:rFonts w:ascii="Times New Roman" w:hAnsi="Times New Roman" w:cs="Times New Roman"/>
        </w:rPr>
        <w:t>BI</w:t>
      </w:r>
      <w:r w:rsidR="007447BA" w:rsidRPr="000D44EC">
        <w:rPr>
          <w:rFonts w:ascii="Times New Roman" w:hAnsi="Times New Roman" w:cs="Times New Roman"/>
        </w:rPr>
        <w:t xml:space="preserve"> </w:t>
      </w:r>
      <w:r w:rsidR="00B0240F" w:rsidRPr="000D44EC">
        <w:rPr>
          <w:rFonts w:ascii="Times New Roman" w:hAnsi="Times New Roman" w:cs="Times New Roman"/>
        </w:rPr>
        <w:t>(β</w:t>
      </w:r>
      <w:r w:rsidR="00790799" w:rsidRPr="000D44EC">
        <w:rPr>
          <w:rFonts w:ascii="Times New Roman" w:hAnsi="Times New Roman" w:cs="Times New Roman"/>
        </w:rPr>
        <w:t xml:space="preserve"> </w:t>
      </w:r>
      <w:r w:rsidR="00521DB5" w:rsidRPr="000D44EC">
        <w:rPr>
          <w:rFonts w:ascii="Times New Roman" w:hAnsi="Times New Roman" w:cs="Times New Roman"/>
        </w:rPr>
        <w:t>=</w:t>
      </w:r>
      <w:r w:rsidR="00790799" w:rsidRPr="000D44EC">
        <w:rPr>
          <w:rFonts w:ascii="Times New Roman" w:hAnsi="Times New Roman" w:cs="Times New Roman"/>
        </w:rPr>
        <w:t xml:space="preserve"> 0.145</w:t>
      </w:r>
      <w:r w:rsidR="00B0240F" w:rsidRPr="000D44EC">
        <w:rPr>
          <w:rFonts w:ascii="Times New Roman" w:hAnsi="Times New Roman" w:cs="Times New Roman"/>
        </w:rPr>
        <w:t xml:space="preserve">, </w:t>
      </w:r>
      <w:r w:rsidR="00B0240F" w:rsidRPr="000D44EC">
        <w:rPr>
          <w:rFonts w:ascii="Times New Roman" w:hAnsi="Times New Roman" w:cs="Times New Roman"/>
          <w:i/>
        </w:rPr>
        <w:t>p</w:t>
      </w:r>
      <w:r w:rsidR="00790799" w:rsidRPr="000D44EC">
        <w:rPr>
          <w:rFonts w:ascii="Times New Roman" w:hAnsi="Times New Roman" w:cs="Times New Roman"/>
          <w:i/>
        </w:rPr>
        <w:t xml:space="preserve"> </w:t>
      </w:r>
      <w:r w:rsidR="00D00EDE" w:rsidRPr="000D44EC">
        <w:rPr>
          <w:rFonts w:ascii="Times New Roman" w:hAnsi="Times New Roman" w:cs="Times New Roman"/>
        </w:rPr>
        <w:t>&lt;</w:t>
      </w:r>
      <w:r w:rsidR="00790799" w:rsidRPr="000D44EC">
        <w:rPr>
          <w:rFonts w:ascii="Times New Roman" w:hAnsi="Times New Roman" w:cs="Times New Roman"/>
        </w:rPr>
        <w:t xml:space="preserve"> </w:t>
      </w:r>
      <w:r w:rsidR="00B0240F" w:rsidRPr="000D44EC">
        <w:rPr>
          <w:rFonts w:ascii="Times New Roman" w:hAnsi="Times New Roman" w:cs="Times New Roman"/>
        </w:rPr>
        <w:t>0.</w:t>
      </w:r>
      <w:r w:rsidR="00790799" w:rsidRPr="000D44EC">
        <w:rPr>
          <w:rFonts w:ascii="Times New Roman" w:hAnsi="Times New Roman" w:cs="Times New Roman"/>
        </w:rPr>
        <w:t>1</w:t>
      </w:r>
      <w:r w:rsidR="00B0240F" w:rsidRPr="000D44EC">
        <w:rPr>
          <w:rFonts w:ascii="Times New Roman" w:hAnsi="Times New Roman" w:cs="Times New Roman"/>
        </w:rPr>
        <w:t>)</w:t>
      </w:r>
      <w:r w:rsidR="00D00EDE" w:rsidRPr="000D44EC">
        <w:rPr>
          <w:rFonts w:ascii="Times New Roman" w:hAnsi="Times New Roman" w:cs="Times New Roman"/>
        </w:rPr>
        <w:t xml:space="preserve"> and</w:t>
      </w:r>
      <w:r w:rsidR="00521DB5" w:rsidRPr="000D44EC">
        <w:rPr>
          <w:rFonts w:ascii="Times New Roman" w:hAnsi="Times New Roman" w:cs="Times New Roman"/>
        </w:rPr>
        <w:t xml:space="preserve"> </w:t>
      </w:r>
      <w:r w:rsidR="00D00EDE" w:rsidRPr="000D44EC">
        <w:rPr>
          <w:rFonts w:ascii="Times New Roman" w:hAnsi="Times New Roman" w:cs="Times New Roman"/>
        </w:rPr>
        <w:t>HB (β</w:t>
      </w:r>
      <w:r w:rsidR="00790799" w:rsidRPr="000D44EC">
        <w:rPr>
          <w:rFonts w:ascii="Times New Roman" w:hAnsi="Times New Roman" w:cs="Times New Roman"/>
        </w:rPr>
        <w:t xml:space="preserve"> </w:t>
      </w:r>
      <w:r w:rsidR="00D00EDE" w:rsidRPr="000D44EC">
        <w:rPr>
          <w:rFonts w:ascii="Times New Roman" w:hAnsi="Times New Roman" w:cs="Times New Roman"/>
        </w:rPr>
        <w:t>=</w:t>
      </w:r>
      <w:r w:rsidR="00790799" w:rsidRPr="000D44EC">
        <w:rPr>
          <w:rFonts w:ascii="Times New Roman" w:hAnsi="Times New Roman" w:cs="Times New Roman"/>
        </w:rPr>
        <w:t xml:space="preserve"> 0.268</w:t>
      </w:r>
      <w:r w:rsidR="00D00EDE" w:rsidRPr="000D44EC">
        <w:rPr>
          <w:rFonts w:ascii="Times New Roman" w:hAnsi="Times New Roman" w:cs="Times New Roman"/>
        </w:rPr>
        <w:t xml:space="preserve">, </w:t>
      </w:r>
      <w:r w:rsidR="00D00EDE" w:rsidRPr="000D44EC">
        <w:rPr>
          <w:rFonts w:ascii="Times New Roman" w:hAnsi="Times New Roman" w:cs="Times New Roman"/>
          <w:i/>
        </w:rPr>
        <w:t>p</w:t>
      </w:r>
      <w:r w:rsidR="00790799" w:rsidRPr="000D44EC">
        <w:rPr>
          <w:rFonts w:ascii="Times New Roman" w:hAnsi="Times New Roman" w:cs="Times New Roman"/>
          <w:i/>
        </w:rPr>
        <w:t xml:space="preserve"> </w:t>
      </w:r>
      <w:r w:rsidR="00D00EDE" w:rsidRPr="000D44EC">
        <w:rPr>
          <w:rFonts w:ascii="Times New Roman" w:hAnsi="Times New Roman" w:cs="Times New Roman"/>
        </w:rPr>
        <w:t>&lt;</w:t>
      </w:r>
      <w:r w:rsidR="00790799" w:rsidRPr="000D44EC">
        <w:rPr>
          <w:rFonts w:ascii="Times New Roman" w:hAnsi="Times New Roman" w:cs="Times New Roman"/>
        </w:rPr>
        <w:t xml:space="preserve"> </w:t>
      </w:r>
      <w:r w:rsidR="00D00EDE" w:rsidRPr="000D44EC">
        <w:rPr>
          <w:rFonts w:ascii="Times New Roman" w:hAnsi="Times New Roman" w:cs="Times New Roman"/>
        </w:rPr>
        <w:t xml:space="preserve">0.001). Therefore, </w:t>
      </w:r>
      <w:r w:rsidR="00BA090E">
        <w:rPr>
          <w:rFonts w:ascii="Times New Roman" w:hAnsi="Times New Roman" w:cs="Times New Roman"/>
        </w:rPr>
        <w:t xml:space="preserve">sufficient evidence have been identified to </w:t>
      </w:r>
      <w:r w:rsidR="00D00EDE" w:rsidRPr="000D44EC">
        <w:rPr>
          <w:rFonts w:ascii="Times New Roman" w:hAnsi="Times New Roman" w:cs="Times New Roman"/>
        </w:rPr>
        <w:t>support H1</w:t>
      </w:r>
      <w:r w:rsidR="00790799" w:rsidRPr="000D44EC">
        <w:rPr>
          <w:rFonts w:ascii="Times New Roman" w:hAnsi="Times New Roman" w:cs="Times New Roman"/>
        </w:rPr>
        <w:t>a</w:t>
      </w:r>
      <w:r w:rsidR="00D00EDE" w:rsidRPr="000D44EC">
        <w:rPr>
          <w:rFonts w:ascii="Times New Roman" w:hAnsi="Times New Roman" w:cs="Times New Roman"/>
        </w:rPr>
        <w:t xml:space="preserve"> and H1</w:t>
      </w:r>
      <w:r w:rsidR="00790799" w:rsidRPr="000D44EC">
        <w:rPr>
          <w:rFonts w:ascii="Times New Roman" w:hAnsi="Times New Roman" w:cs="Times New Roman"/>
        </w:rPr>
        <w:t>c</w:t>
      </w:r>
      <w:r w:rsidR="00D00EDE" w:rsidRPr="000D44EC">
        <w:rPr>
          <w:rFonts w:ascii="Times New Roman" w:hAnsi="Times New Roman" w:cs="Times New Roman"/>
        </w:rPr>
        <w:t xml:space="preserve">. </w:t>
      </w:r>
      <w:r w:rsidR="00572916" w:rsidRPr="000D44EC">
        <w:rPr>
          <w:rFonts w:ascii="Times New Roman" w:hAnsi="Times New Roman" w:cs="Times New Roman"/>
        </w:rPr>
        <w:t xml:space="preserve">The relationship between FC and UB </w:t>
      </w:r>
      <w:r w:rsidR="00BA090E">
        <w:rPr>
          <w:rFonts w:ascii="Times New Roman" w:hAnsi="Times New Roman" w:cs="Times New Roman"/>
        </w:rPr>
        <w:t>resulted</w:t>
      </w:r>
      <w:r w:rsidR="00572916" w:rsidRPr="000D44EC">
        <w:rPr>
          <w:rFonts w:ascii="Times New Roman" w:hAnsi="Times New Roman" w:cs="Times New Roman"/>
        </w:rPr>
        <w:t xml:space="preserve"> insignificant (β</w:t>
      </w:r>
      <w:r w:rsidR="00423205" w:rsidRPr="000D44EC">
        <w:rPr>
          <w:rFonts w:ascii="Times New Roman" w:hAnsi="Times New Roman" w:cs="Times New Roman"/>
        </w:rPr>
        <w:t xml:space="preserve"> </w:t>
      </w:r>
      <w:r w:rsidR="00572916" w:rsidRPr="000D44EC">
        <w:rPr>
          <w:rFonts w:ascii="Times New Roman" w:hAnsi="Times New Roman" w:cs="Times New Roman"/>
        </w:rPr>
        <w:t>=</w:t>
      </w:r>
      <w:r w:rsidR="00423205" w:rsidRPr="000D44EC">
        <w:rPr>
          <w:rFonts w:ascii="Times New Roman" w:hAnsi="Times New Roman" w:cs="Times New Roman"/>
        </w:rPr>
        <w:t xml:space="preserve"> 0.026</w:t>
      </w:r>
      <w:r w:rsidR="00572916" w:rsidRPr="000D44EC">
        <w:rPr>
          <w:rFonts w:ascii="Times New Roman" w:hAnsi="Times New Roman" w:cs="Times New Roman"/>
        </w:rPr>
        <w:t xml:space="preserve">, </w:t>
      </w:r>
      <w:r w:rsidR="00572916" w:rsidRPr="000D44EC">
        <w:rPr>
          <w:rFonts w:ascii="Times New Roman" w:hAnsi="Times New Roman" w:cs="Times New Roman"/>
          <w:i/>
        </w:rPr>
        <w:t>p</w:t>
      </w:r>
      <w:r w:rsidR="00423205" w:rsidRPr="000D44EC">
        <w:rPr>
          <w:rFonts w:ascii="Times New Roman" w:hAnsi="Times New Roman" w:cs="Times New Roman"/>
          <w:i/>
        </w:rPr>
        <w:t xml:space="preserve"> </w:t>
      </w:r>
      <w:r w:rsidR="00572916" w:rsidRPr="000D44EC">
        <w:rPr>
          <w:rFonts w:ascii="Times New Roman" w:hAnsi="Times New Roman" w:cs="Times New Roman"/>
        </w:rPr>
        <w:t>&gt;</w:t>
      </w:r>
      <w:r w:rsidR="00423205" w:rsidRPr="000D44EC">
        <w:rPr>
          <w:rFonts w:ascii="Times New Roman" w:hAnsi="Times New Roman" w:cs="Times New Roman"/>
        </w:rPr>
        <w:t xml:space="preserve"> </w:t>
      </w:r>
      <w:r w:rsidR="00572916" w:rsidRPr="000D44EC">
        <w:rPr>
          <w:rFonts w:ascii="Times New Roman" w:hAnsi="Times New Roman" w:cs="Times New Roman"/>
        </w:rPr>
        <w:t xml:space="preserve">0.10). </w:t>
      </w:r>
      <w:r w:rsidR="00BA090E">
        <w:rPr>
          <w:rFonts w:ascii="Times New Roman" w:hAnsi="Times New Roman" w:cs="Times New Roman"/>
        </w:rPr>
        <w:t>Regarding</w:t>
      </w:r>
      <w:r w:rsidR="00275318" w:rsidRPr="000D44EC">
        <w:rPr>
          <w:rFonts w:ascii="Times New Roman" w:hAnsi="Times New Roman" w:cs="Times New Roman"/>
        </w:rPr>
        <w:t xml:space="preserve"> BI, </w:t>
      </w:r>
      <w:r w:rsidR="009A62E6" w:rsidRPr="000D44EC">
        <w:rPr>
          <w:rFonts w:ascii="Times New Roman" w:hAnsi="Times New Roman" w:cs="Times New Roman"/>
        </w:rPr>
        <w:t xml:space="preserve">constructs </w:t>
      </w:r>
      <w:r w:rsidR="00BA090E">
        <w:rPr>
          <w:rFonts w:ascii="Times New Roman" w:hAnsi="Times New Roman" w:cs="Times New Roman"/>
        </w:rPr>
        <w:t>which</w:t>
      </w:r>
      <w:r w:rsidR="00275318" w:rsidRPr="000D44EC">
        <w:rPr>
          <w:rFonts w:ascii="Times New Roman" w:hAnsi="Times New Roman" w:cs="Times New Roman"/>
        </w:rPr>
        <w:t xml:space="preserve"> statistically </w:t>
      </w:r>
      <w:r w:rsidR="00BA090E">
        <w:rPr>
          <w:rFonts w:ascii="Times New Roman" w:hAnsi="Times New Roman" w:cs="Times New Roman"/>
        </w:rPr>
        <w:t xml:space="preserve">impact </w:t>
      </w:r>
      <w:r w:rsidR="00275318" w:rsidRPr="000D44EC">
        <w:rPr>
          <w:rFonts w:ascii="Times New Roman" w:hAnsi="Times New Roman" w:cs="Times New Roman"/>
        </w:rPr>
        <w:t>were</w:t>
      </w:r>
      <w:r w:rsidR="002224FE" w:rsidRPr="000D44EC">
        <w:rPr>
          <w:rFonts w:ascii="Times New Roman" w:hAnsi="Times New Roman" w:cs="Times New Roman"/>
        </w:rPr>
        <w:t xml:space="preserve"> PE (β = 0.175, </w:t>
      </w:r>
      <w:r w:rsidR="002224FE" w:rsidRPr="000D44EC">
        <w:rPr>
          <w:rFonts w:ascii="Times New Roman" w:hAnsi="Times New Roman" w:cs="Times New Roman"/>
          <w:i/>
        </w:rPr>
        <w:t xml:space="preserve">p </w:t>
      </w:r>
      <w:r w:rsidR="002224FE" w:rsidRPr="000D44EC">
        <w:rPr>
          <w:rFonts w:ascii="Times New Roman" w:hAnsi="Times New Roman" w:cs="Times New Roman"/>
        </w:rPr>
        <w:t>&lt; 0.01),</w:t>
      </w:r>
      <w:r w:rsidR="00275318" w:rsidRPr="000D44EC">
        <w:rPr>
          <w:rFonts w:ascii="Times New Roman" w:hAnsi="Times New Roman" w:cs="Times New Roman"/>
        </w:rPr>
        <w:t xml:space="preserve"> </w:t>
      </w:r>
      <w:r w:rsidR="00960238" w:rsidRPr="000D44EC">
        <w:rPr>
          <w:rFonts w:ascii="Times New Roman" w:hAnsi="Times New Roman" w:cs="Times New Roman"/>
        </w:rPr>
        <w:t>FC</w:t>
      </w:r>
      <w:r w:rsidR="00275318" w:rsidRPr="000D44EC">
        <w:rPr>
          <w:rFonts w:ascii="Times New Roman" w:hAnsi="Times New Roman" w:cs="Times New Roman"/>
        </w:rPr>
        <w:t xml:space="preserve"> (</w:t>
      </w:r>
      <w:r w:rsidR="00960238" w:rsidRPr="000D44EC">
        <w:rPr>
          <w:rFonts w:ascii="Times New Roman" w:hAnsi="Times New Roman" w:cs="Times New Roman"/>
        </w:rPr>
        <w:t>β</w:t>
      </w:r>
      <w:r w:rsidR="00423205" w:rsidRPr="000D44EC">
        <w:rPr>
          <w:rFonts w:ascii="Times New Roman" w:hAnsi="Times New Roman" w:cs="Times New Roman"/>
        </w:rPr>
        <w:t xml:space="preserve"> </w:t>
      </w:r>
      <w:r w:rsidR="00960238" w:rsidRPr="000D44EC">
        <w:rPr>
          <w:rFonts w:ascii="Times New Roman" w:hAnsi="Times New Roman" w:cs="Times New Roman"/>
        </w:rPr>
        <w:t>=</w:t>
      </w:r>
      <w:r w:rsidR="00423205" w:rsidRPr="000D44EC">
        <w:rPr>
          <w:rFonts w:ascii="Times New Roman" w:hAnsi="Times New Roman" w:cs="Times New Roman"/>
        </w:rPr>
        <w:t xml:space="preserve"> </w:t>
      </w:r>
      <w:r w:rsidR="002224FE" w:rsidRPr="000D44EC">
        <w:rPr>
          <w:rFonts w:ascii="Times New Roman" w:hAnsi="Times New Roman" w:cs="Times New Roman"/>
        </w:rPr>
        <w:t>0.257</w:t>
      </w:r>
      <w:r w:rsidR="00960238" w:rsidRPr="000D44EC">
        <w:rPr>
          <w:rFonts w:ascii="Times New Roman" w:hAnsi="Times New Roman" w:cs="Times New Roman"/>
        </w:rPr>
        <w:t xml:space="preserve">, </w:t>
      </w:r>
      <w:r w:rsidR="00960238" w:rsidRPr="000D44EC">
        <w:rPr>
          <w:rFonts w:ascii="Times New Roman" w:hAnsi="Times New Roman" w:cs="Times New Roman"/>
          <w:i/>
        </w:rPr>
        <w:t>p</w:t>
      </w:r>
      <w:r w:rsidR="00423205" w:rsidRPr="000D44EC">
        <w:rPr>
          <w:rFonts w:ascii="Times New Roman" w:hAnsi="Times New Roman" w:cs="Times New Roman"/>
          <w:i/>
        </w:rPr>
        <w:t xml:space="preserve"> </w:t>
      </w:r>
      <w:r w:rsidR="00960238" w:rsidRPr="000D44EC">
        <w:rPr>
          <w:rFonts w:ascii="Times New Roman" w:hAnsi="Times New Roman" w:cs="Times New Roman"/>
        </w:rPr>
        <w:t>&lt;</w:t>
      </w:r>
      <w:r w:rsidR="00423205" w:rsidRPr="000D44EC">
        <w:rPr>
          <w:rFonts w:ascii="Times New Roman" w:hAnsi="Times New Roman" w:cs="Times New Roman"/>
        </w:rPr>
        <w:t xml:space="preserve"> </w:t>
      </w:r>
      <w:r w:rsidR="00960238" w:rsidRPr="000D44EC">
        <w:rPr>
          <w:rFonts w:ascii="Times New Roman" w:hAnsi="Times New Roman" w:cs="Times New Roman"/>
        </w:rPr>
        <w:t>0.001</w:t>
      </w:r>
      <w:r w:rsidR="00275318" w:rsidRPr="000D44EC">
        <w:rPr>
          <w:rFonts w:ascii="Times New Roman" w:hAnsi="Times New Roman" w:cs="Times New Roman"/>
        </w:rPr>
        <w:t>)</w:t>
      </w:r>
      <w:r w:rsidR="00960238" w:rsidRPr="000D44EC">
        <w:rPr>
          <w:rFonts w:ascii="Times New Roman" w:hAnsi="Times New Roman" w:cs="Times New Roman"/>
        </w:rPr>
        <w:t xml:space="preserve">, </w:t>
      </w:r>
      <w:r w:rsidR="002224FE" w:rsidRPr="000D44EC">
        <w:rPr>
          <w:rFonts w:ascii="Times New Roman" w:hAnsi="Times New Roman" w:cs="Times New Roman"/>
        </w:rPr>
        <w:t xml:space="preserve">HB (β = 0.405, </w:t>
      </w:r>
      <w:r w:rsidR="002224FE" w:rsidRPr="000D44EC">
        <w:rPr>
          <w:rFonts w:ascii="Times New Roman" w:hAnsi="Times New Roman" w:cs="Times New Roman"/>
          <w:i/>
        </w:rPr>
        <w:t xml:space="preserve">p </w:t>
      </w:r>
      <w:r w:rsidR="002224FE" w:rsidRPr="000D44EC">
        <w:rPr>
          <w:rFonts w:ascii="Times New Roman" w:hAnsi="Times New Roman" w:cs="Times New Roman"/>
        </w:rPr>
        <w:t>&lt; 0.001)</w:t>
      </w:r>
      <w:r w:rsidR="00E36E9A" w:rsidRPr="000D44EC">
        <w:rPr>
          <w:rFonts w:ascii="Times New Roman" w:hAnsi="Times New Roman" w:cs="Times New Roman"/>
        </w:rPr>
        <w:t>,</w:t>
      </w:r>
      <w:r w:rsidR="00960238" w:rsidRPr="000D44EC">
        <w:rPr>
          <w:rFonts w:ascii="Times New Roman" w:hAnsi="Times New Roman" w:cs="Times New Roman"/>
        </w:rPr>
        <w:t xml:space="preserve"> and </w:t>
      </w:r>
      <w:r w:rsidR="002224FE" w:rsidRPr="000D44EC">
        <w:rPr>
          <w:rFonts w:ascii="Times New Roman" w:hAnsi="Times New Roman" w:cs="Times New Roman"/>
        </w:rPr>
        <w:t>HM (β = 0.096,</w:t>
      </w:r>
      <w:r w:rsidR="0056686A">
        <w:rPr>
          <w:rFonts w:ascii="Times New Roman" w:hAnsi="Times New Roman" w:cs="Times New Roman"/>
        </w:rPr>
        <w:t xml:space="preserve"> </w:t>
      </w:r>
      <w:r w:rsidR="002224FE" w:rsidRPr="000D44EC">
        <w:rPr>
          <w:rFonts w:ascii="Times New Roman" w:hAnsi="Times New Roman" w:cs="Times New Roman"/>
          <w:i/>
        </w:rPr>
        <w:t xml:space="preserve">p </w:t>
      </w:r>
      <w:r w:rsidR="002224FE" w:rsidRPr="000D44EC">
        <w:rPr>
          <w:rFonts w:ascii="Times New Roman" w:hAnsi="Times New Roman" w:cs="Times New Roman"/>
        </w:rPr>
        <w:t>&lt; 0.1)</w:t>
      </w:r>
      <w:r w:rsidR="00E36E9A" w:rsidRPr="000D44EC">
        <w:rPr>
          <w:rFonts w:ascii="Times New Roman" w:hAnsi="Times New Roman" w:cs="Times New Roman"/>
        </w:rPr>
        <w:t>.</w:t>
      </w:r>
      <w:r w:rsidR="00275318" w:rsidRPr="000D44EC">
        <w:rPr>
          <w:rFonts w:ascii="Times New Roman" w:hAnsi="Times New Roman" w:cs="Times New Roman"/>
        </w:rPr>
        <w:t xml:space="preserve"> The influence of EE and SI </w:t>
      </w:r>
      <w:r w:rsidR="00BA090E">
        <w:rPr>
          <w:rFonts w:ascii="Times New Roman" w:hAnsi="Times New Roman" w:cs="Times New Roman"/>
        </w:rPr>
        <w:t>a</w:t>
      </w:r>
      <w:r w:rsidR="002224FE" w:rsidRPr="000D44EC">
        <w:rPr>
          <w:rFonts w:ascii="Times New Roman" w:hAnsi="Times New Roman" w:cs="Times New Roman"/>
        </w:rPr>
        <w:t xml:space="preserve">long with the main effect of GM </w:t>
      </w:r>
      <w:r w:rsidR="00275318" w:rsidRPr="000D44EC">
        <w:rPr>
          <w:rFonts w:ascii="Times New Roman" w:hAnsi="Times New Roman" w:cs="Times New Roman"/>
        </w:rPr>
        <w:t xml:space="preserve">over </w:t>
      </w:r>
      <w:r w:rsidR="00803983" w:rsidRPr="000D44EC">
        <w:rPr>
          <w:rFonts w:ascii="Times New Roman" w:hAnsi="Times New Roman" w:cs="Times New Roman"/>
        </w:rPr>
        <w:t xml:space="preserve">BI </w:t>
      </w:r>
      <w:r w:rsidR="00BA090E">
        <w:rPr>
          <w:rFonts w:ascii="Times New Roman" w:hAnsi="Times New Roman" w:cs="Times New Roman"/>
        </w:rPr>
        <w:t>resulted in</w:t>
      </w:r>
      <w:r w:rsidR="00275318" w:rsidRPr="000D44EC">
        <w:rPr>
          <w:rFonts w:ascii="Times New Roman" w:hAnsi="Times New Roman" w:cs="Times New Roman"/>
        </w:rPr>
        <w:t>significant</w:t>
      </w:r>
      <w:r w:rsidR="00803983" w:rsidRPr="000D44EC">
        <w:rPr>
          <w:rFonts w:ascii="Times New Roman" w:hAnsi="Times New Roman" w:cs="Times New Roman"/>
        </w:rPr>
        <w:t xml:space="preserve">. </w:t>
      </w:r>
      <w:r w:rsidR="002224FE" w:rsidRPr="000D44EC">
        <w:rPr>
          <w:rFonts w:ascii="Times New Roman" w:hAnsi="Times New Roman" w:cs="Times New Roman"/>
        </w:rPr>
        <w:t>However,</w:t>
      </w:r>
      <w:r w:rsidR="00776660" w:rsidRPr="000D44EC">
        <w:rPr>
          <w:rFonts w:ascii="Times New Roman" w:hAnsi="Times New Roman" w:cs="Times New Roman"/>
        </w:rPr>
        <w:t xml:space="preserve"> the moderation effect of </w:t>
      </w:r>
      <w:r w:rsidR="002224FE" w:rsidRPr="000D44EC">
        <w:rPr>
          <w:rFonts w:ascii="Times New Roman" w:hAnsi="Times New Roman" w:cs="Times New Roman"/>
        </w:rPr>
        <w:t>G</w:t>
      </w:r>
      <w:r w:rsidR="00776660" w:rsidRPr="000D44EC">
        <w:rPr>
          <w:rFonts w:ascii="Times New Roman" w:hAnsi="Times New Roman" w:cs="Times New Roman"/>
        </w:rPr>
        <w:t>M</w:t>
      </w:r>
      <w:r w:rsidR="002224FE" w:rsidRPr="000D44EC">
        <w:rPr>
          <w:rFonts w:ascii="Times New Roman" w:hAnsi="Times New Roman" w:cs="Times New Roman"/>
        </w:rPr>
        <w:t xml:space="preserve"> </w:t>
      </w:r>
      <w:r w:rsidR="0033175F" w:rsidRPr="000D44EC">
        <w:rPr>
          <w:rFonts w:ascii="Times New Roman" w:hAnsi="Times New Roman" w:cs="Times New Roman"/>
        </w:rPr>
        <w:t>through</w:t>
      </w:r>
      <w:r w:rsidR="002224FE" w:rsidRPr="000D44EC">
        <w:rPr>
          <w:rFonts w:ascii="Times New Roman" w:hAnsi="Times New Roman" w:cs="Times New Roman"/>
        </w:rPr>
        <w:t xml:space="preserve"> Gen YZ on BI was significant (β = 0.069, </w:t>
      </w:r>
      <w:r w:rsidR="002224FE" w:rsidRPr="000D44EC">
        <w:rPr>
          <w:rFonts w:ascii="Times New Roman" w:hAnsi="Times New Roman" w:cs="Times New Roman"/>
          <w:i/>
        </w:rPr>
        <w:t xml:space="preserve">p </w:t>
      </w:r>
      <w:r w:rsidR="002224FE" w:rsidRPr="000D44EC">
        <w:rPr>
          <w:rFonts w:ascii="Times New Roman" w:hAnsi="Times New Roman" w:cs="Times New Roman"/>
        </w:rPr>
        <w:t xml:space="preserve">&lt; 0.05). </w:t>
      </w:r>
      <w:r w:rsidR="00776660" w:rsidRPr="000D44EC">
        <w:rPr>
          <w:rFonts w:ascii="Times New Roman" w:hAnsi="Times New Roman" w:cs="Times New Roman"/>
        </w:rPr>
        <w:t xml:space="preserve">Following the Kenny’s </w:t>
      </w:r>
      <w:r w:rsidR="00776660" w:rsidRPr="000D44EC">
        <w:rPr>
          <w:rFonts w:ascii="Times New Roman" w:hAnsi="Times New Roman" w:cs="Times New Roman"/>
        </w:rPr>
        <w:fldChar w:fldCharType="begin" w:fldLock="1"/>
      </w:r>
      <w:r w:rsidR="0056686A">
        <w:rPr>
          <w:rFonts w:ascii="Times New Roman" w:hAnsi="Times New Roman" w:cs="Times New Roman"/>
        </w:rPr>
        <w:instrText>ADDIN CSL_CITATION {"citationItems":[{"id":"ITEM-1","itemData":{"URL":"http://davidakenny.net/cm/moderation.htm","author":[{"dropping-particle":"","family":"Kenny","given":"David","non-dropping-particle":"","parse-names":false,"suffix":""}],"id":"ITEM-1","issued":{"date-parts":[["2018"]]},"title":"Moderation","type":"webpage"},"suppress-author":1,"uris":["http://www.mendeley.com/documents/?uuid=7093a884-ebaa-4688-a276-a1f3a17d8df6","http://www.mendeley.com/documents/?uuid=e154f4d2-125d-40f8-af29-5229675d5197"]}],"mendeley":{"formattedCitation":"(2018)","plainTextFormattedCitation":"(2018)","previouslyFormattedCitation":"(2018)"},"properties":{"noteIndex":0},"schema":"https://github.com/citation-style-language/schema/raw/master/csl-citation.json"}</w:instrText>
      </w:r>
      <w:r w:rsidR="00776660" w:rsidRPr="000D44EC">
        <w:rPr>
          <w:rFonts w:ascii="Times New Roman" w:hAnsi="Times New Roman" w:cs="Times New Roman"/>
        </w:rPr>
        <w:fldChar w:fldCharType="separate"/>
      </w:r>
      <w:r w:rsidR="00776660" w:rsidRPr="000D44EC">
        <w:rPr>
          <w:rFonts w:ascii="Times New Roman" w:hAnsi="Times New Roman" w:cs="Times New Roman"/>
          <w:noProof/>
        </w:rPr>
        <w:t>(2018)</w:t>
      </w:r>
      <w:r w:rsidR="00776660" w:rsidRPr="000D44EC">
        <w:rPr>
          <w:rFonts w:ascii="Times New Roman" w:hAnsi="Times New Roman" w:cs="Times New Roman"/>
        </w:rPr>
        <w:fldChar w:fldCharType="end"/>
      </w:r>
      <w:r w:rsidR="00776660" w:rsidRPr="000D44EC">
        <w:rPr>
          <w:rFonts w:ascii="Times New Roman" w:hAnsi="Times New Roman" w:cs="Times New Roman"/>
        </w:rPr>
        <w:t xml:space="preserve"> benchmarks, th</w:t>
      </w:r>
      <w:r w:rsidR="00BA090E">
        <w:rPr>
          <w:rFonts w:ascii="Times New Roman" w:hAnsi="Times New Roman" w:cs="Times New Roman"/>
        </w:rPr>
        <w:t>e</w:t>
      </w:r>
      <w:r w:rsidR="00776660" w:rsidRPr="000D44EC">
        <w:rPr>
          <w:rFonts w:ascii="Times New Roman" w:hAnsi="Times New Roman" w:cs="Times New Roman"/>
        </w:rPr>
        <w:t xml:space="preserve"> moderation effect size was medium (</w:t>
      </w:r>
      <w:r w:rsidR="00776660" w:rsidRPr="000D44EC">
        <w:rPr>
          <w:rFonts w:ascii="Times New Roman" w:hAnsi="Times New Roman" w:cs="Times New Roman"/>
          <w:i/>
        </w:rPr>
        <w:t>f</w:t>
      </w:r>
      <w:r w:rsidR="00776660" w:rsidRPr="000D44EC">
        <w:rPr>
          <w:rFonts w:ascii="Times New Roman" w:hAnsi="Times New Roman" w:cs="Times New Roman"/>
          <w:vertAlign w:val="superscript"/>
        </w:rPr>
        <w:t>2</w:t>
      </w:r>
      <w:r w:rsidR="00776660" w:rsidRPr="000D44EC">
        <w:rPr>
          <w:rFonts w:ascii="Times New Roman" w:hAnsi="Times New Roman" w:cs="Times New Roman"/>
        </w:rPr>
        <w:t xml:space="preserve"> = 0.013). </w:t>
      </w:r>
      <w:r w:rsidR="00803983" w:rsidRPr="000D44EC">
        <w:rPr>
          <w:rFonts w:ascii="Times New Roman" w:hAnsi="Times New Roman" w:cs="Times New Roman"/>
        </w:rPr>
        <w:t>Thus, H2</w:t>
      </w:r>
      <w:r w:rsidR="002224FE" w:rsidRPr="000D44EC">
        <w:rPr>
          <w:rFonts w:ascii="Times New Roman" w:hAnsi="Times New Roman" w:cs="Times New Roman"/>
        </w:rPr>
        <w:t>a</w:t>
      </w:r>
      <w:r w:rsidR="00803983" w:rsidRPr="000D44EC">
        <w:rPr>
          <w:rFonts w:ascii="Times New Roman" w:hAnsi="Times New Roman" w:cs="Times New Roman"/>
        </w:rPr>
        <w:t>, H2</w:t>
      </w:r>
      <w:r w:rsidR="002224FE" w:rsidRPr="000D44EC">
        <w:rPr>
          <w:rFonts w:ascii="Times New Roman" w:hAnsi="Times New Roman" w:cs="Times New Roman"/>
        </w:rPr>
        <w:t>d, H2e</w:t>
      </w:r>
      <w:r w:rsidR="00776660" w:rsidRPr="000D44EC">
        <w:rPr>
          <w:rFonts w:ascii="Times New Roman" w:hAnsi="Times New Roman" w:cs="Times New Roman"/>
        </w:rPr>
        <w:t>, H2f and H4</w:t>
      </w:r>
      <w:r w:rsidR="00803983" w:rsidRPr="000D44EC">
        <w:rPr>
          <w:rFonts w:ascii="Times New Roman" w:hAnsi="Times New Roman" w:cs="Times New Roman"/>
        </w:rPr>
        <w:t xml:space="preserve"> were supported.</w:t>
      </w:r>
    </w:p>
    <w:p w14:paraId="44739E28" w14:textId="77777777" w:rsidR="00C43D16" w:rsidRDefault="00C43D16" w:rsidP="00B02AC7">
      <w:pPr>
        <w:pStyle w:val="Titulek"/>
        <w:spacing w:after="0"/>
        <w:jc w:val="center"/>
        <w:rPr>
          <w:rFonts w:ascii="Times New Roman" w:hAnsi="Times New Roman" w:cs="Times New Roman"/>
          <w:color w:val="auto"/>
          <w:sz w:val="22"/>
          <w:szCs w:val="20"/>
        </w:rPr>
      </w:pPr>
    </w:p>
    <w:p w14:paraId="19017343" w14:textId="382724FB" w:rsidR="00337EA2" w:rsidRPr="000D44EC" w:rsidRDefault="00337EA2" w:rsidP="00B02AC7">
      <w:pPr>
        <w:pStyle w:val="Titulek"/>
        <w:spacing w:after="0"/>
        <w:jc w:val="center"/>
        <w:rPr>
          <w:rFonts w:ascii="Times New Roman" w:hAnsi="Times New Roman" w:cs="Times New Roman"/>
          <w:b w:val="0"/>
          <w:bCs w:val="0"/>
          <w:color w:val="auto"/>
          <w:sz w:val="22"/>
          <w:szCs w:val="20"/>
        </w:rPr>
      </w:pPr>
      <w:r w:rsidRPr="000D44EC">
        <w:rPr>
          <w:rFonts w:ascii="Times New Roman" w:hAnsi="Times New Roman" w:cs="Times New Roman"/>
          <w:color w:val="auto"/>
          <w:sz w:val="22"/>
          <w:szCs w:val="20"/>
        </w:rPr>
        <w:t xml:space="preserve">Table </w:t>
      </w:r>
      <w:r w:rsidR="00B02AC7" w:rsidRPr="000D44EC">
        <w:rPr>
          <w:rFonts w:ascii="Times New Roman" w:hAnsi="Times New Roman" w:cs="Times New Roman"/>
          <w:color w:val="auto"/>
          <w:sz w:val="22"/>
          <w:szCs w:val="20"/>
        </w:rPr>
        <w:t>4</w:t>
      </w:r>
      <w:r w:rsidRPr="000D44EC">
        <w:rPr>
          <w:rFonts w:ascii="Times New Roman" w:hAnsi="Times New Roman" w:cs="Times New Roman"/>
          <w:b w:val="0"/>
          <w:color w:val="auto"/>
          <w:sz w:val="22"/>
          <w:szCs w:val="20"/>
        </w:rPr>
        <w:t>.</w:t>
      </w:r>
      <w:r w:rsidRPr="000D44EC">
        <w:rPr>
          <w:rFonts w:ascii="Times New Roman" w:hAnsi="Times New Roman" w:cs="Times New Roman"/>
          <w:color w:val="auto"/>
          <w:sz w:val="22"/>
          <w:szCs w:val="20"/>
        </w:rPr>
        <w:t xml:space="preserve"> </w:t>
      </w:r>
      <w:r w:rsidRPr="000D44EC">
        <w:rPr>
          <w:rFonts w:ascii="Times New Roman" w:hAnsi="Times New Roman" w:cs="Times New Roman"/>
          <w:b w:val="0"/>
          <w:bCs w:val="0"/>
          <w:color w:val="auto"/>
          <w:sz w:val="22"/>
          <w:szCs w:val="20"/>
        </w:rPr>
        <w:t>Structural model evaluation</w:t>
      </w:r>
    </w:p>
    <w:tbl>
      <w:tblPr>
        <w:tblStyle w:val="Mkatabulky"/>
        <w:tblW w:w="5000" w:type="pct"/>
        <w:jc w:val="center"/>
        <w:tblBorders>
          <w:insideH w:val="none" w:sz="0" w:space="0" w:color="auto"/>
          <w:insideV w:val="none" w:sz="0" w:space="0" w:color="auto"/>
        </w:tblBorders>
        <w:tblLook w:val="04A0" w:firstRow="1" w:lastRow="0" w:firstColumn="1" w:lastColumn="0" w:noHBand="0" w:noVBand="1"/>
      </w:tblPr>
      <w:tblGrid>
        <w:gridCol w:w="2069"/>
        <w:gridCol w:w="2541"/>
        <w:gridCol w:w="727"/>
        <w:gridCol w:w="827"/>
        <w:gridCol w:w="727"/>
        <w:gridCol w:w="1268"/>
        <w:gridCol w:w="1191"/>
      </w:tblGrid>
      <w:tr w:rsidR="009A7D3D" w:rsidRPr="000D44EC" w14:paraId="285AA7FB" w14:textId="1E8382CF" w:rsidTr="00301246">
        <w:trPr>
          <w:trHeight w:val="227"/>
          <w:jc w:val="center"/>
        </w:trPr>
        <w:tc>
          <w:tcPr>
            <w:tcW w:w="1106" w:type="pct"/>
            <w:tcBorders>
              <w:top w:val="single" w:sz="4" w:space="0" w:color="auto"/>
              <w:bottom w:val="single" w:sz="4" w:space="0" w:color="auto"/>
            </w:tcBorders>
            <w:noWrap/>
            <w:hideMark/>
          </w:tcPr>
          <w:p w14:paraId="2E0DCF4B" w14:textId="17A45632" w:rsidR="009A7D3D" w:rsidRPr="000D44EC" w:rsidRDefault="009A7D3D" w:rsidP="0076295C">
            <w:pPr>
              <w:spacing w:after="0"/>
              <w:contextualSpacing/>
              <w:rPr>
                <w:rFonts w:ascii="Times New Roman" w:hAnsi="Times New Roman" w:cs="Times New Roman"/>
                <w:bCs/>
              </w:rPr>
            </w:pPr>
            <w:r w:rsidRPr="000D44EC">
              <w:rPr>
                <w:rFonts w:ascii="Times New Roman" w:hAnsi="Times New Roman" w:cs="Times New Roman"/>
                <w:bCs/>
              </w:rPr>
              <w:t>Path</w:t>
            </w:r>
          </w:p>
        </w:tc>
        <w:tc>
          <w:tcPr>
            <w:tcW w:w="1359" w:type="pct"/>
            <w:tcBorders>
              <w:top w:val="single" w:sz="4" w:space="0" w:color="auto"/>
              <w:bottom w:val="single" w:sz="4" w:space="0" w:color="auto"/>
            </w:tcBorders>
            <w:noWrap/>
            <w:hideMark/>
          </w:tcPr>
          <w:p w14:paraId="62D64331" w14:textId="1A337BDE"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Standardized estimate (</w:t>
            </w:r>
            <w:r w:rsidRPr="000D44EC">
              <w:rPr>
                <w:rFonts w:ascii="Times New Roman" w:hAnsi="Times New Roman" w:cs="Times New Roman"/>
              </w:rPr>
              <w:t>β)</w:t>
            </w:r>
          </w:p>
        </w:tc>
        <w:tc>
          <w:tcPr>
            <w:tcW w:w="389" w:type="pct"/>
            <w:tcBorders>
              <w:top w:val="single" w:sz="4" w:space="0" w:color="auto"/>
              <w:bottom w:val="single" w:sz="4" w:space="0" w:color="auto"/>
            </w:tcBorders>
            <w:noWrap/>
            <w:hideMark/>
          </w:tcPr>
          <w:p w14:paraId="16F30B61" w14:textId="14548AE4" w:rsidR="009A7D3D" w:rsidRPr="000D44EC" w:rsidRDefault="009A7D3D" w:rsidP="0076295C">
            <w:pPr>
              <w:spacing w:after="0"/>
              <w:contextualSpacing/>
              <w:jc w:val="center"/>
              <w:rPr>
                <w:rFonts w:ascii="Times New Roman" w:hAnsi="Times New Roman" w:cs="Times New Roman"/>
                <w:bCs/>
                <w:i/>
              </w:rPr>
            </w:pPr>
            <w:r w:rsidRPr="000D44EC">
              <w:rPr>
                <w:rFonts w:ascii="Times New Roman" w:hAnsi="Times New Roman" w:cs="Times New Roman"/>
                <w:bCs/>
                <w:i/>
              </w:rPr>
              <w:t>t</w:t>
            </w:r>
          </w:p>
        </w:tc>
        <w:tc>
          <w:tcPr>
            <w:tcW w:w="442" w:type="pct"/>
            <w:tcBorders>
              <w:top w:val="single" w:sz="4" w:space="0" w:color="auto"/>
              <w:bottom w:val="single" w:sz="4" w:space="0" w:color="auto"/>
            </w:tcBorders>
            <w:noWrap/>
            <w:hideMark/>
          </w:tcPr>
          <w:p w14:paraId="05083EB7" w14:textId="243ECC20" w:rsidR="009A7D3D" w:rsidRPr="000D44EC" w:rsidRDefault="009A7D3D" w:rsidP="0076295C">
            <w:pPr>
              <w:spacing w:after="0"/>
              <w:contextualSpacing/>
              <w:jc w:val="center"/>
              <w:rPr>
                <w:rFonts w:ascii="Times New Roman" w:hAnsi="Times New Roman" w:cs="Times New Roman"/>
                <w:bCs/>
                <w:i/>
              </w:rPr>
            </w:pPr>
            <w:r w:rsidRPr="000D44EC">
              <w:rPr>
                <w:rFonts w:ascii="Times New Roman" w:hAnsi="Times New Roman" w:cs="Times New Roman"/>
                <w:bCs/>
                <w:i/>
              </w:rPr>
              <w:t>p</w:t>
            </w:r>
          </w:p>
        </w:tc>
        <w:tc>
          <w:tcPr>
            <w:tcW w:w="389" w:type="pct"/>
            <w:tcBorders>
              <w:top w:val="single" w:sz="4" w:space="0" w:color="auto"/>
              <w:bottom w:val="single" w:sz="4" w:space="0" w:color="auto"/>
            </w:tcBorders>
          </w:tcPr>
          <w:p w14:paraId="43B25ED1" w14:textId="3D77A86D"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R</w:t>
            </w:r>
            <w:r w:rsidRPr="000D44EC">
              <w:rPr>
                <w:rFonts w:ascii="Times New Roman" w:hAnsi="Times New Roman" w:cs="Times New Roman"/>
                <w:bCs/>
                <w:vertAlign w:val="superscript"/>
              </w:rPr>
              <w:t>2</w:t>
            </w:r>
          </w:p>
        </w:tc>
        <w:tc>
          <w:tcPr>
            <w:tcW w:w="678" w:type="pct"/>
            <w:tcBorders>
              <w:top w:val="single" w:sz="4" w:space="0" w:color="auto"/>
              <w:bottom w:val="single" w:sz="4" w:space="0" w:color="auto"/>
            </w:tcBorders>
          </w:tcPr>
          <w:p w14:paraId="214029E1" w14:textId="00E09B4C"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Hypothesis</w:t>
            </w:r>
          </w:p>
        </w:tc>
        <w:tc>
          <w:tcPr>
            <w:tcW w:w="636" w:type="pct"/>
            <w:tcBorders>
              <w:top w:val="single" w:sz="4" w:space="0" w:color="auto"/>
              <w:bottom w:val="single" w:sz="4" w:space="0" w:color="auto"/>
            </w:tcBorders>
          </w:tcPr>
          <w:p w14:paraId="363DFB98" w14:textId="5936EECA"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Supported</w:t>
            </w:r>
          </w:p>
        </w:tc>
      </w:tr>
      <w:tr w:rsidR="009A7D3D" w:rsidRPr="000D44EC" w14:paraId="44C0825F" w14:textId="02E9B922" w:rsidTr="00301246">
        <w:trPr>
          <w:trHeight w:val="227"/>
          <w:jc w:val="center"/>
        </w:trPr>
        <w:tc>
          <w:tcPr>
            <w:tcW w:w="1106" w:type="pct"/>
            <w:tcBorders>
              <w:top w:val="single" w:sz="4" w:space="0" w:color="auto"/>
            </w:tcBorders>
            <w:noWrap/>
            <w:hideMark/>
          </w:tcPr>
          <w:p w14:paraId="38EB162F" w14:textId="16E9B2E4" w:rsidR="009A7D3D" w:rsidRPr="000D44EC" w:rsidRDefault="009A7D3D" w:rsidP="0076295C">
            <w:pPr>
              <w:spacing w:after="0"/>
              <w:contextualSpacing/>
              <w:rPr>
                <w:rFonts w:ascii="Times New Roman" w:hAnsi="Times New Roman" w:cs="Times New Roman"/>
                <w:bCs/>
              </w:rPr>
            </w:pPr>
            <w:r w:rsidRPr="000D44EC">
              <w:rPr>
                <w:rFonts w:ascii="Times New Roman" w:hAnsi="Times New Roman" w:cs="Times New Roman"/>
                <w:bCs/>
              </w:rPr>
              <w:t>BI → UB</w:t>
            </w:r>
          </w:p>
        </w:tc>
        <w:tc>
          <w:tcPr>
            <w:tcW w:w="1359" w:type="pct"/>
            <w:tcBorders>
              <w:top w:val="single" w:sz="4" w:space="0" w:color="auto"/>
            </w:tcBorders>
            <w:noWrap/>
            <w:hideMark/>
          </w:tcPr>
          <w:p w14:paraId="2DBEE649"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0.145</w:t>
            </w:r>
          </w:p>
        </w:tc>
        <w:tc>
          <w:tcPr>
            <w:tcW w:w="389" w:type="pct"/>
            <w:tcBorders>
              <w:top w:val="single" w:sz="4" w:space="0" w:color="auto"/>
            </w:tcBorders>
            <w:noWrap/>
            <w:hideMark/>
          </w:tcPr>
          <w:p w14:paraId="6F76934B"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1.887</w:t>
            </w:r>
          </w:p>
        </w:tc>
        <w:tc>
          <w:tcPr>
            <w:tcW w:w="442" w:type="pct"/>
            <w:tcBorders>
              <w:top w:val="single" w:sz="4" w:space="0" w:color="auto"/>
            </w:tcBorders>
            <w:noWrap/>
            <w:hideMark/>
          </w:tcPr>
          <w:p w14:paraId="32FD916B" w14:textId="77777777"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0.059</w:t>
            </w:r>
          </w:p>
        </w:tc>
        <w:tc>
          <w:tcPr>
            <w:tcW w:w="389" w:type="pct"/>
            <w:tcBorders>
              <w:top w:val="single" w:sz="4" w:space="0" w:color="auto"/>
            </w:tcBorders>
          </w:tcPr>
          <w:p w14:paraId="0200DE39" w14:textId="3BC39453" w:rsidR="009A7D3D" w:rsidRPr="000D44EC" w:rsidRDefault="009A7D3D" w:rsidP="0076295C">
            <w:pPr>
              <w:spacing w:after="0"/>
              <w:contextualSpacing/>
              <w:jc w:val="center"/>
              <w:rPr>
                <w:rFonts w:ascii="Times New Roman" w:hAnsi="Times New Roman" w:cs="Times New Roman"/>
                <w:bCs/>
              </w:rPr>
            </w:pPr>
          </w:p>
        </w:tc>
        <w:tc>
          <w:tcPr>
            <w:tcW w:w="678" w:type="pct"/>
            <w:tcBorders>
              <w:top w:val="single" w:sz="4" w:space="0" w:color="auto"/>
            </w:tcBorders>
          </w:tcPr>
          <w:p w14:paraId="7205A24B" w14:textId="2CEC5836"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H1a</w:t>
            </w:r>
          </w:p>
        </w:tc>
        <w:tc>
          <w:tcPr>
            <w:tcW w:w="636" w:type="pct"/>
            <w:tcBorders>
              <w:top w:val="single" w:sz="4" w:space="0" w:color="auto"/>
            </w:tcBorders>
          </w:tcPr>
          <w:p w14:paraId="5B7008B2" w14:textId="2B739E71"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Yes</w:t>
            </w:r>
          </w:p>
        </w:tc>
      </w:tr>
      <w:tr w:rsidR="009A7D3D" w:rsidRPr="000D44EC" w14:paraId="170E0FC1" w14:textId="740A691C" w:rsidTr="00301246">
        <w:trPr>
          <w:trHeight w:val="227"/>
          <w:jc w:val="center"/>
        </w:trPr>
        <w:tc>
          <w:tcPr>
            <w:tcW w:w="1106" w:type="pct"/>
            <w:noWrap/>
            <w:hideMark/>
          </w:tcPr>
          <w:p w14:paraId="69F49BCE" w14:textId="44FC9E5E" w:rsidR="009A7D3D" w:rsidRPr="000D44EC" w:rsidRDefault="009A7D3D" w:rsidP="0076295C">
            <w:pPr>
              <w:spacing w:after="0"/>
              <w:contextualSpacing/>
              <w:rPr>
                <w:rFonts w:ascii="Times New Roman" w:hAnsi="Times New Roman" w:cs="Times New Roman"/>
                <w:bCs/>
              </w:rPr>
            </w:pPr>
            <w:r w:rsidRPr="000D44EC">
              <w:rPr>
                <w:rFonts w:ascii="Times New Roman" w:hAnsi="Times New Roman" w:cs="Times New Roman"/>
                <w:bCs/>
              </w:rPr>
              <w:t>FC → UB</w:t>
            </w:r>
          </w:p>
        </w:tc>
        <w:tc>
          <w:tcPr>
            <w:tcW w:w="1359" w:type="pct"/>
            <w:noWrap/>
            <w:hideMark/>
          </w:tcPr>
          <w:p w14:paraId="680A275E"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0.026</w:t>
            </w:r>
          </w:p>
        </w:tc>
        <w:tc>
          <w:tcPr>
            <w:tcW w:w="389" w:type="pct"/>
            <w:noWrap/>
            <w:hideMark/>
          </w:tcPr>
          <w:p w14:paraId="689532D0"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0.376</w:t>
            </w:r>
          </w:p>
        </w:tc>
        <w:tc>
          <w:tcPr>
            <w:tcW w:w="442" w:type="pct"/>
            <w:noWrap/>
            <w:hideMark/>
          </w:tcPr>
          <w:p w14:paraId="3ECB4475" w14:textId="77777777"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0.707</w:t>
            </w:r>
          </w:p>
        </w:tc>
        <w:tc>
          <w:tcPr>
            <w:tcW w:w="389" w:type="pct"/>
          </w:tcPr>
          <w:p w14:paraId="6EF02F23" w14:textId="71C95268" w:rsidR="009A7D3D" w:rsidRPr="000D44EC" w:rsidRDefault="009A7D3D" w:rsidP="0076295C">
            <w:pPr>
              <w:spacing w:after="0"/>
              <w:contextualSpacing/>
              <w:jc w:val="center"/>
              <w:rPr>
                <w:rFonts w:ascii="Times New Roman" w:hAnsi="Times New Roman" w:cs="Times New Roman"/>
                <w:bCs/>
              </w:rPr>
            </w:pPr>
          </w:p>
        </w:tc>
        <w:tc>
          <w:tcPr>
            <w:tcW w:w="678" w:type="pct"/>
          </w:tcPr>
          <w:p w14:paraId="16B8E2B5" w14:textId="7659D292"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H1b</w:t>
            </w:r>
          </w:p>
        </w:tc>
        <w:tc>
          <w:tcPr>
            <w:tcW w:w="636" w:type="pct"/>
          </w:tcPr>
          <w:p w14:paraId="4E6F3CD9" w14:textId="0D920D7A"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No</w:t>
            </w:r>
          </w:p>
        </w:tc>
      </w:tr>
      <w:tr w:rsidR="009A7D3D" w:rsidRPr="000D44EC" w14:paraId="3417B942" w14:textId="1C7E3D68" w:rsidTr="00301246">
        <w:trPr>
          <w:trHeight w:val="227"/>
          <w:jc w:val="center"/>
        </w:trPr>
        <w:tc>
          <w:tcPr>
            <w:tcW w:w="1106" w:type="pct"/>
            <w:tcBorders>
              <w:bottom w:val="nil"/>
            </w:tcBorders>
            <w:noWrap/>
            <w:hideMark/>
          </w:tcPr>
          <w:p w14:paraId="55920AE9" w14:textId="024B0760" w:rsidR="009A7D3D" w:rsidRPr="000D44EC" w:rsidRDefault="009A7D3D" w:rsidP="0076295C">
            <w:pPr>
              <w:spacing w:after="0"/>
              <w:contextualSpacing/>
              <w:rPr>
                <w:rFonts w:ascii="Times New Roman" w:hAnsi="Times New Roman" w:cs="Times New Roman"/>
                <w:bCs/>
              </w:rPr>
            </w:pPr>
            <w:r w:rsidRPr="000D44EC">
              <w:rPr>
                <w:rFonts w:ascii="Times New Roman" w:hAnsi="Times New Roman" w:cs="Times New Roman"/>
                <w:bCs/>
              </w:rPr>
              <w:t>HB → UB</w:t>
            </w:r>
          </w:p>
        </w:tc>
        <w:tc>
          <w:tcPr>
            <w:tcW w:w="1359" w:type="pct"/>
            <w:tcBorders>
              <w:bottom w:val="nil"/>
            </w:tcBorders>
            <w:noWrap/>
            <w:hideMark/>
          </w:tcPr>
          <w:p w14:paraId="5EB97D1C"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0.268</w:t>
            </w:r>
          </w:p>
        </w:tc>
        <w:tc>
          <w:tcPr>
            <w:tcW w:w="389" w:type="pct"/>
            <w:tcBorders>
              <w:bottom w:val="nil"/>
            </w:tcBorders>
            <w:noWrap/>
            <w:hideMark/>
          </w:tcPr>
          <w:p w14:paraId="0D018DAA"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4.144</w:t>
            </w:r>
          </w:p>
        </w:tc>
        <w:tc>
          <w:tcPr>
            <w:tcW w:w="442" w:type="pct"/>
            <w:tcBorders>
              <w:bottom w:val="nil"/>
            </w:tcBorders>
            <w:noWrap/>
            <w:hideMark/>
          </w:tcPr>
          <w:p w14:paraId="0FA47B37" w14:textId="77777777"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0.000</w:t>
            </w:r>
          </w:p>
        </w:tc>
        <w:tc>
          <w:tcPr>
            <w:tcW w:w="389" w:type="pct"/>
            <w:tcBorders>
              <w:bottom w:val="nil"/>
            </w:tcBorders>
          </w:tcPr>
          <w:p w14:paraId="2355413E" w14:textId="58B89F04" w:rsidR="009A7D3D" w:rsidRPr="000D44EC" w:rsidRDefault="009A7D3D" w:rsidP="0076295C">
            <w:pPr>
              <w:spacing w:after="0"/>
              <w:contextualSpacing/>
              <w:jc w:val="center"/>
              <w:rPr>
                <w:rFonts w:ascii="Times New Roman" w:hAnsi="Times New Roman" w:cs="Times New Roman"/>
                <w:bCs/>
              </w:rPr>
            </w:pPr>
          </w:p>
        </w:tc>
        <w:tc>
          <w:tcPr>
            <w:tcW w:w="678" w:type="pct"/>
            <w:tcBorders>
              <w:bottom w:val="nil"/>
            </w:tcBorders>
          </w:tcPr>
          <w:p w14:paraId="54B4EFAF" w14:textId="0F4D4B7A"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H1c</w:t>
            </w:r>
          </w:p>
        </w:tc>
        <w:tc>
          <w:tcPr>
            <w:tcW w:w="636" w:type="pct"/>
            <w:tcBorders>
              <w:bottom w:val="nil"/>
            </w:tcBorders>
          </w:tcPr>
          <w:p w14:paraId="320679D3" w14:textId="371BAC2E"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Yes</w:t>
            </w:r>
          </w:p>
        </w:tc>
      </w:tr>
      <w:tr w:rsidR="009A7D3D" w:rsidRPr="000D44EC" w14:paraId="7303C8BC" w14:textId="3D7C7296" w:rsidTr="00301246">
        <w:trPr>
          <w:trHeight w:val="227"/>
          <w:jc w:val="center"/>
        </w:trPr>
        <w:tc>
          <w:tcPr>
            <w:tcW w:w="1106" w:type="pct"/>
            <w:tcBorders>
              <w:top w:val="nil"/>
              <w:bottom w:val="single" w:sz="4" w:space="0" w:color="auto"/>
            </w:tcBorders>
            <w:noWrap/>
          </w:tcPr>
          <w:p w14:paraId="3356CDFD" w14:textId="77777777" w:rsidR="009A7D3D" w:rsidRPr="000D44EC" w:rsidRDefault="009A7D3D" w:rsidP="0076295C">
            <w:pPr>
              <w:spacing w:after="0"/>
              <w:contextualSpacing/>
              <w:rPr>
                <w:rFonts w:ascii="Times New Roman" w:hAnsi="Times New Roman" w:cs="Times New Roman"/>
                <w:bCs/>
              </w:rPr>
            </w:pPr>
          </w:p>
        </w:tc>
        <w:tc>
          <w:tcPr>
            <w:tcW w:w="1359" w:type="pct"/>
            <w:tcBorders>
              <w:top w:val="nil"/>
              <w:bottom w:val="single" w:sz="4" w:space="0" w:color="auto"/>
            </w:tcBorders>
            <w:noWrap/>
          </w:tcPr>
          <w:p w14:paraId="242924D9" w14:textId="77777777" w:rsidR="009A7D3D" w:rsidRPr="000D44EC" w:rsidRDefault="009A7D3D" w:rsidP="0076295C">
            <w:pPr>
              <w:spacing w:after="0"/>
              <w:contextualSpacing/>
              <w:jc w:val="center"/>
              <w:rPr>
                <w:rFonts w:ascii="Times New Roman" w:hAnsi="Times New Roman" w:cs="Times New Roman"/>
              </w:rPr>
            </w:pPr>
          </w:p>
        </w:tc>
        <w:tc>
          <w:tcPr>
            <w:tcW w:w="389" w:type="pct"/>
            <w:tcBorders>
              <w:top w:val="nil"/>
              <w:bottom w:val="single" w:sz="4" w:space="0" w:color="auto"/>
            </w:tcBorders>
            <w:noWrap/>
          </w:tcPr>
          <w:p w14:paraId="59776CAD" w14:textId="77777777" w:rsidR="009A7D3D" w:rsidRPr="000D44EC" w:rsidRDefault="009A7D3D" w:rsidP="0076295C">
            <w:pPr>
              <w:spacing w:after="0"/>
              <w:contextualSpacing/>
              <w:jc w:val="center"/>
              <w:rPr>
                <w:rFonts w:ascii="Times New Roman" w:hAnsi="Times New Roman" w:cs="Times New Roman"/>
              </w:rPr>
            </w:pPr>
          </w:p>
        </w:tc>
        <w:tc>
          <w:tcPr>
            <w:tcW w:w="442" w:type="pct"/>
            <w:tcBorders>
              <w:top w:val="nil"/>
              <w:bottom w:val="single" w:sz="4" w:space="0" w:color="auto"/>
            </w:tcBorders>
            <w:noWrap/>
          </w:tcPr>
          <w:p w14:paraId="55910C80" w14:textId="77777777" w:rsidR="009A7D3D" w:rsidRPr="000D44EC" w:rsidRDefault="009A7D3D" w:rsidP="0076295C">
            <w:pPr>
              <w:spacing w:after="0"/>
              <w:contextualSpacing/>
              <w:jc w:val="center"/>
              <w:rPr>
                <w:rFonts w:ascii="Times New Roman" w:hAnsi="Times New Roman" w:cs="Times New Roman"/>
                <w:bCs/>
              </w:rPr>
            </w:pPr>
          </w:p>
        </w:tc>
        <w:tc>
          <w:tcPr>
            <w:tcW w:w="389" w:type="pct"/>
            <w:tcBorders>
              <w:top w:val="nil"/>
              <w:bottom w:val="single" w:sz="4" w:space="0" w:color="auto"/>
            </w:tcBorders>
          </w:tcPr>
          <w:p w14:paraId="6603E5A4" w14:textId="09BD1ADF" w:rsidR="009A7D3D" w:rsidRPr="000D44EC" w:rsidRDefault="009A7D3D" w:rsidP="0076295C">
            <w:pPr>
              <w:spacing w:after="0"/>
              <w:contextualSpacing/>
              <w:jc w:val="center"/>
              <w:rPr>
                <w:rFonts w:ascii="Times New Roman" w:eastAsia="Times New Roman" w:hAnsi="Times New Roman" w:cs="Times New Roman"/>
              </w:rPr>
            </w:pPr>
            <w:r w:rsidRPr="000D44EC">
              <w:rPr>
                <w:rFonts w:ascii="Times New Roman" w:eastAsia="Times New Roman" w:hAnsi="Times New Roman" w:cs="Times New Roman"/>
              </w:rPr>
              <w:t>0.157</w:t>
            </w:r>
          </w:p>
        </w:tc>
        <w:tc>
          <w:tcPr>
            <w:tcW w:w="678" w:type="pct"/>
            <w:tcBorders>
              <w:top w:val="nil"/>
              <w:bottom w:val="single" w:sz="4" w:space="0" w:color="auto"/>
            </w:tcBorders>
          </w:tcPr>
          <w:p w14:paraId="2E2D1077" w14:textId="18B4AAA9" w:rsidR="009A7D3D" w:rsidRPr="000D44EC" w:rsidRDefault="009A7D3D" w:rsidP="0076295C">
            <w:pPr>
              <w:spacing w:after="0"/>
              <w:contextualSpacing/>
              <w:jc w:val="center"/>
              <w:rPr>
                <w:rFonts w:ascii="Times New Roman" w:eastAsia="Times New Roman" w:hAnsi="Times New Roman" w:cs="Times New Roman"/>
              </w:rPr>
            </w:pPr>
          </w:p>
        </w:tc>
        <w:tc>
          <w:tcPr>
            <w:tcW w:w="636" w:type="pct"/>
            <w:tcBorders>
              <w:top w:val="nil"/>
              <w:bottom w:val="single" w:sz="4" w:space="0" w:color="auto"/>
            </w:tcBorders>
          </w:tcPr>
          <w:p w14:paraId="6A44C3A6" w14:textId="77777777" w:rsidR="009A7D3D" w:rsidRPr="000D44EC" w:rsidRDefault="009A7D3D" w:rsidP="0076295C">
            <w:pPr>
              <w:spacing w:after="0"/>
              <w:contextualSpacing/>
              <w:jc w:val="center"/>
              <w:rPr>
                <w:rFonts w:ascii="Times New Roman" w:eastAsia="Times New Roman" w:hAnsi="Times New Roman" w:cs="Times New Roman"/>
              </w:rPr>
            </w:pPr>
          </w:p>
        </w:tc>
      </w:tr>
      <w:tr w:rsidR="009A7D3D" w:rsidRPr="000D44EC" w14:paraId="160F3326" w14:textId="6B12AB5E" w:rsidTr="00301246">
        <w:trPr>
          <w:trHeight w:val="227"/>
          <w:jc w:val="center"/>
        </w:trPr>
        <w:tc>
          <w:tcPr>
            <w:tcW w:w="1106" w:type="pct"/>
            <w:tcBorders>
              <w:top w:val="single" w:sz="4" w:space="0" w:color="auto"/>
            </w:tcBorders>
            <w:noWrap/>
            <w:hideMark/>
          </w:tcPr>
          <w:p w14:paraId="5F4DA676" w14:textId="656AF2CC" w:rsidR="009A7D3D" w:rsidRPr="000D44EC" w:rsidRDefault="009A7D3D" w:rsidP="0076295C">
            <w:pPr>
              <w:spacing w:after="0"/>
              <w:contextualSpacing/>
              <w:rPr>
                <w:rFonts w:ascii="Times New Roman" w:hAnsi="Times New Roman" w:cs="Times New Roman"/>
                <w:bCs/>
              </w:rPr>
            </w:pPr>
            <w:r w:rsidRPr="000D44EC">
              <w:rPr>
                <w:rFonts w:ascii="Times New Roman" w:hAnsi="Times New Roman" w:cs="Times New Roman"/>
                <w:bCs/>
              </w:rPr>
              <w:t>PE → BI</w:t>
            </w:r>
          </w:p>
        </w:tc>
        <w:tc>
          <w:tcPr>
            <w:tcW w:w="1359" w:type="pct"/>
            <w:tcBorders>
              <w:top w:val="single" w:sz="4" w:space="0" w:color="auto"/>
            </w:tcBorders>
            <w:noWrap/>
            <w:hideMark/>
          </w:tcPr>
          <w:p w14:paraId="40F7E1CC"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0.175</w:t>
            </w:r>
          </w:p>
        </w:tc>
        <w:tc>
          <w:tcPr>
            <w:tcW w:w="389" w:type="pct"/>
            <w:tcBorders>
              <w:top w:val="single" w:sz="4" w:space="0" w:color="auto"/>
            </w:tcBorders>
            <w:noWrap/>
            <w:hideMark/>
          </w:tcPr>
          <w:p w14:paraId="009E1C4A"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2.906</w:t>
            </w:r>
          </w:p>
        </w:tc>
        <w:tc>
          <w:tcPr>
            <w:tcW w:w="442" w:type="pct"/>
            <w:tcBorders>
              <w:top w:val="single" w:sz="4" w:space="0" w:color="auto"/>
            </w:tcBorders>
            <w:noWrap/>
            <w:hideMark/>
          </w:tcPr>
          <w:p w14:paraId="4CAFF9CE" w14:textId="77777777"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0.004</w:t>
            </w:r>
          </w:p>
        </w:tc>
        <w:tc>
          <w:tcPr>
            <w:tcW w:w="389" w:type="pct"/>
            <w:tcBorders>
              <w:top w:val="single" w:sz="4" w:space="0" w:color="auto"/>
            </w:tcBorders>
          </w:tcPr>
          <w:p w14:paraId="5D19BCFA" w14:textId="7D642188" w:rsidR="009A7D3D" w:rsidRPr="000D44EC" w:rsidRDefault="009A7D3D" w:rsidP="0076295C">
            <w:pPr>
              <w:spacing w:after="0"/>
              <w:contextualSpacing/>
              <w:jc w:val="center"/>
              <w:rPr>
                <w:rFonts w:ascii="Times New Roman" w:hAnsi="Times New Roman" w:cs="Times New Roman"/>
                <w:bCs/>
              </w:rPr>
            </w:pPr>
          </w:p>
        </w:tc>
        <w:tc>
          <w:tcPr>
            <w:tcW w:w="678" w:type="pct"/>
            <w:tcBorders>
              <w:top w:val="single" w:sz="4" w:space="0" w:color="auto"/>
            </w:tcBorders>
          </w:tcPr>
          <w:p w14:paraId="75307772" w14:textId="3E8DB306"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H2a</w:t>
            </w:r>
          </w:p>
        </w:tc>
        <w:tc>
          <w:tcPr>
            <w:tcW w:w="636" w:type="pct"/>
            <w:tcBorders>
              <w:top w:val="single" w:sz="4" w:space="0" w:color="auto"/>
            </w:tcBorders>
          </w:tcPr>
          <w:p w14:paraId="46451CD9" w14:textId="3BA936A7"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Yes</w:t>
            </w:r>
          </w:p>
        </w:tc>
      </w:tr>
      <w:tr w:rsidR="009A7D3D" w:rsidRPr="000D44EC" w14:paraId="3A2EF0A3" w14:textId="647099A8" w:rsidTr="00301246">
        <w:trPr>
          <w:trHeight w:val="227"/>
          <w:jc w:val="center"/>
        </w:trPr>
        <w:tc>
          <w:tcPr>
            <w:tcW w:w="1106" w:type="pct"/>
            <w:noWrap/>
            <w:hideMark/>
          </w:tcPr>
          <w:p w14:paraId="285661D0" w14:textId="1080B12F" w:rsidR="009A7D3D" w:rsidRPr="000D44EC" w:rsidRDefault="009A7D3D" w:rsidP="0004618E">
            <w:pPr>
              <w:spacing w:after="0"/>
              <w:contextualSpacing/>
              <w:rPr>
                <w:rFonts w:ascii="Times New Roman" w:hAnsi="Times New Roman" w:cs="Times New Roman"/>
                <w:bCs/>
              </w:rPr>
            </w:pPr>
            <w:r w:rsidRPr="000D44EC">
              <w:rPr>
                <w:rFonts w:ascii="Times New Roman" w:hAnsi="Times New Roman" w:cs="Times New Roman"/>
                <w:bCs/>
              </w:rPr>
              <w:t>EE → BI</w:t>
            </w:r>
          </w:p>
        </w:tc>
        <w:tc>
          <w:tcPr>
            <w:tcW w:w="1359" w:type="pct"/>
            <w:noWrap/>
            <w:hideMark/>
          </w:tcPr>
          <w:p w14:paraId="14F3203D" w14:textId="77777777" w:rsidR="009A7D3D" w:rsidRPr="000D44EC" w:rsidRDefault="009A7D3D" w:rsidP="0004618E">
            <w:pPr>
              <w:spacing w:after="0"/>
              <w:contextualSpacing/>
              <w:jc w:val="center"/>
              <w:rPr>
                <w:rFonts w:ascii="Times New Roman" w:hAnsi="Times New Roman" w:cs="Times New Roman"/>
              </w:rPr>
            </w:pPr>
            <w:r w:rsidRPr="000D44EC">
              <w:rPr>
                <w:rFonts w:ascii="Times New Roman" w:hAnsi="Times New Roman" w:cs="Times New Roman"/>
              </w:rPr>
              <w:t>-0.014</w:t>
            </w:r>
          </w:p>
        </w:tc>
        <w:tc>
          <w:tcPr>
            <w:tcW w:w="389" w:type="pct"/>
            <w:noWrap/>
            <w:hideMark/>
          </w:tcPr>
          <w:p w14:paraId="79C42326" w14:textId="77777777" w:rsidR="009A7D3D" w:rsidRPr="000D44EC" w:rsidRDefault="009A7D3D" w:rsidP="0004618E">
            <w:pPr>
              <w:spacing w:after="0"/>
              <w:contextualSpacing/>
              <w:jc w:val="center"/>
              <w:rPr>
                <w:rFonts w:ascii="Times New Roman" w:hAnsi="Times New Roman" w:cs="Times New Roman"/>
              </w:rPr>
            </w:pPr>
            <w:r w:rsidRPr="000D44EC">
              <w:rPr>
                <w:rFonts w:ascii="Times New Roman" w:hAnsi="Times New Roman" w:cs="Times New Roman"/>
              </w:rPr>
              <w:t>0.274</w:t>
            </w:r>
          </w:p>
        </w:tc>
        <w:tc>
          <w:tcPr>
            <w:tcW w:w="442" w:type="pct"/>
            <w:noWrap/>
            <w:hideMark/>
          </w:tcPr>
          <w:p w14:paraId="74855586" w14:textId="77777777" w:rsidR="009A7D3D" w:rsidRPr="000D44EC" w:rsidRDefault="009A7D3D" w:rsidP="0004618E">
            <w:pPr>
              <w:spacing w:after="0"/>
              <w:contextualSpacing/>
              <w:jc w:val="center"/>
              <w:rPr>
                <w:rFonts w:ascii="Times New Roman" w:hAnsi="Times New Roman" w:cs="Times New Roman"/>
                <w:bCs/>
              </w:rPr>
            </w:pPr>
            <w:r w:rsidRPr="000D44EC">
              <w:rPr>
                <w:rFonts w:ascii="Times New Roman" w:hAnsi="Times New Roman" w:cs="Times New Roman"/>
                <w:bCs/>
              </w:rPr>
              <w:t>0.784</w:t>
            </w:r>
          </w:p>
        </w:tc>
        <w:tc>
          <w:tcPr>
            <w:tcW w:w="389" w:type="pct"/>
          </w:tcPr>
          <w:p w14:paraId="53E01373" w14:textId="6A437161" w:rsidR="009A7D3D" w:rsidRPr="000D44EC" w:rsidRDefault="009A7D3D" w:rsidP="0004618E">
            <w:pPr>
              <w:spacing w:after="0"/>
              <w:contextualSpacing/>
              <w:jc w:val="center"/>
              <w:rPr>
                <w:rFonts w:ascii="Times New Roman" w:hAnsi="Times New Roman" w:cs="Times New Roman"/>
                <w:bCs/>
              </w:rPr>
            </w:pPr>
          </w:p>
        </w:tc>
        <w:tc>
          <w:tcPr>
            <w:tcW w:w="678" w:type="pct"/>
          </w:tcPr>
          <w:p w14:paraId="006BEB53" w14:textId="3F73ADD1" w:rsidR="009A7D3D" w:rsidRPr="000D44EC" w:rsidRDefault="009A7D3D" w:rsidP="0004618E">
            <w:pPr>
              <w:spacing w:after="0"/>
              <w:contextualSpacing/>
              <w:jc w:val="center"/>
              <w:rPr>
                <w:rFonts w:ascii="Times New Roman" w:hAnsi="Times New Roman" w:cs="Times New Roman"/>
                <w:bCs/>
              </w:rPr>
            </w:pPr>
            <w:r w:rsidRPr="000D44EC">
              <w:rPr>
                <w:rFonts w:ascii="Times New Roman" w:hAnsi="Times New Roman" w:cs="Times New Roman"/>
                <w:bCs/>
              </w:rPr>
              <w:t>H2b</w:t>
            </w:r>
          </w:p>
        </w:tc>
        <w:tc>
          <w:tcPr>
            <w:tcW w:w="636" w:type="pct"/>
          </w:tcPr>
          <w:p w14:paraId="4EC3A04A" w14:textId="4DFE28E0" w:rsidR="009A7D3D" w:rsidRPr="000D44EC" w:rsidRDefault="009A7D3D" w:rsidP="0004618E">
            <w:pPr>
              <w:spacing w:after="0"/>
              <w:contextualSpacing/>
              <w:jc w:val="center"/>
              <w:rPr>
                <w:rFonts w:ascii="Times New Roman" w:hAnsi="Times New Roman" w:cs="Times New Roman"/>
                <w:bCs/>
              </w:rPr>
            </w:pPr>
            <w:r w:rsidRPr="000D44EC">
              <w:rPr>
                <w:rFonts w:ascii="Times New Roman" w:hAnsi="Times New Roman" w:cs="Times New Roman"/>
                <w:bCs/>
              </w:rPr>
              <w:t>No</w:t>
            </w:r>
          </w:p>
        </w:tc>
      </w:tr>
      <w:tr w:rsidR="009A7D3D" w:rsidRPr="000D44EC" w14:paraId="4812BDC7" w14:textId="41E9240E" w:rsidTr="00301246">
        <w:trPr>
          <w:trHeight w:val="227"/>
          <w:jc w:val="center"/>
        </w:trPr>
        <w:tc>
          <w:tcPr>
            <w:tcW w:w="1106" w:type="pct"/>
            <w:noWrap/>
            <w:hideMark/>
          </w:tcPr>
          <w:p w14:paraId="03D7C467" w14:textId="677343CC" w:rsidR="009A7D3D" w:rsidRPr="000D44EC" w:rsidRDefault="009A7D3D" w:rsidP="0004618E">
            <w:pPr>
              <w:spacing w:after="0"/>
              <w:contextualSpacing/>
              <w:rPr>
                <w:rFonts w:ascii="Times New Roman" w:hAnsi="Times New Roman" w:cs="Times New Roman"/>
                <w:bCs/>
              </w:rPr>
            </w:pPr>
            <w:r w:rsidRPr="000D44EC">
              <w:rPr>
                <w:rFonts w:ascii="Times New Roman" w:hAnsi="Times New Roman" w:cs="Times New Roman"/>
                <w:bCs/>
              </w:rPr>
              <w:t>SI → BI</w:t>
            </w:r>
          </w:p>
        </w:tc>
        <w:tc>
          <w:tcPr>
            <w:tcW w:w="1359" w:type="pct"/>
            <w:noWrap/>
            <w:hideMark/>
          </w:tcPr>
          <w:p w14:paraId="079659BF" w14:textId="77777777" w:rsidR="009A7D3D" w:rsidRPr="000D44EC" w:rsidRDefault="009A7D3D" w:rsidP="0004618E">
            <w:pPr>
              <w:spacing w:after="0"/>
              <w:contextualSpacing/>
              <w:jc w:val="center"/>
              <w:rPr>
                <w:rFonts w:ascii="Times New Roman" w:hAnsi="Times New Roman" w:cs="Times New Roman"/>
              </w:rPr>
            </w:pPr>
            <w:r w:rsidRPr="000D44EC">
              <w:rPr>
                <w:rFonts w:ascii="Times New Roman" w:hAnsi="Times New Roman" w:cs="Times New Roman"/>
              </w:rPr>
              <w:t>0.018</w:t>
            </w:r>
          </w:p>
        </w:tc>
        <w:tc>
          <w:tcPr>
            <w:tcW w:w="389" w:type="pct"/>
            <w:noWrap/>
            <w:hideMark/>
          </w:tcPr>
          <w:p w14:paraId="2DFD9BF3" w14:textId="77777777" w:rsidR="009A7D3D" w:rsidRPr="000D44EC" w:rsidRDefault="009A7D3D" w:rsidP="0004618E">
            <w:pPr>
              <w:spacing w:after="0"/>
              <w:contextualSpacing/>
              <w:jc w:val="center"/>
              <w:rPr>
                <w:rFonts w:ascii="Times New Roman" w:hAnsi="Times New Roman" w:cs="Times New Roman"/>
              </w:rPr>
            </w:pPr>
            <w:r w:rsidRPr="000D44EC">
              <w:rPr>
                <w:rFonts w:ascii="Times New Roman" w:hAnsi="Times New Roman" w:cs="Times New Roman"/>
              </w:rPr>
              <w:t>0.427</w:t>
            </w:r>
          </w:p>
        </w:tc>
        <w:tc>
          <w:tcPr>
            <w:tcW w:w="442" w:type="pct"/>
            <w:noWrap/>
            <w:hideMark/>
          </w:tcPr>
          <w:p w14:paraId="75548F84" w14:textId="77777777" w:rsidR="009A7D3D" w:rsidRPr="000D44EC" w:rsidRDefault="009A7D3D" w:rsidP="0004618E">
            <w:pPr>
              <w:spacing w:after="0"/>
              <w:contextualSpacing/>
              <w:jc w:val="center"/>
              <w:rPr>
                <w:rFonts w:ascii="Times New Roman" w:hAnsi="Times New Roman" w:cs="Times New Roman"/>
                <w:bCs/>
              </w:rPr>
            </w:pPr>
            <w:r w:rsidRPr="000D44EC">
              <w:rPr>
                <w:rFonts w:ascii="Times New Roman" w:hAnsi="Times New Roman" w:cs="Times New Roman"/>
                <w:bCs/>
              </w:rPr>
              <w:t>0.669</w:t>
            </w:r>
          </w:p>
        </w:tc>
        <w:tc>
          <w:tcPr>
            <w:tcW w:w="389" w:type="pct"/>
          </w:tcPr>
          <w:p w14:paraId="64621155" w14:textId="0FA20395" w:rsidR="009A7D3D" w:rsidRPr="000D44EC" w:rsidRDefault="009A7D3D" w:rsidP="0004618E">
            <w:pPr>
              <w:spacing w:after="0"/>
              <w:contextualSpacing/>
              <w:jc w:val="center"/>
              <w:rPr>
                <w:rFonts w:ascii="Times New Roman" w:hAnsi="Times New Roman" w:cs="Times New Roman"/>
                <w:bCs/>
              </w:rPr>
            </w:pPr>
          </w:p>
        </w:tc>
        <w:tc>
          <w:tcPr>
            <w:tcW w:w="678" w:type="pct"/>
          </w:tcPr>
          <w:p w14:paraId="03F85492" w14:textId="56570B87" w:rsidR="009A7D3D" w:rsidRPr="000D44EC" w:rsidRDefault="009A7D3D" w:rsidP="0004618E">
            <w:pPr>
              <w:spacing w:after="0"/>
              <w:contextualSpacing/>
              <w:jc w:val="center"/>
              <w:rPr>
                <w:rFonts w:ascii="Times New Roman" w:hAnsi="Times New Roman" w:cs="Times New Roman"/>
                <w:bCs/>
              </w:rPr>
            </w:pPr>
            <w:r w:rsidRPr="000D44EC">
              <w:rPr>
                <w:rFonts w:ascii="Times New Roman" w:hAnsi="Times New Roman" w:cs="Times New Roman"/>
                <w:bCs/>
              </w:rPr>
              <w:t>H2c</w:t>
            </w:r>
          </w:p>
        </w:tc>
        <w:tc>
          <w:tcPr>
            <w:tcW w:w="636" w:type="pct"/>
          </w:tcPr>
          <w:p w14:paraId="2818F984" w14:textId="2A72EF2C" w:rsidR="009A7D3D" w:rsidRPr="000D44EC" w:rsidRDefault="009A7D3D" w:rsidP="0004618E">
            <w:pPr>
              <w:spacing w:after="0"/>
              <w:contextualSpacing/>
              <w:jc w:val="center"/>
              <w:rPr>
                <w:rFonts w:ascii="Times New Roman" w:hAnsi="Times New Roman" w:cs="Times New Roman"/>
                <w:bCs/>
              </w:rPr>
            </w:pPr>
            <w:r w:rsidRPr="000D44EC">
              <w:rPr>
                <w:rFonts w:ascii="Times New Roman" w:hAnsi="Times New Roman" w:cs="Times New Roman"/>
                <w:bCs/>
              </w:rPr>
              <w:t>No</w:t>
            </w:r>
          </w:p>
        </w:tc>
      </w:tr>
      <w:tr w:rsidR="009A7D3D" w:rsidRPr="000D44EC" w14:paraId="1203626B" w14:textId="6128FAEB" w:rsidTr="00301246">
        <w:trPr>
          <w:trHeight w:val="227"/>
          <w:jc w:val="center"/>
        </w:trPr>
        <w:tc>
          <w:tcPr>
            <w:tcW w:w="1106" w:type="pct"/>
            <w:noWrap/>
            <w:hideMark/>
          </w:tcPr>
          <w:p w14:paraId="35D279E7" w14:textId="3C6AC375" w:rsidR="009A7D3D" w:rsidRPr="000D44EC" w:rsidRDefault="009A7D3D" w:rsidP="0076295C">
            <w:pPr>
              <w:spacing w:after="0"/>
              <w:contextualSpacing/>
              <w:rPr>
                <w:rFonts w:ascii="Times New Roman" w:hAnsi="Times New Roman" w:cs="Times New Roman"/>
                <w:bCs/>
              </w:rPr>
            </w:pPr>
            <w:r w:rsidRPr="000D44EC">
              <w:rPr>
                <w:rFonts w:ascii="Times New Roman" w:hAnsi="Times New Roman" w:cs="Times New Roman"/>
                <w:bCs/>
              </w:rPr>
              <w:t>FC → BI</w:t>
            </w:r>
          </w:p>
        </w:tc>
        <w:tc>
          <w:tcPr>
            <w:tcW w:w="1359" w:type="pct"/>
            <w:noWrap/>
            <w:hideMark/>
          </w:tcPr>
          <w:p w14:paraId="669B60D7"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0.257</w:t>
            </w:r>
          </w:p>
        </w:tc>
        <w:tc>
          <w:tcPr>
            <w:tcW w:w="389" w:type="pct"/>
            <w:noWrap/>
            <w:hideMark/>
          </w:tcPr>
          <w:p w14:paraId="73AE1B4C"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4.794</w:t>
            </w:r>
          </w:p>
        </w:tc>
        <w:tc>
          <w:tcPr>
            <w:tcW w:w="442" w:type="pct"/>
            <w:noWrap/>
            <w:hideMark/>
          </w:tcPr>
          <w:p w14:paraId="795A2326" w14:textId="77777777"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0.000</w:t>
            </w:r>
          </w:p>
        </w:tc>
        <w:tc>
          <w:tcPr>
            <w:tcW w:w="389" w:type="pct"/>
          </w:tcPr>
          <w:p w14:paraId="29C7F30A" w14:textId="4CCB2A05" w:rsidR="009A7D3D" w:rsidRPr="000D44EC" w:rsidRDefault="009A7D3D" w:rsidP="0076295C">
            <w:pPr>
              <w:spacing w:after="0"/>
              <w:contextualSpacing/>
              <w:jc w:val="center"/>
              <w:rPr>
                <w:rFonts w:ascii="Times New Roman" w:hAnsi="Times New Roman" w:cs="Times New Roman"/>
                <w:bCs/>
              </w:rPr>
            </w:pPr>
          </w:p>
        </w:tc>
        <w:tc>
          <w:tcPr>
            <w:tcW w:w="678" w:type="pct"/>
          </w:tcPr>
          <w:p w14:paraId="3A32FFC7" w14:textId="213FDB2C"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H2d</w:t>
            </w:r>
          </w:p>
        </w:tc>
        <w:tc>
          <w:tcPr>
            <w:tcW w:w="636" w:type="pct"/>
          </w:tcPr>
          <w:p w14:paraId="7C2EEB86" w14:textId="65A28B9E"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Yes</w:t>
            </w:r>
          </w:p>
        </w:tc>
      </w:tr>
      <w:tr w:rsidR="009A7D3D" w:rsidRPr="000D44EC" w14:paraId="0D8E25D8" w14:textId="2F0E71EF" w:rsidTr="00301246">
        <w:trPr>
          <w:trHeight w:val="227"/>
          <w:jc w:val="center"/>
        </w:trPr>
        <w:tc>
          <w:tcPr>
            <w:tcW w:w="1106" w:type="pct"/>
            <w:noWrap/>
            <w:hideMark/>
          </w:tcPr>
          <w:p w14:paraId="27CF832D" w14:textId="3454AF58" w:rsidR="009A7D3D" w:rsidRPr="000D44EC" w:rsidRDefault="009A7D3D" w:rsidP="0076295C">
            <w:pPr>
              <w:spacing w:after="0"/>
              <w:contextualSpacing/>
              <w:rPr>
                <w:rFonts w:ascii="Times New Roman" w:hAnsi="Times New Roman" w:cs="Times New Roman"/>
                <w:bCs/>
              </w:rPr>
            </w:pPr>
            <w:r w:rsidRPr="000D44EC">
              <w:rPr>
                <w:rFonts w:ascii="Times New Roman" w:hAnsi="Times New Roman" w:cs="Times New Roman"/>
                <w:bCs/>
              </w:rPr>
              <w:t>HB → BI</w:t>
            </w:r>
          </w:p>
        </w:tc>
        <w:tc>
          <w:tcPr>
            <w:tcW w:w="1359" w:type="pct"/>
            <w:noWrap/>
            <w:hideMark/>
          </w:tcPr>
          <w:p w14:paraId="5EE816E9"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0.405</w:t>
            </w:r>
          </w:p>
        </w:tc>
        <w:tc>
          <w:tcPr>
            <w:tcW w:w="389" w:type="pct"/>
            <w:noWrap/>
            <w:hideMark/>
          </w:tcPr>
          <w:p w14:paraId="08C3C004"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7.876</w:t>
            </w:r>
          </w:p>
        </w:tc>
        <w:tc>
          <w:tcPr>
            <w:tcW w:w="442" w:type="pct"/>
            <w:noWrap/>
            <w:hideMark/>
          </w:tcPr>
          <w:p w14:paraId="58AA04FC" w14:textId="77777777"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0.000</w:t>
            </w:r>
          </w:p>
        </w:tc>
        <w:tc>
          <w:tcPr>
            <w:tcW w:w="389" w:type="pct"/>
          </w:tcPr>
          <w:p w14:paraId="4649DDA9" w14:textId="1224BB49" w:rsidR="009A7D3D" w:rsidRPr="000D44EC" w:rsidRDefault="009A7D3D" w:rsidP="0076295C">
            <w:pPr>
              <w:spacing w:after="0"/>
              <w:contextualSpacing/>
              <w:jc w:val="center"/>
              <w:rPr>
                <w:rFonts w:ascii="Times New Roman" w:hAnsi="Times New Roman" w:cs="Times New Roman"/>
                <w:bCs/>
              </w:rPr>
            </w:pPr>
          </w:p>
        </w:tc>
        <w:tc>
          <w:tcPr>
            <w:tcW w:w="678" w:type="pct"/>
          </w:tcPr>
          <w:p w14:paraId="69591228" w14:textId="76C3881E"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H2e</w:t>
            </w:r>
          </w:p>
        </w:tc>
        <w:tc>
          <w:tcPr>
            <w:tcW w:w="636" w:type="pct"/>
          </w:tcPr>
          <w:p w14:paraId="5835BA36" w14:textId="27D31C45"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Yes</w:t>
            </w:r>
          </w:p>
        </w:tc>
      </w:tr>
      <w:tr w:rsidR="009A7D3D" w:rsidRPr="000D44EC" w14:paraId="4C222773" w14:textId="20358209" w:rsidTr="00301246">
        <w:trPr>
          <w:trHeight w:val="227"/>
          <w:jc w:val="center"/>
        </w:trPr>
        <w:tc>
          <w:tcPr>
            <w:tcW w:w="1106" w:type="pct"/>
            <w:noWrap/>
            <w:hideMark/>
          </w:tcPr>
          <w:p w14:paraId="273C4011" w14:textId="7AD04396" w:rsidR="009A7D3D" w:rsidRPr="000D44EC" w:rsidRDefault="009A7D3D" w:rsidP="0076295C">
            <w:pPr>
              <w:spacing w:after="0"/>
              <w:contextualSpacing/>
              <w:rPr>
                <w:rFonts w:ascii="Times New Roman" w:hAnsi="Times New Roman" w:cs="Times New Roman"/>
                <w:bCs/>
              </w:rPr>
            </w:pPr>
            <w:r w:rsidRPr="000D44EC">
              <w:rPr>
                <w:rFonts w:ascii="Times New Roman" w:hAnsi="Times New Roman" w:cs="Times New Roman"/>
                <w:bCs/>
              </w:rPr>
              <w:t>HM → BI</w:t>
            </w:r>
          </w:p>
        </w:tc>
        <w:tc>
          <w:tcPr>
            <w:tcW w:w="1359" w:type="pct"/>
            <w:noWrap/>
            <w:hideMark/>
          </w:tcPr>
          <w:p w14:paraId="4D72A531"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0.096</w:t>
            </w:r>
          </w:p>
        </w:tc>
        <w:tc>
          <w:tcPr>
            <w:tcW w:w="389" w:type="pct"/>
            <w:noWrap/>
            <w:hideMark/>
          </w:tcPr>
          <w:p w14:paraId="42381A8C"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1.878</w:t>
            </w:r>
          </w:p>
        </w:tc>
        <w:tc>
          <w:tcPr>
            <w:tcW w:w="442" w:type="pct"/>
            <w:noWrap/>
            <w:hideMark/>
          </w:tcPr>
          <w:p w14:paraId="7D5F4D37" w14:textId="77777777"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0.061</w:t>
            </w:r>
          </w:p>
        </w:tc>
        <w:tc>
          <w:tcPr>
            <w:tcW w:w="389" w:type="pct"/>
          </w:tcPr>
          <w:p w14:paraId="3D39F3EF" w14:textId="586AE097" w:rsidR="009A7D3D" w:rsidRPr="000D44EC" w:rsidRDefault="009A7D3D" w:rsidP="0076295C">
            <w:pPr>
              <w:spacing w:after="0"/>
              <w:contextualSpacing/>
              <w:jc w:val="center"/>
              <w:rPr>
                <w:rFonts w:ascii="Times New Roman" w:hAnsi="Times New Roman" w:cs="Times New Roman"/>
                <w:bCs/>
              </w:rPr>
            </w:pPr>
          </w:p>
        </w:tc>
        <w:tc>
          <w:tcPr>
            <w:tcW w:w="678" w:type="pct"/>
          </w:tcPr>
          <w:p w14:paraId="29C8A84C" w14:textId="1AC9727D"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H2f</w:t>
            </w:r>
          </w:p>
        </w:tc>
        <w:tc>
          <w:tcPr>
            <w:tcW w:w="636" w:type="pct"/>
          </w:tcPr>
          <w:p w14:paraId="3FCA53A2" w14:textId="68F03DCF"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Yes</w:t>
            </w:r>
          </w:p>
        </w:tc>
      </w:tr>
      <w:tr w:rsidR="009A7D3D" w:rsidRPr="000D44EC" w14:paraId="3910364B" w14:textId="4FF748D0" w:rsidTr="00301246">
        <w:trPr>
          <w:trHeight w:val="227"/>
          <w:jc w:val="center"/>
        </w:trPr>
        <w:tc>
          <w:tcPr>
            <w:tcW w:w="1106" w:type="pct"/>
            <w:noWrap/>
            <w:hideMark/>
          </w:tcPr>
          <w:p w14:paraId="4A091973" w14:textId="6816C057" w:rsidR="009A7D3D" w:rsidRPr="000D44EC" w:rsidRDefault="009A7D3D" w:rsidP="0076295C">
            <w:pPr>
              <w:spacing w:after="0"/>
              <w:contextualSpacing/>
              <w:rPr>
                <w:rFonts w:ascii="Times New Roman" w:hAnsi="Times New Roman" w:cs="Times New Roman"/>
                <w:bCs/>
              </w:rPr>
            </w:pPr>
            <w:r w:rsidRPr="000D44EC">
              <w:rPr>
                <w:rFonts w:ascii="Times New Roman" w:hAnsi="Times New Roman" w:cs="Times New Roman"/>
                <w:bCs/>
              </w:rPr>
              <w:t>GM → BI</w:t>
            </w:r>
          </w:p>
        </w:tc>
        <w:tc>
          <w:tcPr>
            <w:tcW w:w="1359" w:type="pct"/>
            <w:noWrap/>
            <w:hideMark/>
          </w:tcPr>
          <w:p w14:paraId="5A223E65"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0.046</w:t>
            </w:r>
          </w:p>
        </w:tc>
        <w:tc>
          <w:tcPr>
            <w:tcW w:w="389" w:type="pct"/>
            <w:noWrap/>
            <w:hideMark/>
          </w:tcPr>
          <w:p w14:paraId="6EC09EED"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0.855</w:t>
            </w:r>
          </w:p>
        </w:tc>
        <w:tc>
          <w:tcPr>
            <w:tcW w:w="442" w:type="pct"/>
            <w:noWrap/>
            <w:hideMark/>
          </w:tcPr>
          <w:p w14:paraId="6E9DDC10" w14:textId="77777777"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0.393</w:t>
            </w:r>
          </w:p>
        </w:tc>
        <w:tc>
          <w:tcPr>
            <w:tcW w:w="389" w:type="pct"/>
          </w:tcPr>
          <w:p w14:paraId="5F07C0A2" w14:textId="30003E5C" w:rsidR="009A7D3D" w:rsidRPr="000D44EC" w:rsidRDefault="009A7D3D" w:rsidP="0076295C">
            <w:pPr>
              <w:spacing w:after="0"/>
              <w:contextualSpacing/>
              <w:jc w:val="center"/>
              <w:rPr>
                <w:rFonts w:ascii="Times New Roman" w:hAnsi="Times New Roman" w:cs="Times New Roman"/>
                <w:bCs/>
              </w:rPr>
            </w:pPr>
          </w:p>
        </w:tc>
        <w:tc>
          <w:tcPr>
            <w:tcW w:w="678" w:type="pct"/>
          </w:tcPr>
          <w:p w14:paraId="561B239F" w14:textId="734FFF72"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H2g</w:t>
            </w:r>
          </w:p>
        </w:tc>
        <w:tc>
          <w:tcPr>
            <w:tcW w:w="636" w:type="pct"/>
          </w:tcPr>
          <w:p w14:paraId="5CB14108" w14:textId="164E34A4"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No</w:t>
            </w:r>
          </w:p>
        </w:tc>
      </w:tr>
      <w:tr w:rsidR="009A7D3D" w:rsidRPr="000D44EC" w14:paraId="724D3983" w14:textId="1718B836" w:rsidTr="00301246">
        <w:trPr>
          <w:trHeight w:val="227"/>
          <w:jc w:val="center"/>
        </w:trPr>
        <w:tc>
          <w:tcPr>
            <w:tcW w:w="1106" w:type="pct"/>
            <w:noWrap/>
            <w:hideMark/>
          </w:tcPr>
          <w:p w14:paraId="70445A00" w14:textId="75047AE7" w:rsidR="009A7D3D" w:rsidRPr="000D44EC" w:rsidRDefault="009A7D3D" w:rsidP="0076295C">
            <w:pPr>
              <w:spacing w:after="0"/>
              <w:contextualSpacing/>
              <w:rPr>
                <w:rFonts w:ascii="Times New Roman" w:hAnsi="Times New Roman" w:cs="Times New Roman"/>
                <w:bCs/>
              </w:rPr>
            </w:pPr>
            <w:r w:rsidRPr="000D44EC">
              <w:rPr>
                <w:rFonts w:ascii="Times New Roman" w:hAnsi="Times New Roman" w:cs="Times New Roman"/>
                <w:bCs/>
              </w:rPr>
              <w:t>Gen YZ → BI</w:t>
            </w:r>
          </w:p>
        </w:tc>
        <w:tc>
          <w:tcPr>
            <w:tcW w:w="1359" w:type="pct"/>
            <w:noWrap/>
            <w:hideMark/>
          </w:tcPr>
          <w:p w14:paraId="093DB893"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0.014</w:t>
            </w:r>
          </w:p>
        </w:tc>
        <w:tc>
          <w:tcPr>
            <w:tcW w:w="389" w:type="pct"/>
            <w:noWrap/>
            <w:hideMark/>
          </w:tcPr>
          <w:p w14:paraId="1FDE9B92"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0.438</w:t>
            </w:r>
          </w:p>
        </w:tc>
        <w:tc>
          <w:tcPr>
            <w:tcW w:w="442" w:type="pct"/>
            <w:noWrap/>
            <w:hideMark/>
          </w:tcPr>
          <w:p w14:paraId="3A030469" w14:textId="77777777"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0.661</w:t>
            </w:r>
          </w:p>
        </w:tc>
        <w:tc>
          <w:tcPr>
            <w:tcW w:w="389" w:type="pct"/>
          </w:tcPr>
          <w:p w14:paraId="118728F9" w14:textId="08401D44" w:rsidR="009A7D3D" w:rsidRPr="000D44EC" w:rsidRDefault="009A7D3D" w:rsidP="0076295C">
            <w:pPr>
              <w:spacing w:after="0"/>
              <w:contextualSpacing/>
              <w:jc w:val="center"/>
              <w:rPr>
                <w:rFonts w:ascii="Times New Roman" w:hAnsi="Times New Roman" w:cs="Times New Roman"/>
                <w:bCs/>
              </w:rPr>
            </w:pPr>
          </w:p>
        </w:tc>
        <w:tc>
          <w:tcPr>
            <w:tcW w:w="678" w:type="pct"/>
          </w:tcPr>
          <w:p w14:paraId="2BEDE6BD" w14:textId="4775E962" w:rsidR="009A7D3D" w:rsidRPr="000D44EC" w:rsidRDefault="009A7D3D" w:rsidP="0076295C">
            <w:pPr>
              <w:spacing w:after="0"/>
              <w:contextualSpacing/>
              <w:jc w:val="center"/>
              <w:rPr>
                <w:rFonts w:ascii="Times New Roman" w:hAnsi="Times New Roman" w:cs="Times New Roman"/>
                <w:bCs/>
              </w:rPr>
            </w:pPr>
          </w:p>
        </w:tc>
        <w:tc>
          <w:tcPr>
            <w:tcW w:w="636" w:type="pct"/>
          </w:tcPr>
          <w:p w14:paraId="2A5F9D1A" w14:textId="77777777" w:rsidR="009A7D3D" w:rsidRPr="000D44EC" w:rsidRDefault="009A7D3D" w:rsidP="0076295C">
            <w:pPr>
              <w:spacing w:after="0"/>
              <w:contextualSpacing/>
              <w:jc w:val="center"/>
              <w:rPr>
                <w:rFonts w:ascii="Times New Roman" w:hAnsi="Times New Roman" w:cs="Times New Roman"/>
                <w:bCs/>
              </w:rPr>
            </w:pPr>
          </w:p>
        </w:tc>
      </w:tr>
      <w:tr w:rsidR="009A7D3D" w:rsidRPr="000D44EC" w14:paraId="533EF6B1" w14:textId="311AABBD" w:rsidTr="00301246">
        <w:trPr>
          <w:trHeight w:val="227"/>
          <w:jc w:val="center"/>
        </w:trPr>
        <w:tc>
          <w:tcPr>
            <w:tcW w:w="1106" w:type="pct"/>
            <w:tcBorders>
              <w:bottom w:val="nil"/>
            </w:tcBorders>
            <w:noWrap/>
            <w:hideMark/>
          </w:tcPr>
          <w:p w14:paraId="3DFFA50D" w14:textId="74C0B849" w:rsidR="009A7D3D" w:rsidRPr="000D44EC" w:rsidRDefault="009A7D3D" w:rsidP="0076295C">
            <w:pPr>
              <w:spacing w:after="0"/>
              <w:contextualSpacing/>
              <w:rPr>
                <w:rFonts w:ascii="Times New Roman" w:hAnsi="Times New Roman" w:cs="Times New Roman"/>
                <w:bCs/>
              </w:rPr>
            </w:pPr>
            <w:r w:rsidRPr="000D44EC">
              <w:rPr>
                <w:rFonts w:ascii="Times New Roman" w:hAnsi="Times New Roman" w:cs="Times New Roman"/>
                <w:bCs/>
              </w:rPr>
              <w:t>GM*Gen YZ → BI</w:t>
            </w:r>
          </w:p>
        </w:tc>
        <w:tc>
          <w:tcPr>
            <w:tcW w:w="1359" w:type="pct"/>
            <w:tcBorders>
              <w:bottom w:val="nil"/>
            </w:tcBorders>
            <w:noWrap/>
            <w:hideMark/>
          </w:tcPr>
          <w:p w14:paraId="136BBA58" w14:textId="10A6B962"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0.069</w:t>
            </w:r>
            <w:r w:rsidR="00497830" w:rsidRPr="000D44EC">
              <w:rPr>
                <w:rFonts w:ascii="Times New Roman" w:hAnsi="Times New Roman" w:cs="Times New Roman"/>
                <w:bCs/>
                <w:vertAlign w:val="superscript"/>
              </w:rPr>
              <w:t xml:space="preserve"> a</w:t>
            </w:r>
          </w:p>
        </w:tc>
        <w:tc>
          <w:tcPr>
            <w:tcW w:w="389" w:type="pct"/>
            <w:tcBorders>
              <w:bottom w:val="nil"/>
            </w:tcBorders>
            <w:noWrap/>
            <w:hideMark/>
          </w:tcPr>
          <w:p w14:paraId="26D8748C"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1.973</w:t>
            </w:r>
          </w:p>
        </w:tc>
        <w:tc>
          <w:tcPr>
            <w:tcW w:w="442" w:type="pct"/>
            <w:tcBorders>
              <w:bottom w:val="nil"/>
            </w:tcBorders>
            <w:noWrap/>
            <w:hideMark/>
          </w:tcPr>
          <w:p w14:paraId="58FBE9A3" w14:textId="0D0B96D9" w:rsidR="009A7D3D" w:rsidRPr="000D44EC" w:rsidRDefault="009A7D3D" w:rsidP="00497830">
            <w:pPr>
              <w:spacing w:after="0"/>
              <w:contextualSpacing/>
              <w:jc w:val="center"/>
              <w:rPr>
                <w:rFonts w:ascii="Times New Roman" w:hAnsi="Times New Roman" w:cs="Times New Roman"/>
                <w:bCs/>
              </w:rPr>
            </w:pPr>
            <w:r w:rsidRPr="000D44EC">
              <w:rPr>
                <w:rFonts w:ascii="Times New Roman" w:hAnsi="Times New Roman" w:cs="Times New Roman"/>
                <w:bCs/>
              </w:rPr>
              <w:t>0.049</w:t>
            </w:r>
          </w:p>
        </w:tc>
        <w:tc>
          <w:tcPr>
            <w:tcW w:w="389" w:type="pct"/>
            <w:tcBorders>
              <w:bottom w:val="nil"/>
            </w:tcBorders>
          </w:tcPr>
          <w:p w14:paraId="4F7C3E94" w14:textId="4A4177CA" w:rsidR="009A7D3D" w:rsidRPr="000D44EC" w:rsidRDefault="009A7D3D" w:rsidP="0076295C">
            <w:pPr>
              <w:spacing w:after="0"/>
              <w:contextualSpacing/>
              <w:jc w:val="center"/>
              <w:rPr>
                <w:rFonts w:ascii="Times New Roman" w:hAnsi="Times New Roman" w:cs="Times New Roman"/>
                <w:bCs/>
              </w:rPr>
            </w:pPr>
          </w:p>
        </w:tc>
        <w:tc>
          <w:tcPr>
            <w:tcW w:w="678" w:type="pct"/>
            <w:tcBorders>
              <w:bottom w:val="nil"/>
            </w:tcBorders>
          </w:tcPr>
          <w:p w14:paraId="4C354036" w14:textId="093BA02B"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H4</w:t>
            </w:r>
          </w:p>
        </w:tc>
        <w:tc>
          <w:tcPr>
            <w:tcW w:w="636" w:type="pct"/>
            <w:tcBorders>
              <w:bottom w:val="nil"/>
            </w:tcBorders>
          </w:tcPr>
          <w:p w14:paraId="673B3B76" w14:textId="6380179F"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Yes</w:t>
            </w:r>
          </w:p>
        </w:tc>
      </w:tr>
      <w:tr w:rsidR="009A7D3D" w:rsidRPr="000D44EC" w14:paraId="749C8D6D" w14:textId="66651AD8" w:rsidTr="00301246">
        <w:trPr>
          <w:trHeight w:val="227"/>
          <w:jc w:val="center"/>
        </w:trPr>
        <w:tc>
          <w:tcPr>
            <w:tcW w:w="1106" w:type="pct"/>
            <w:tcBorders>
              <w:top w:val="nil"/>
              <w:bottom w:val="single" w:sz="4" w:space="0" w:color="auto"/>
            </w:tcBorders>
            <w:noWrap/>
          </w:tcPr>
          <w:p w14:paraId="2BFD8207" w14:textId="77777777" w:rsidR="009A7D3D" w:rsidRPr="000D44EC" w:rsidRDefault="009A7D3D" w:rsidP="0076295C">
            <w:pPr>
              <w:spacing w:after="0"/>
              <w:contextualSpacing/>
              <w:rPr>
                <w:rFonts w:ascii="Times New Roman" w:hAnsi="Times New Roman" w:cs="Times New Roman"/>
                <w:bCs/>
              </w:rPr>
            </w:pPr>
          </w:p>
        </w:tc>
        <w:tc>
          <w:tcPr>
            <w:tcW w:w="1359" w:type="pct"/>
            <w:tcBorders>
              <w:top w:val="nil"/>
              <w:bottom w:val="single" w:sz="4" w:space="0" w:color="auto"/>
            </w:tcBorders>
            <w:noWrap/>
          </w:tcPr>
          <w:p w14:paraId="37721119" w14:textId="77777777" w:rsidR="009A7D3D" w:rsidRPr="000D44EC" w:rsidRDefault="009A7D3D" w:rsidP="0076295C">
            <w:pPr>
              <w:spacing w:after="0"/>
              <w:contextualSpacing/>
              <w:jc w:val="center"/>
              <w:rPr>
                <w:rFonts w:ascii="Times New Roman" w:hAnsi="Times New Roman" w:cs="Times New Roman"/>
              </w:rPr>
            </w:pPr>
          </w:p>
        </w:tc>
        <w:tc>
          <w:tcPr>
            <w:tcW w:w="389" w:type="pct"/>
            <w:tcBorders>
              <w:top w:val="nil"/>
              <w:bottom w:val="single" w:sz="4" w:space="0" w:color="auto"/>
            </w:tcBorders>
            <w:noWrap/>
          </w:tcPr>
          <w:p w14:paraId="2E06BBA8" w14:textId="77777777" w:rsidR="009A7D3D" w:rsidRPr="000D44EC" w:rsidRDefault="009A7D3D" w:rsidP="0076295C">
            <w:pPr>
              <w:spacing w:after="0"/>
              <w:contextualSpacing/>
              <w:jc w:val="center"/>
              <w:rPr>
                <w:rFonts w:ascii="Times New Roman" w:hAnsi="Times New Roman" w:cs="Times New Roman"/>
              </w:rPr>
            </w:pPr>
          </w:p>
        </w:tc>
        <w:tc>
          <w:tcPr>
            <w:tcW w:w="442" w:type="pct"/>
            <w:tcBorders>
              <w:top w:val="nil"/>
              <w:bottom w:val="single" w:sz="4" w:space="0" w:color="auto"/>
            </w:tcBorders>
            <w:noWrap/>
          </w:tcPr>
          <w:p w14:paraId="5359F21F" w14:textId="77777777" w:rsidR="009A7D3D" w:rsidRPr="000D44EC" w:rsidRDefault="009A7D3D" w:rsidP="0076295C">
            <w:pPr>
              <w:spacing w:after="0"/>
              <w:contextualSpacing/>
              <w:jc w:val="center"/>
              <w:rPr>
                <w:rFonts w:ascii="Times New Roman" w:hAnsi="Times New Roman" w:cs="Times New Roman"/>
                <w:bCs/>
              </w:rPr>
            </w:pPr>
          </w:p>
        </w:tc>
        <w:tc>
          <w:tcPr>
            <w:tcW w:w="389" w:type="pct"/>
            <w:tcBorders>
              <w:top w:val="nil"/>
              <w:bottom w:val="single" w:sz="4" w:space="0" w:color="auto"/>
            </w:tcBorders>
          </w:tcPr>
          <w:p w14:paraId="0E234605" w14:textId="4B6FF052" w:rsidR="009A7D3D" w:rsidRPr="000D44EC" w:rsidRDefault="009A7D3D" w:rsidP="0076295C">
            <w:pPr>
              <w:spacing w:after="0"/>
              <w:contextualSpacing/>
              <w:jc w:val="center"/>
              <w:rPr>
                <w:rFonts w:ascii="Times New Roman" w:eastAsia="Times New Roman" w:hAnsi="Times New Roman" w:cs="Times New Roman"/>
              </w:rPr>
            </w:pPr>
            <w:r w:rsidRPr="000D44EC">
              <w:rPr>
                <w:rFonts w:ascii="Times New Roman" w:eastAsia="Times New Roman" w:hAnsi="Times New Roman" w:cs="Times New Roman"/>
              </w:rPr>
              <w:t>0.635</w:t>
            </w:r>
          </w:p>
        </w:tc>
        <w:tc>
          <w:tcPr>
            <w:tcW w:w="678" w:type="pct"/>
            <w:tcBorders>
              <w:top w:val="nil"/>
              <w:bottom w:val="single" w:sz="4" w:space="0" w:color="auto"/>
            </w:tcBorders>
          </w:tcPr>
          <w:p w14:paraId="74E257EA" w14:textId="6C798D01" w:rsidR="009A7D3D" w:rsidRPr="000D44EC" w:rsidRDefault="009A7D3D" w:rsidP="0076295C">
            <w:pPr>
              <w:spacing w:after="0"/>
              <w:contextualSpacing/>
              <w:jc w:val="center"/>
              <w:rPr>
                <w:rFonts w:ascii="Times New Roman" w:eastAsia="Times New Roman" w:hAnsi="Times New Roman" w:cs="Times New Roman"/>
              </w:rPr>
            </w:pPr>
          </w:p>
        </w:tc>
        <w:tc>
          <w:tcPr>
            <w:tcW w:w="636" w:type="pct"/>
            <w:tcBorders>
              <w:top w:val="nil"/>
              <w:bottom w:val="single" w:sz="4" w:space="0" w:color="auto"/>
            </w:tcBorders>
          </w:tcPr>
          <w:p w14:paraId="4FC3CFC5" w14:textId="77777777" w:rsidR="009A7D3D" w:rsidRPr="000D44EC" w:rsidRDefault="009A7D3D" w:rsidP="0076295C">
            <w:pPr>
              <w:spacing w:after="0"/>
              <w:contextualSpacing/>
              <w:jc w:val="center"/>
              <w:rPr>
                <w:rFonts w:ascii="Times New Roman" w:eastAsia="Times New Roman" w:hAnsi="Times New Roman" w:cs="Times New Roman"/>
              </w:rPr>
            </w:pPr>
          </w:p>
        </w:tc>
      </w:tr>
      <w:tr w:rsidR="009A7D3D" w:rsidRPr="000D44EC" w14:paraId="636D5FE4" w14:textId="77777777" w:rsidTr="00301246">
        <w:trPr>
          <w:trHeight w:val="227"/>
          <w:jc w:val="center"/>
        </w:trPr>
        <w:tc>
          <w:tcPr>
            <w:tcW w:w="1106" w:type="pct"/>
            <w:tcBorders>
              <w:top w:val="single" w:sz="4" w:space="0" w:color="auto"/>
              <w:bottom w:val="nil"/>
            </w:tcBorders>
            <w:noWrap/>
            <w:hideMark/>
          </w:tcPr>
          <w:p w14:paraId="591272F0" w14:textId="77777777" w:rsidR="009A7D3D" w:rsidRPr="000D44EC" w:rsidRDefault="009A7D3D" w:rsidP="007260E9">
            <w:pPr>
              <w:spacing w:after="0"/>
              <w:contextualSpacing/>
              <w:rPr>
                <w:rFonts w:ascii="Times New Roman" w:hAnsi="Times New Roman" w:cs="Times New Roman"/>
                <w:bCs/>
              </w:rPr>
            </w:pPr>
            <w:r w:rsidRPr="000D44EC">
              <w:rPr>
                <w:rFonts w:ascii="Times New Roman" w:hAnsi="Times New Roman" w:cs="Times New Roman"/>
                <w:bCs/>
              </w:rPr>
              <w:t>SI → GM</w:t>
            </w:r>
          </w:p>
        </w:tc>
        <w:tc>
          <w:tcPr>
            <w:tcW w:w="1359" w:type="pct"/>
            <w:tcBorders>
              <w:top w:val="single" w:sz="4" w:space="0" w:color="auto"/>
              <w:bottom w:val="nil"/>
            </w:tcBorders>
            <w:noWrap/>
            <w:hideMark/>
          </w:tcPr>
          <w:p w14:paraId="33D05720" w14:textId="77777777" w:rsidR="009A7D3D" w:rsidRPr="000D44EC" w:rsidRDefault="009A7D3D" w:rsidP="007260E9">
            <w:pPr>
              <w:spacing w:after="0"/>
              <w:contextualSpacing/>
              <w:jc w:val="center"/>
              <w:rPr>
                <w:rFonts w:ascii="Times New Roman" w:hAnsi="Times New Roman" w:cs="Times New Roman"/>
              </w:rPr>
            </w:pPr>
            <w:r w:rsidRPr="000D44EC">
              <w:rPr>
                <w:rFonts w:ascii="Times New Roman" w:hAnsi="Times New Roman" w:cs="Times New Roman"/>
              </w:rPr>
              <w:t>0.039</w:t>
            </w:r>
          </w:p>
        </w:tc>
        <w:tc>
          <w:tcPr>
            <w:tcW w:w="389" w:type="pct"/>
            <w:tcBorders>
              <w:top w:val="single" w:sz="4" w:space="0" w:color="auto"/>
              <w:bottom w:val="nil"/>
            </w:tcBorders>
            <w:noWrap/>
            <w:hideMark/>
          </w:tcPr>
          <w:p w14:paraId="5AAB3CB7" w14:textId="77777777" w:rsidR="009A7D3D" w:rsidRPr="000D44EC" w:rsidRDefault="009A7D3D" w:rsidP="007260E9">
            <w:pPr>
              <w:spacing w:after="0"/>
              <w:contextualSpacing/>
              <w:jc w:val="center"/>
              <w:rPr>
                <w:rFonts w:ascii="Times New Roman" w:hAnsi="Times New Roman" w:cs="Times New Roman"/>
              </w:rPr>
            </w:pPr>
            <w:r w:rsidRPr="000D44EC">
              <w:rPr>
                <w:rFonts w:ascii="Times New Roman" w:hAnsi="Times New Roman" w:cs="Times New Roman"/>
              </w:rPr>
              <w:t>0.652</w:t>
            </w:r>
          </w:p>
        </w:tc>
        <w:tc>
          <w:tcPr>
            <w:tcW w:w="442" w:type="pct"/>
            <w:tcBorders>
              <w:top w:val="single" w:sz="4" w:space="0" w:color="auto"/>
              <w:bottom w:val="nil"/>
            </w:tcBorders>
            <w:noWrap/>
            <w:hideMark/>
          </w:tcPr>
          <w:p w14:paraId="76452D5E" w14:textId="77777777" w:rsidR="009A7D3D" w:rsidRPr="000D44EC" w:rsidRDefault="009A7D3D" w:rsidP="007260E9">
            <w:pPr>
              <w:spacing w:after="0"/>
              <w:contextualSpacing/>
              <w:jc w:val="center"/>
              <w:rPr>
                <w:rFonts w:ascii="Times New Roman" w:hAnsi="Times New Roman" w:cs="Times New Roman"/>
                <w:bCs/>
              </w:rPr>
            </w:pPr>
            <w:r w:rsidRPr="000D44EC">
              <w:rPr>
                <w:rFonts w:ascii="Times New Roman" w:hAnsi="Times New Roman" w:cs="Times New Roman"/>
                <w:bCs/>
              </w:rPr>
              <w:t>0.514</w:t>
            </w:r>
          </w:p>
        </w:tc>
        <w:tc>
          <w:tcPr>
            <w:tcW w:w="389" w:type="pct"/>
            <w:tcBorders>
              <w:top w:val="single" w:sz="4" w:space="0" w:color="auto"/>
              <w:bottom w:val="nil"/>
            </w:tcBorders>
          </w:tcPr>
          <w:p w14:paraId="56EA56C6" w14:textId="1B3ED3AD" w:rsidR="009A7D3D" w:rsidRPr="000D44EC" w:rsidRDefault="009A7D3D" w:rsidP="007260E9">
            <w:pPr>
              <w:spacing w:after="0"/>
              <w:contextualSpacing/>
              <w:jc w:val="center"/>
              <w:rPr>
                <w:rFonts w:ascii="Times New Roman" w:hAnsi="Times New Roman" w:cs="Times New Roman"/>
                <w:bCs/>
              </w:rPr>
            </w:pPr>
          </w:p>
        </w:tc>
        <w:tc>
          <w:tcPr>
            <w:tcW w:w="678" w:type="pct"/>
            <w:tcBorders>
              <w:top w:val="single" w:sz="4" w:space="0" w:color="auto"/>
              <w:bottom w:val="nil"/>
            </w:tcBorders>
          </w:tcPr>
          <w:p w14:paraId="770FCBDC" w14:textId="3BB030CE" w:rsidR="009A7D3D" w:rsidRPr="000D44EC" w:rsidRDefault="009A7D3D" w:rsidP="007260E9">
            <w:pPr>
              <w:spacing w:after="0"/>
              <w:contextualSpacing/>
              <w:jc w:val="center"/>
              <w:rPr>
                <w:rFonts w:ascii="Times New Roman" w:hAnsi="Times New Roman" w:cs="Times New Roman"/>
                <w:bCs/>
              </w:rPr>
            </w:pPr>
            <w:r w:rsidRPr="000D44EC">
              <w:rPr>
                <w:rFonts w:ascii="Times New Roman" w:hAnsi="Times New Roman" w:cs="Times New Roman"/>
                <w:bCs/>
              </w:rPr>
              <w:t>H3a</w:t>
            </w:r>
          </w:p>
        </w:tc>
        <w:tc>
          <w:tcPr>
            <w:tcW w:w="636" w:type="pct"/>
            <w:tcBorders>
              <w:top w:val="single" w:sz="4" w:space="0" w:color="auto"/>
              <w:bottom w:val="nil"/>
            </w:tcBorders>
          </w:tcPr>
          <w:p w14:paraId="340CA046" w14:textId="77777777" w:rsidR="009A7D3D" w:rsidRPr="000D44EC" w:rsidRDefault="009A7D3D" w:rsidP="007260E9">
            <w:pPr>
              <w:spacing w:after="0"/>
              <w:contextualSpacing/>
              <w:jc w:val="center"/>
              <w:rPr>
                <w:rFonts w:ascii="Times New Roman" w:hAnsi="Times New Roman" w:cs="Times New Roman"/>
                <w:bCs/>
              </w:rPr>
            </w:pPr>
            <w:r w:rsidRPr="000D44EC">
              <w:rPr>
                <w:rFonts w:ascii="Times New Roman" w:hAnsi="Times New Roman" w:cs="Times New Roman"/>
                <w:bCs/>
              </w:rPr>
              <w:t>No</w:t>
            </w:r>
          </w:p>
        </w:tc>
      </w:tr>
      <w:tr w:rsidR="009A7D3D" w:rsidRPr="000D44EC" w14:paraId="659D07B1" w14:textId="2606A9B6" w:rsidTr="00301246">
        <w:trPr>
          <w:trHeight w:val="227"/>
          <w:jc w:val="center"/>
        </w:trPr>
        <w:tc>
          <w:tcPr>
            <w:tcW w:w="1106" w:type="pct"/>
            <w:tcBorders>
              <w:top w:val="nil"/>
              <w:bottom w:val="nil"/>
            </w:tcBorders>
            <w:noWrap/>
            <w:hideMark/>
          </w:tcPr>
          <w:p w14:paraId="26E34EDB" w14:textId="300605D8" w:rsidR="009A7D3D" w:rsidRPr="000D44EC" w:rsidRDefault="009A7D3D" w:rsidP="0076295C">
            <w:pPr>
              <w:spacing w:after="0"/>
              <w:contextualSpacing/>
              <w:rPr>
                <w:rFonts w:ascii="Times New Roman" w:hAnsi="Times New Roman" w:cs="Times New Roman"/>
                <w:bCs/>
              </w:rPr>
            </w:pPr>
            <w:r w:rsidRPr="000D44EC">
              <w:rPr>
                <w:rFonts w:ascii="Times New Roman" w:hAnsi="Times New Roman" w:cs="Times New Roman"/>
                <w:bCs/>
              </w:rPr>
              <w:t>FC → GM</w:t>
            </w:r>
          </w:p>
        </w:tc>
        <w:tc>
          <w:tcPr>
            <w:tcW w:w="1359" w:type="pct"/>
            <w:tcBorders>
              <w:top w:val="nil"/>
              <w:bottom w:val="nil"/>
            </w:tcBorders>
            <w:noWrap/>
            <w:hideMark/>
          </w:tcPr>
          <w:p w14:paraId="7954F2EF"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0.200</w:t>
            </w:r>
          </w:p>
        </w:tc>
        <w:tc>
          <w:tcPr>
            <w:tcW w:w="389" w:type="pct"/>
            <w:tcBorders>
              <w:top w:val="nil"/>
              <w:bottom w:val="nil"/>
            </w:tcBorders>
            <w:noWrap/>
            <w:hideMark/>
          </w:tcPr>
          <w:p w14:paraId="107A5B55"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3.376</w:t>
            </w:r>
          </w:p>
        </w:tc>
        <w:tc>
          <w:tcPr>
            <w:tcW w:w="442" w:type="pct"/>
            <w:tcBorders>
              <w:top w:val="nil"/>
              <w:bottom w:val="nil"/>
            </w:tcBorders>
            <w:noWrap/>
            <w:hideMark/>
          </w:tcPr>
          <w:p w14:paraId="410E88A5" w14:textId="77777777"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0.001</w:t>
            </w:r>
          </w:p>
        </w:tc>
        <w:tc>
          <w:tcPr>
            <w:tcW w:w="389" w:type="pct"/>
            <w:tcBorders>
              <w:top w:val="nil"/>
              <w:bottom w:val="nil"/>
            </w:tcBorders>
          </w:tcPr>
          <w:p w14:paraId="4B9255BF" w14:textId="670A6C2D" w:rsidR="009A7D3D" w:rsidRPr="000D44EC" w:rsidRDefault="009A7D3D" w:rsidP="0076295C">
            <w:pPr>
              <w:spacing w:after="0"/>
              <w:contextualSpacing/>
              <w:jc w:val="center"/>
              <w:rPr>
                <w:rFonts w:ascii="Times New Roman" w:hAnsi="Times New Roman" w:cs="Times New Roman"/>
                <w:bCs/>
              </w:rPr>
            </w:pPr>
          </w:p>
        </w:tc>
        <w:tc>
          <w:tcPr>
            <w:tcW w:w="678" w:type="pct"/>
            <w:tcBorders>
              <w:top w:val="nil"/>
              <w:bottom w:val="nil"/>
            </w:tcBorders>
          </w:tcPr>
          <w:p w14:paraId="630E92E3" w14:textId="3532E825"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H3b</w:t>
            </w:r>
          </w:p>
        </w:tc>
        <w:tc>
          <w:tcPr>
            <w:tcW w:w="636" w:type="pct"/>
            <w:tcBorders>
              <w:top w:val="nil"/>
              <w:bottom w:val="nil"/>
            </w:tcBorders>
          </w:tcPr>
          <w:p w14:paraId="68A9693B" w14:textId="44171E68"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Yes</w:t>
            </w:r>
          </w:p>
        </w:tc>
      </w:tr>
      <w:tr w:rsidR="009A7D3D" w:rsidRPr="000D44EC" w14:paraId="4B6E7A24" w14:textId="4636EC87" w:rsidTr="00301246">
        <w:trPr>
          <w:trHeight w:val="227"/>
          <w:jc w:val="center"/>
        </w:trPr>
        <w:tc>
          <w:tcPr>
            <w:tcW w:w="1106" w:type="pct"/>
            <w:tcBorders>
              <w:top w:val="nil"/>
            </w:tcBorders>
            <w:noWrap/>
            <w:hideMark/>
          </w:tcPr>
          <w:p w14:paraId="214D97BA" w14:textId="0E6CB979" w:rsidR="009A7D3D" w:rsidRPr="000D44EC" w:rsidRDefault="009A7D3D" w:rsidP="0076295C">
            <w:pPr>
              <w:spacing w:after="0"/>
              <w:contextualSpacing/>
              <w:rPr>
                <w:rFonts w:ascii="Times New Roman" w:hAnsi="Times New Roman" w:cs="Times New Roman"/>
                <w:bCs/>
              </w:rPr>
            </w:pPr>
            <w:r w:rsidRPr="000D44EC">
              <w:rPr>
                <w:rFonts w:ascii="Times New Roman" w:hAnsi="Times New Roman" w:cs="Times New Roman"/>
                <w:bCs/>
              </w:rPr>
              <w:t>HB → GM</w:t>
            </w:r>
          </w:p>
        </w:tc>
        <w:tc>
          <w:tcPr>
            <w:tcW w:w="1359" w:type="pct"/>
            <w:tcBorders>
              <w:top w:val="nil"/>
            </w:tcBorders>
            <w:noWrap/>
            <w:hideMark/>
          </w:tcPr>
          <w:p w14:paraId="38C27BC2"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0.155</w:t>
            </w:r>
          </w:p>
        </w:tc>
        <w:tc>
          <w:tcPr>
            <w:tcW w:w="389" w:type="pct"/>
            <w:tcBorders>
              <w:top w:val="nil"/>
            </w:tcBorders>
            <w:noWrap/>
            <w:hideMark/>
          </w:tcPr>
          <w:p w14:paraId="776416F0"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2.575</w:t>
            </w:r>
          </w:p>
        </w:tc>
        <w:tc>
          <w:tcPr>
            <w:tcW w:w="442" w:type="pct"/>
            <w:tcBorders>
              <w:top w:val="nil"/>
            </w:tcBorders>
            <w:noWrap/>
            <w:hideMark/>
          </w:tcPr>
          <w:p w14:paraId="55D0EF05" w14:textId="77777777"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0.010</w:t>
            </w:r>
          </w:p>
        </w:tc>
        <w:tc>
          <w:tcPr>
            <w:tcW w:w="389" w:type="pct"/>
            <w:tcBorders>
              <w:top w:val="nil"/>
            </w:tcBorders>
          </w:tcPr>
          <w:p w14:paraId="6BA82A65" w14:textId="0945093D" w:rsidR="009A7D3D" w:rsidRPr="000D44EC" w:rsidRDefault="009A7D3D" w:rsidP="0076295C">
            <w:pPr>
              <w:spacing w:after="0"/>
              <w:contextualSpacing/>
              <w:jc w:val="center"/>
              <w:rPr>
                <w:rFonts w:ascii="Times New Roman" w:hAnsi="Times New Roman" w:cs="Times New Roman"/>
                <w:bCs/>
              </w:rPr>
            </w:pPr>
          </w:p>
        </w:tc>
        <w:tc>
          <w:tcPr>
            <w:tcW w:w="678" w:type="pct"/>
            <w:tcBorders>
              <w:top w:val="nil"/>
            </w:tcBorders>
          </w:tcPr>
          <w:p w14:paraId="6633EB2B" w14:textId="710236ED"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H3c</w:t>
            </w:r>
          </w:p>
        </w:tc>
        <w:tc>
          <w:tcPr>
            <w:tcW w:w="636" w:type="pct"/>
            <w:tcBorders>
              <w:top w:val="nil"/>
            </w:tcBorders>
          </w:tcPr>
          <w:p w14:paraId="441CC6B1" w14:textId="45F647FC"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Yes</w:t>
            </w:r>
          </w:p>
        </w:tc>
      </w:tr>
      <w:tr w:rsidR="009A7D3D" w:rsidRPr="000D44EC" w14:paraId="66F708F4" w14:textId="1EFF515D" w:rsidTr="00301246">
        <w:trPr>
          <w:trHeight w:val="227"/>
          <w:jc w:val="center"/>
        </w:trPr>
        <w:tc>
          <w:tcPr>
            <w:tcW w:w="1106" w:type="pct"/>
            <w:tcBorders>
              <w:bottom w:val="nil"/>
            </w:tcBorders>
            <w:noWrap/>
            <w:hideMark/>
          </w:tcPr>
          <w:p w14:paraId="1B5752F6" w14:textId="2B732CDF" w:rsidR="009A7D3D" w:rsidRPr="000D44EC" w:rsidRDefault="009A7D3D" w:rsidP="0076295C">
            <w:pPr>
              <w:spacing w:after="0"/>
              <w:contextualSpacing/>
              <w:rPr>
                <w:rFonts w:ascii="Times New Roman" w:hAnsi="Times New Roman" w:cs="Times New Roman"/>
                <w:bCs/>
              </w:rPr>
            </w:pPr>
            <w:r w:rsidRPr="000D44EC">
              <w:rPr>
                <w:rFonts w:ascii="Times New Roman" w:hAnsi="Times New Roman" w:cs="Times New Roman"/>
                <w:bCs/>
              </w:rPr>
              <w:t>HM → GM</w:t>
            </w:r>
          </w:p>
        </w:tc>
        <w:tc>
          <w:tcPr>
            <w:tcW w:w="1359" w:type="pct"/>
            <w:noWrap/>
            <w:hideMark/>
          </w:tcPr>
          <w:p w14:paraId="00166FAD"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0.387</w:t>
            </w:r>
          </w:p>
        </w:tc>
        <w:tc>
          <w:tcPr>
            <w:tcW w:w="389" w:type="pct"/>
            <w:noWrap/>
            <w:hideMark/>
          </w:tcPr>
          <w:p w14:paraId="627CE7E6"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7.119</w:t>
            </w:r>
          </w:p>
        </w:tc>
        <w:tc>
          <w:tcPr>
            <w:tcW w:w="442" w:type="pct"/>
            <w:noWrap/>
            <w:hideMark/>
          </w:tcPr>
          <w:p w14:paraId="6CD949F4" w14:textId="77777777"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0.000</w:t>
            </w:r>
          </w:p>
        </w:tc>
        <w:tc>
          <w:tcPr>
            <w:tcW w:w="389" w:type="pct"/>
          </w:tcPr>
          <w:p w14:paraId="22035F08" w14:textId="26D73F61" w:rsidR="009A7D3D" w:rsidRPr="000D44EC" w:rsidRDefault="009A7D3D" w:rsidP="0076295C">
            <w:pPr>
              <w:spacing w:after="0"/>
              <w:contextualSpacing/>
              <w:jc w:val="center"/>
              <w:rPr>
                <w:rFonts w:ascii="Times New Roman" w:hAnsi="Times New Roman" w:cs="Times New Roman"/>
                <w:bCs/>
              </w:rPr>
            </w:pPr>
          </w:p>
        </w:tc>
        <w:tc>
          <w:tcPr>
            <w:tcW w:w="678" w:type="pct"/>
          </w:tcPr>
          <w:p w14:paraId="3C02E34D" w14:textId="5404EBA6"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H3d</w:t>
            </w:r>
          </w:p>
        </w:tc>
        <w:tc>
          <w:tcPr>
            <w:tcW w:w="636" w:type="pct"/>
          </w:tcPr>
          <w:p w14:paraId="43E12730" w14:textId="14345DF9"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Yes</w:t>
            </w:r>
          </w:p>
        </w:tc>
      </w:tr>
      <w:tr w:rsidR="009A7D3D" w:rsidRPr="000D44EC" w14:paraId="633D2430" w14:textId="7AB7C2F4" w:rsidTr="00301246">
        <w:trPr>
          <w:trHeight w:val="227"/>
          <w:jc w:val="center"/>
        </w:trPr>
        <w:tc>
          <w:tcPr>
            <w:tcW w:w="1106" w:type="pct"/>
            <w:tcBorders>
              <w:top w:val="nil"/>
              <w:bottom w:val="single" w:sz="4" w:space="0" w:color="auto"/>
            </w:tcBorders>
            <w:noWrap/>
          </w:tcPr>
          <w:p w14:paraId="1C5FB195" w14:textId="77777777" w:rsidR="009A7D3D" w:rsidRPr="000D44EC" w:rsidRDefault="009A7D3D" w:rsidP="0076295C">
            <w:pPr>
              <w:spacing w:after="0"/>
              <w:contextualSpacing/>
              <w:rPr>
                <w:rFonts w:ascii="Times New Roman" w:hAnsi="Times New Roman" w:cs="Times New Roman"/>
                <w:bCs/>
              </w:rPr>
            </w:pPr>
          </w:p>
        </w:tc>
        <w:tc>
          <w:tcPr>
            <w:tcW w:w="1359" w:type="pct"/>
            <w:tcBorders>
              <w:top w:val="nil"/>
              <w:bottom w:val="single" w:sz="4" w:space="0" w:color="auto"/>
            </w:tcBorders>
            <w:noWrap/>
          </w:tcPr>
          <w:p w14:paraId="1E2C5B80" w14:textId="77777777" w:rsidR="009A7D3D" w:rsidRPr="000D44EC" w:rsidRDefault="009A7D3D" w:rsidP="0076295C">
            <w:pPr>
              <w:spacing w:after="0"/>
              <w:contextualSpacing/>
              <w:jc w:val="center"/>
              <w:rPr>
                <w:rFonts w:ascii="Times New Roman" w:hAnsi="Times New Roman" w:cs="Times New Roman"/>
              </w:rPr>
            </w:pPr>
          </w:p>
        </w:tc>
        <w:tc>
          <w:tcPr>
            <w:tcW w:w="389" w:type="pct"/>
            <w:tcBorders>
              <w:top w:val="nil"/>
              <w:bottom w:val="single" w:sz="4" w:space="0" w:color="auto"/>
            </w:tcBorders>
            <w:noWrap/>
          </w:tcPr>
          <w:p w14:paraId="26BF0416" w14:textId="77777777" w:rsidR="009A7D3D" w:rsidRPr="000D44EC" w:rsidRDefault="009A7D3D" w:rsidP="0076295C">
            <w:pPr>
              <w:spacing w:after="0"/>
              <w:contextualSpacing/>
              <w:jc w:val="center"/>
              <w:rPr>
                <w:rFonts w:ascii="Times New Roman" w:hAnsi="Times New Roman" w:cs="Times New Roman"/>
              </w:rPr>
            </w:pPr>
          </w:p>
        </w:tc>
        <w:tc>
          <w:tcPr>
            <w:tcW w:w="442" w:type="pct"/>
            <w:tcBorders>
              <w:top w:val="nil"/>
              <w:bottom w:val="single" w:sz="4" w:space="0" w:color="auto"/>
            </w:tcBorders>
            <w:noWrap/>
          </w:tcPr>
          <w:p w14:paraId="090C7785" w14:textId="77777777" w:rsidR="009A7D3D" w:rsidRPr="000D44EC" w:rsidRDefault="009A7D3D" w:rsidP="0076295C">
            <w:pPr>
              <w:spacing w:after="0"/>
              <w:contextualSpacing/>
              <w:jc w:val="center"/>
              <w:rPr>
                <w:rFonts w:ascii="Times New Roman" w:hAnsi="Times New Roman" w:cs="Times New Roman"/>
                <w:bCs/>
              </w:rPr>
            </w:pPr>
          </w:p>
        </w:tc>
        <w:tc>
          <w:tcPr>
            <w:tcW w:w="389" w:type="pct"/>
            <w:tcBorders>
              <w:top w:val="nil"/>
              <w:bottom w:val="single" w:sz="4" w:space="0" w:color="auto"/>
            </w:tcBorders>
          </w:tcPr>
          <w:p w14:paraId="4F093B40" w14:textId="6AEE04D4" w:rsidR="009A7D3D" w:rsidRPr="000D44EC" w:rsidRDefault="009A7D3D" w:rsidP="0076295C">
            <w:pPr>
              <w:spacing w:after="0"/>
              <w:contextualSpacing/>
              <w:jc w:val="center"/>
              <w:rPr>
                <w:rFonts w:ascii="Times New Roman" w:eastAsia="Times New Roman" w:hAnsi="Times New Roman" w:cs="Times New Roman"/>
              </w:rPr>
            </w:pPr>
            <w:r w:rsidRPr="000D44EC">
              <w:rPr>
                <w:rFonts w:ascii="Times New Roman" w:eastAsia="Times New Roman" w:hAnsi="Times New Roman" w:cs="Times New Roman"/>
              </w:rPr>
              <w:t>0.407</w:t>
            </w:r>
          </w:p>
        </w:tc>
        <w:tc>
          <w:tcPr>
            <w:tcW w:w="678" w:type="pct"/>
            <w:tcBorders>
              <w:top w:val="nil"/>
              <w:bottom w:val="single" w:sz="4" w:space="0" w:color="auto"/>
            </w:tcBorders>
          </w:tcPr>
          <w:p w14:paraId="697B89B2" w14:textId="0D85548C" w:rsidR="009A7D3D" w:rsidRPr="000D44EC" w:rsidRDefault="009A7D3D" w:rsidP="0076295C">
            <w:pPr>
              <w:spacing w:after="0"/>
              <w:contextualSpacing/>
              <w:jc w:val="center"/>
              <w:rPr>
                <w:rFonts w:ascii="Times New Roman" w:eastAsia="Times New Roman" w:hAnsi="Times New Roman" w:cs="Times New Roman"/>
              </w:rPr>
            </w:pPr>
          </w:p>
        </w:tc>
        <w:tc>
          <w:tcPr>
            <w:tcW w:w="636" w:type="pct"/>
            <w:tcBorders>
              <w:top w:val="nil"/>
              <w:bottom w:val="single" w:sz="4" w:space="0" w:color="auto"/>
            </w:tcBorders>
          </w:tcPr>
          <w:p w14:paraId="76BEF94F" w14:textId="77777777" w:rsidR="009A7D3D" w:rsidRPr="000D44EC" w:rsidRDefault="009A7D3D" w:rsidP="0076295C">
            <w:pPr>
              <w:spacing w:after="0"/>
              <w:contextualSpacing/>
              <w:jc w:val="center"/>
              <w:rPr>
                <w:rFonts w:ascii="Times New Roman" w:eastAsia="Times New Roman" w:hAnsi="Times New Roman" w:cs="Times New Roman"/>
              </w:rPr>
            </w:pPr>
          </w:p>
        </w:tc>
      </w:tr>
      <w:tr w:rsidR="009A7D3D" w:rsidRPr="000D44EC" w14:paraId="0E614A8E" w14:textId="176F307B" w:rsidTr="00301246">
        <w:trPr>
          <w:trHeight w:val="227"/>
          <w:jc w:val="center"/>
        </w:trPr>
        <w:tc>
          <w:tcPr>
            <w:tcW w:w="1106" w:type="pct"/>
            <w:tcBorders>
              <w:top w:val="single" w:sz="4" w:space="0" w:color="auto"/>
              <w:bottom w:val="single" w:sz="4" w:space="0" w:color="auto"/>
            </w:tcBorders>
            <w:noWrap/>
            <w:hideMark/>
          </w:tcPr>
          <w:p w14:paraId="25C4D261" w14:textId="2911FDC2" w:rsidR="009A7D3D" w:rsidRPr="000D44EC" w:rsidRDefault="009A7D3D" w:rsidP="0076295C">
            <w:pPr>
              <w:spacing w:after="0"/>
              <w:contextualSpacing/>
              <w:rPr>
                <w:rFonts w:ascii="Times New Roman" w:hAnsi="Times New Roman" w:cs="Times New Roman"/>
                <w:bCs/>
              </w:rPr>
            </w:pPr>
            <w:r w:rsidRPr="000D44EC">
              <w:rPr>
                <w:rFonts w:ascii="Times New Roman" w:hAnsi="Times New Roman" w:cs="Times New Roman"/>
                <w:bCs/>
              </w:rPr>
              <w:t>UB → IR</w:t>
            </w:r>
          </w:p>
        </w:tc>
        <w:tc>
          <w:tcPr>
            <w:tcW w:w="1359" w:type="pct"/>
            <w:tcBorders>
              <w:top w:val="single" w:sz="4" w:space="0" w:color="auto"/>
              <w:bottom w:val="single" w:sz="4" w:space="0" w:color="auto"/>
            </w:tcBorders>
            <w:noWrap/>
            <w:hideMark/>
          </w:tcPr>
          <w:p w14:paraId="0AC78837"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0.272</w:t>
            </w:r>
          </w:p>
        </w:tc>
        <w:tc>
          <w:tcPr>
            <w:tcW w:w="389" w:type="pct"/>
            <w:tcBorders>
              <w:top w:val="single" w:sz="4" w:space="0" w:color="auto"/>
              <w:bottom w:val="single" w:sz="4" w:space="0" w:color="auto"/>
            </w:tcBorders>
            <w:noWrap/>
            <w:hideMark/>
          </w:tcPr>
          <w:p w14:paraId="4C1D193B" w14:textId="77777777" w:rsidR="009A7D3D" w:rsidRPr="000D44EC" w:rsidRDefault="009A7D3D" w:rsidP="0076295C">
            <w:pPr>
              <w:spacing w:after="0"/>
              <w:contextualSpacing/>
              <w:jc w:val="center"/>
              <w:rPr>
                <w:rFonts w:ascii="Times New Roman" w:hAnsi="Times New Roman" w:cs="Times New Roman"/>
              </w:rPr>
            </w:pPr>
            <w:r w:rsidRPr="000D44EC">
              <w:rPr>
                <w:rFonts w:ascii="Times New Roman" w:hAnsi="Times New Roman" w:cs="Times New Roman"/>
              </w:rPr>
              <w:t>5.237</w:t>
            </w:r>
          </w:p>
        </w:tc>
        <w:tc>
          <w:tcPr>
            <w:tcW w:w="442" w:type="pct"/>
            <w:tcBorders>
              <w:top w:val="single" w:sz="4" w:space="0" w:color="auto"/>
              <w:bottom w:val="single" w:sz="4" w:space="0" w:color="auto"/>
            </w:tcBorders>
            <w:noWrap/>
            <w:hideMark/>
          </w:tcPr>
          <w:p w14:paraId="135DBE7C" w14:textId="77777777"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0.000</w:t>
            </w:r>
          </w:p>
        </w:tc>
        <w:tc>
          <w:tcPr>
            <w:tcW w:w="389" w:type="pct"/>
            <w:tcBorders>
              <w:top w:val="single" w:sz="4" w:space="0" w:color="auto"/>
              <w:bottom w:val="single" w:sz="4" w:space="0" w:color="auto"/>
            </w:tcBorders>
          </w:tcPr>
          <w:p w14:paraId="2D1BC963" w14:textId="46556E95" w:rsidR="009A7D3D" w:rsidRPr="000D44EC" w:rsidRDefault="009A7D3D" w:rsidP="0076295C">
            <w:pPr>
              <w:spacing w:after="0"/>
              <w:contextualSpacing/>
              <w:jc w:val="center"/>
              <w:rPr>
                <w:rFonts w:ascii="Times New Roman" w:hAnsi="Times New Roman" w:cs="Times New Roman"/>
                <w:bCs/>
              </w:rPr>
            </w:pPr>
            <w:r w:rsidRPr="000D44EC">
              <w:rPr>
                <w:rFonts w:ascii="Times New Roman" w:eastAsia="Times New Roman" w:hAnsi="Times New Roman" w:cs="Times New Roman"/>
              </w:rPr>
              <w:t>0.074</w:t>
            </w:r>
          </w:p>
        </w:tc>
        <w:tc>
          <w:tcPr>
            <w:tcW w:w="678" w:type="pct"/>
            <w:tcBorders>
              <w:top w:val="single" w:sz="4" w:space="0" w:color="auto"/>
              <w:bottom w:val="single" w:sz="4" w:space="0" w:color="auto"/>
            </w:tcBorders>
          </w:tcPr>
          <w:p w14:paraId="19152564" w14:textId="3032EF87" w:rsidR="009A7D3D" w:rsidRPr="000D44EC" w:rsidRDefault="009A7D3D" w:rsidP="0076295C">
            <w:pPr>
              <w:spacing w:after="0"/>
              <w:contextualSpacing/>
              <w:jc w:val="center"/>
              <w:rPr>
                <w:rFonts w:ascii="Times New Roman" w:eastAsia="Times New Roman" w:hAnsi="Times New Roman" w:cs="Times New Roman"/>
              </w:rPr>
            </w:pPr>
            <w:r w:rsidRPr="000D44EC">
              <w:rPr>
                <w:rFonts w:ascii="Times New Roman" w:hAnsi="Times New Roman" w:cs="Times New Roman"/>
                <w:bCs/>
              </w:rPr>
              <w:t>H5</w:t>
            </w:r>
          </w:p>
        </w:tc>
        <w:tc>
          <w:tcPr>
            <w:tcW w:w="636" w:type="pct"/>
            <w:tcBorders>
              <w:top w:val="single" w:sz="4" w:space="0" w:color="auto"/>
              <w:bottom w:val="single" w:sz="4" w:space="0" w:color="auto"/>
            </w:tcBorders>
          </w:tcPr>
          <w:p w14:paraId="1FA39E00" w14:textId="54AD1ACD" w:rsidR="009A7D3D" w:rsidRPr="000D44EC" w:rsidRDefault="009A7D3D" w:rsidP="0076295C">
            <w:pPr>
              <w:spacing w:after="0"/>
              <w:contextualSpacing/>
              <w:jc w:val="center"/>
              <w:rPr>
                <w:rFonts w:ascii="Times New Roman" w:hAnsi="Times New Roman" w:cs="Times New Roman"/>
                <w:bCs/>
              </w:rPr>
            </w:pPr>
            <w:r w:rsidRPr="000D44EC">
              <w:rPr>
                <w:rFonts w:ascii="Times New Roman" w:hAnsi="Times New Roman" w:cs="Times New Roman"/>
                <w:bCs/>
              </w:rPr>
              <w:t>Yes</w:t>
            </w:r>
          </w:p>
        </w:tc>
      </w:tr>
      <w:tr w:rsidR="009A7D3D" w:rsidRPr="000D44EC" w14:paraId="40A6BAB8" w14:textId="77777777" w:rsidTr="00301246">
        <w:trPr>
          <w:trHeight w:val="227"/>
          <w:jc w:val="center"/>
        </w:trPr>
        <w:tc>
          <w:tcPr>
            <w:tcW w:w="5000" w:type="pct"/>
            <w:gridSpan w:val="7"/>
            <w:tcBorders>
              <w:top w:val="single" w:sz="4" w:space="0" w:color="auto"/>
              <w:left w:val="nil"/>
              <w:bottom w:val="nil"/>
              <w:right w:val="nil"/>
            </w:tcBorders>
            <w:noWrap/>
          </w:tcPr>
          <w:p w14:paraId="53ECDB52" w14:textId="58CB84E3" w:rsidR="009A7D3D" w:rsidRPr="000D44EC" w:rsidRDefault="009A7D3D" w:rsidP="003A3586">
            <w:pPr>
              <w:spacing w:after="0"/>
              <w:contextualSpacing/>
              <w:jc w:val="left"/>
              <w:rPr>
                <w:rFonts w:ascii="Times New Roman" w:hAnsi="Times New Roman" w:cs="Times New Roman"/>
                <w:bCs/>
                <w:sz w:val="18"/>
              </w:rPr>
            </w:pPr>
            <w:r w:rsidRPr="000D44EC">
              <w:rPr>
                <w:rFonts w:ascii="Times New Roman" w:hAnsi="Times New Roman" w:cs="Times New Roman"/>
                <w:bCs/>
                <w:i/>
                <w:sz w:val="18"/>
              </w:rPr>
              <w:t>Note</w:t>
            </w:r>
            <w:r w:rsidRPr="000D44EC">
              <w:rPr>
                <w:rFonts w:ascii="Times New Roman" w:hAnsi="Times New Roman" w:cs="Times New Roman"/>
                <w:bCs/>
                <w:sz w:val="18"/>
              </w:rPr>
              <w:t xml:space="preserve">: </w:t>
            </w:r>
            <w:r w:rsidRPr="000D44EC">
              <w:rPr>
                <w:rFonts w:ascii="Times New Roman" w:hAnsi="Times New Roman" w:cs="Times New Roman"/>
                <w:sz w:val="18"/>
              </w:rPr>
              <w:t xml:space="preserve">a. </w:t>
            </w:r>
            <w:r w:rsidRPr="000D44EC">
              <w:rPr>
                <w:rFonts w:ascii="Times New Roman" w:hAnsi="Times New Roman" w:cs="Times New Roman"/>
                <w:i/>
                <w:sz w:val="18"/>
              </w:rPr>
              <w:t>f</w:t>
            </w:r>
            <w:r w:rsidRPr="000D44EC">
              <w:rPr>
                <w:rFonts w:ascii="Times New Roman" w:hAnsi="Times New Roman" w:cs="Times New Roman"/>
                <w:sz w:val="18"/>
                <w:vertAlign w:val="superscript"/>
              </w:rPr>
              <w:t>2</w:t>
            </w:r>
            <w:r w:rsidRPr="000D44EC">
              <w:rPr>
                <w:rFonts w:ascii="Times New Roman" w:hAnsi="Times New Roman" w:cs="Times New Roman"/>
                <w:sz w:val="18"/>
              </w:rPr>
              <w:t xml:space="preserve"> = 0.013.</w:t>
            </w:r>
          </w:p>
        </w:tc>
      </w:tr>
    </w:tbl>
    <w:p w14:paraId="4C4ADC8E" w14:textId="77777777" w:rsidR="00E81BB2" w:rsidRDefault="00E81BB2" w:rsidP="00E81BB2">
      <w:pPr>
        <w:rPr>
          <w:rFonts w:ascii="Times New Roman" w:hAnsi="Times New Roman" w:cs="Times New Roman"/>
        </w:rPr>
      </w:pPr>
    </w:p>
    <w:p w14:paraId="3906933A" w14:textId="58A8D92B" w:rsidR="00E81BB2" w:rsidRPr="000D44EC" w:rsidRDefault="00E81BB2" w:rsidP="00E81BB2">
      <w:pPr>
        <w:rPr>
          <w:rFonts w:ascii="Times New Roman" w:hAnsi="Times New Roman" w:cs="Times New Roman"/>
        </w:rPr>
      </w:pPr>
      <w:r w:rsidRPr="000D44EC">
        <w:rPr>
          <w:rFonts w:ascii="Times New Roman" w:hAnsi="Times New Roman" w:cs="Times New Roman"/>
        </w:rPr>
        <w:t>Regarding GM</w:t>
      </w:r>
      <w:r w:rsidR="008D1024">
        <w:rPr>
          <w:rFonts w:ascii="Times New Roman" w:hAnsi="Times New Roman" w:cs="Times New Roman"/>
        </w:rPr>
        <w:t xml:space="preserve">, which </w:t>
      </w:r>
      <w:r w:rsidR="00BA090E">
        <w:rPr>
          <w:rFonts w:ascii="Times New Roman" w:hAnsi="Times New Roman" w:cs="Times New Roman"/>
        </w:rPr>
        <w:t xml:space="preserve">resulted </w:t>
      </w:r>
      <w:r w:rsidR="00AE7582">
        <w:rPr>
          <w:rFonts w:ascii="Times New Roman" w:hAnsi="Times New Roman" w:cs="Times New Roman"/>
        </w:rPr>
        <w:t xml:space="preserve">to be </w:t>
      </w:r>
      <w:r w:rsidR="00BA090E">
        <w:rPr>
          <w:rFonts w:ascii="Times New Roman" w:hAnsi="Times New Roman" w:cs="Times New Roman"/>
        </w:rPr>
        <w:t xml:space="preserve">positively influenced by </w:t>
      </w:r>
      <w:r w:rsidRPr="000D44EC">
        <w:rPr>
          <w:rFonts w:ascii="Times New Roman" w:hAnsi="Times New Roman" w:cs="Times New Roman"/>
        </w:rPr>
        <w:t xml:space="preserve">FC (β = 0.2, </w:t>
      </w:r>
      <w:r w:rsidRPr="000D44EC">
        <w:rPr>
          <w:rFonts w:ascii="Times New Roman" w:hAnsi="Times New Roman" w:cs="Times New Roman"/>
          <w:i/>
        </w:rPr>
        <w:t xml:space="preserve">p </w:t>
      </w:r>
      <w:r w:rsidRPr="000D44EC">
        <w:rPr>
          <w:rFonts w:ascii="Times New Roman" w:hAnsi="Times New Roman" w:cs="Times New Roman"/>
        </w:rPr>
        <w:t xml:space="preserve">&lt; 0.01), HB (β = 0.155, </w:t>
      </w:r>
      <w:r w:rsidRPr="000D44EC">
        <w:rPr>
          <w:rFonts w:ascii="Times New Roman" w:hAnsi="Times New Roman" w:cs="Times New Roman"/>
          <w:i/>
        </w:rPr>
        <w:t xml:space="preserve">p </w:t>
      </w:r>
      <w:r w:rsidRPr="000D44EC">
        <w:rPr>
          <w:rFonts w:ascii="Times New Roman" w:hAnsi="Times New Roman" w:cs="Times New Roman"/>
        </w:rPr>
        <w:t xml:space="preserve">&lt; 0.05), and HM (β = 0.387, </w:t>
      </w:r>
      <w:r w:rsidRPr="000D44EC">
        <w:rPr>
          <w:rFonts w:ascii="Times New Roman" w:hAnsi="Times New Roman" w:cs="Times New Roman"/>
          <w:i/>
        </w:rPr>
        <w:t xml:space="preserve">p </w:t>
      </w:r>
      <w:r w:rsidRPr="000D44EC">
        <w:rPr>
          <w:rFonts w:ascii="Times New Roman" w:hAnsi="Times New Roman" w:cs="Times New Roman"/>
        </w:rPr>
        <w:t xml:space="preserve">&lt; 0.001). SI </w:t>
      </w:r>
      <w:r w:rsidR="00DA15CB" w:rsidRPr="000D44EC">
        <w:rPr>
          <w:rFonts w:ascii="Times New Roman" w:hAnsi="Times New Roman" w:cs="Times New Roman"/>
        </w:rPr>
        <w:t xml:space="preserve">effect on GM </w:t>
      </w:r>
      <w:r w:rsidRPr="000D44EC">
        <w:rPr>
          <w:rFonts w:ascii="Times New Roman" w:hAnsi="Times New Roman" w:cs="Times New Roman"/>
        </w:rPr>
        <w:t xml:space="preserve">was insignificant, β = 0.039, </w:t>
      </w:r>
      <w:r w:rsidRPr="000D44EC">
        <w:rPr>
          <w:rFonts w:ascii="Times New Roman" w:hAnsi="Times New Roman" w:cs="Times New Roman"/>
          <w:i/>
        </w:rPr>
        <w:t xml:space="preserve">p </w:t>
      </w:r>
      <w:r w:rsidRPr="000D44EC">
        <w:rPr>
          <w:rFonts w:ascii="Times New Roman" w:hAnsi="Times New Roman" w:cs="Times New Roman"/>
        </w:rPr>
        <w:t xml:space="preserve">&gt; 0.10. </w:t>
      </w:r>
      <w:r w:rsidR="00DC159C" w:rsidRPr="000D44EC">
        <w:rPr>
          <w:rFonts w:ascii="Times New Roman" w:hAnsi="Times New Roman" w:cs="Times New Roman"/>
        </w:rPr>
        <w:t>T</w:t>
      </w:r>
      <w:r w:rsidRPr="000D44EC">
        <w:rPr>
          <w:rFonts w:ascii="Times New Roman" w:hAnsi="Times New Roman" w:cs="Times New Roman"/>
        </w:rPr>
        <w:t xml:space="preserve">he effect of UB over IR was </w:t>
      </w:r>
      <w:r w:rsidR="00DA15CB" w:rsidRPr="000D44EC">
        <w:rPr>
          <w:rFonts w:ascii="Times New Roman" w:hAnsi="Times New Roman" w:cs="Times New Roman"/>
        </w:rPr>
        <w:t>positive</w:t>
      </w:r>
      <w:r w:rsidR="00BA090E">
        <w:rPr>
          <w:rFonts w:ascii="Times New Roman" w:hAnsi="Times New Roman" w:cs="Times New Roman"/>
        </w:rPr>
        <w:t xml:space="preserve">ly </w:t>
      </w:r>
      <w:r w:rsidRPr="000D44EC">
        <w:rPr>
          <w:rFonts w:ascii="Times New Roman" w:hAnsi="Times New Roman" w:cs="Times New Roman"/>
        </w:rPr>
        <w:t xml:space="preserve">significant, β = 0.272, </w:t>
      </w:r>
      <w:r w:rsidRPr="000D44EC">
        <w:rPr>
          <w:rFonts w:ascii="Times New Roman" w:hAnsi="Times New Roman" w:cs="Times New Roman"/>
          <w:i/>
        </w:rPr>
        <w:t xml:space="preserve">p </w:t>
      </w:r>
      <w:r w:rsidRPr="000D44EC">
        <w:rPr>
          <w:rFonts w:ascii="Times New Roman" w:hAnsi="Times New Roman" w:cs="Times New Roman"/>
        </w:rPr>
        <w:t xml:space="preserve">&lt; 0.001. </w:t>
      </w:r>
      <w:r w:rsidR="00BA090E">
        <w:rPr>
          <w:rFonts w:ascii="Times New Roman" w:hAnsi="Times New Roman" w:cs="Times New Roman"/>
        </w:rPr>
        <w:t>Therefore</w:t>
      </w:r>
      <w:r w:rsidRPr="000D44EC">
        <w:rPr>
          <w:rFonts w:ascii="Times New Roman" w:hAnsi="Times New Roman" w:cs="Times New Roman"/>
        </w:rPr>
        <w:t>, H3b, H3c, H3d and H5 were supported.</w:t>
      </w:r>
    </w:p>
    <w:p w14:paraId="72E31EF4" w14:textId="043FAAB2" w:rsidR="007463C7" w:rsidRPr="000D44EC" w:rsidRDefault="007463C7" w:rsidP="009A62E6">
      <w:pPr>
        <w:pStyle w:val="Nadpis1"/>
        <w:rPr>
          <w:rFonts w:cs="Times New Roman"/>
        </w:rPr>
      </w:pPr>
      <w:r w:rsidRPr="000D44EC">
        <w:rPr>
          <w:rFonts w:cs="Times New Roman"/>
        </w:rPr>
        <w:t>Discussion</w:t>
      </w:r>
      <w:r w:rsidR="002D38CE" w:rsidRPr="000D44EC">
        <w:rPr>
          <w:rFonts w:cs="Times New Roman"/>
        </w:rPr>
        <w:t>s</w:t>
      </w:r>
    </w:p>
    <w:p w14:paraId="3CB03D00" w14:textId="0DB1288F" w:rsidR="00A177A1" w:rsidRPr="000D44EC" w:rsidRDefault="00BA090E" w:rsidP="004622C5">
      <w:pPr>
        <w:rPr>
          <w:rFonts w:ascii="Times New Roman" w:hAnsi="Times New Roman" w:cs="Times New Roman"/>
        </w:rPr>
      </w:pPr>
      <w:r>
        <w:rPr>
          <w:rFonts w:ascii="Times New Roman" w:hAnsi="Times New Roman" w:cs="Times New Roman"/>
        </w:rPr>
        <w:t>Integrating the extended</w:t>
      </w:r>
      <w:r w:rsidR="004622C5" w:rsidRPr="000D44EC">
        <w:rPr>
          <w:rFonts w:ascii="Times New Roman" w:hAnsi="Times New Roman" w:cs="Times New Roman"/>
        </w:rPr>
        <w:t xml:space="preserve"> UTAUT2 model </w:t>
      </w:r>
      <w:r w:rsidR="004622C5"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quarterly","id":"ITEM-1","issued":{"date-parts":[["2012"]]},"page":"157-178","title":"Consumer acceptance and use of information technology: Extending the unified theory of acceptance and use of technology","type":"article-journal","volume":"36"},"uris":["http://www.mendeley.com/documents/?uuid=47aaf082-83a2-46f0-b062-9c6987a306c3"]}],"mendeley":{"formattedCitation":"(Venkatesh et al., 2012)","plainTextFormattedCitation":"(Venkatesh et al., 2012)","previouslyFormattedCitation":"(Venkatesh et al., 2012)"},"properties":{"noteIndex":0},"schema":"https://github.com/citation-style-language/schema/raw/master/csl-citation.json"}</w:instrText>
      </w:r>
      <w:r w:rsidR="004622C5" w:rsidRPr="000D44EC">
        <w:rPr>
          <w:rFonts w:ascii="Times New Roman" w:hAnsi="Times New Roman" w:cs="Times New Roman"/>
        </w:rPr>
        <w:fldChar w:fldCharType="separate"/>
      </w:r>
      <w:r w:rsidR="0056686A" w:rsidRPr="0056686A">
        <w:rPr>
          <w:rFonts w:ascii="Times New Roman" w:hAnsi="Times New Roman" w:cs="Times New Roman"/>
          <w:noProof/>
        </w:rPr>
        <w:t>(Venkatesh et al., 2012)</w:t>
      </w:r>
      <w:r w:rsidR="004622C5" w:rsidRPr="000D44EC">
        <w:rPr>
          <w:rFonts w:ascii="Times New Roman" w:hAnsi="Times New Roman" w:cs="Times New Roman"/>
        </w:rPr>
        <w:fldChar w:fldCharType="end"/>
      </w:r>
      <w:r w:rsidR="004622C5" w:rsidRPr="000D44EC">
        <w:rPr>
          <w:rFonts w:ascii="Times New Roman" w:hAnsi="Times New Roman" w:cs="Times New Roman"/>
        </w:rPr>
        <w:t xml:space="preserve">, gamification </w:t>
      </w:r>
      <w:r w:rsidR="00C7758E"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{"citationItems":[{"id":"ITEM-1","itemData":{"DOI":"10.1145/1979742.1979575","ISBN":"9781450302685","abstract":"\"Gamification\" is an informal umbrella term for the use of video game elements in non-gaming systems to improve user experience (UX) and user engagement. The recent introduction of 'gamified' applications to large audiences promises new additions to the existing rich and diverse research on the heuristics, design patterns and dynamics of games and the positive UX they provide. However, what is lacking for a next step forward is the integration of this precise diversity of research endeavors. Therefore, this workshop brings together practitioners and researchers to develop a shared understanding of existing approaches and findings around the gamification of information systems, and identify key synergies, opportunities, and questions for future research.","author":[{"dropping-particle":"","family":"Deterding","given":"Sebastian","non-dropping-particle":"","parse-names":false,"suffix":""},{"dropping-particle":"","family":"Sicart","given":"Miguel","non-dropping-particle":"","parse-names":false,"suffix":""},{"dropping-particle":"","family":"Nacke","given":"Lennart","non-dropping-particle":"","parse-names":false,"suffix":""},{"dropping-particle":"","family":"O'Hara","given":"Kenton","non-dropping-particle":"","parse-names":false,"suffix":""},{"dropping-particle":"","family":"Dixon","given":"Dan","non-dropping-particle":"","parse-names":false,"suffix":""}],"container-title":"Proceedings of the 2011 annual conference extended abstracts on Human factors in computing systems - CHI EA '11","id":"ITEM-1","issued":{"date-parts":[["2011"]]},"title":"Gamification. using game-design elements in non-gaming contexts","type":"paper-conference"},"uris":["http://www.mendeley.com/documents/?uuid=ce532b70-52e2-49d1-b4bf-f362e4a01e03","http://www.mendeley.com/documents/?uuid=5a61853a-33b8-3bb4-95e3-bf1fdd27aa57"]}],"mendeley":{"formattedCitation":"(Deterding, Sicart, Nacke, O’Hara, &amp; Dixon, 2011)","plainTextFormattedCitation":"(Deterding, Sicart, Nacke, O’Hara, &amp; Dixon, 2011)","previouslyFormattedCitation":"(Deterding, Sicart, Nacke, O’Hara, &amp; Dixon, 2011)"},"properties":{"noteIndex":0},"schema":"https://github.com/citation-style-language/schema/raw/master/csl-citation.json"}</w:instrText>
      </w:r>
      <w:r w:rsidR="00C7758E" w:rsidRPr="000D44EC">
        <w:rPr>
          <w:rFonts w:ascii="Times New Roman" w:hAnsi="Times New Roman" w:cs="Times New Roman"/>
        </w:rPr>
        <w:fldChar w:fldCharType="separate"/>
      </w:r>
      <w:r w:rsidR="0056686A" w:rsidRPr="0056686A">
        <w:rPr>
          <w:rFonts w:ascii="Times New Roman" w:hAnsi="Times New Roman" w:cs="Times New Roman"/>
          <w:noProof/>
        </w:rPr>
        <w:t>(Deterding, Sicart, Nacke, O’Hara, &amp; Dixon, 2011)</w:t>
      </w:r>
      <w:r w:rsidR="00C7758E" w:rsidRPr="000D44EC">
        <w:rPr>
          <w:rFonts w:ascii="Times New Roman" w:hAnsi="Times New Roman" w:cs="Times New Roman"/>
        </w:rPr>
        <w:fldChar w:fldCharType="end"/>
      </w:r>
      <w:r w:rsidR="004622C5" w:rsidRPr="000D44EC">
        <w:rPr>
          <w:rFonts w:ascii="Times New Roman" w:hAnsi="Times New Roman" w:cs="Times New Roman"/>
        </w:rPr>
        <w:t xml:space="preserve"> and generational cohort theory </w:t>
      </w:r>
      <w:r w:rsidR="004622C5" w:rsidRPr="000D44EC">
        <w:rPr>
          <w:rFonts w:ascii="Times New Roman" w:hAnsi="Times New Roman" w:cs="Times New Roman"/>
        </w:rPr>
        <w:fldChar w:fldCharType="begin" w:fldLock="1"/>
      </w:r>
      <w:r w:rsidR="0056686A">
        <w:rPr>
          <w:rFonts w:ascii="Times New Roman" w:hAnsi="Times New Roman" w:cs="Times New Roman"/>
        </w:rPr>
        <w:instrText>ADDIN CSL_CITATION {"citationItems":[{"id":"ITEM-1","itemData":{"ISBN":"9780691613796","abstract":"This book contends that beneath the frenzied activism of the sixties and the seeming quiescence of the seventies, a \"\"silent revolution\"\" has been occurring that is gradually but fundamentally changing political life throughout the Western world. Ronald Inglehart focuses on two aspects of this revolution: a shift from an overwhelming emphasis on material values and physical security toward greater concern with the quality of life; and an increase in the political skills of Western publics that enables them to play a greater role in making important political decisions. Originally published i. Cover; Contents; Part I: Introduction; 1 Changing Values and Skills Among Western Publics: An Overview.","author":[{"dropping-particle":"","family":"Inglehart","given":"Ronald","non-dropping-particle":"","parse-names":false,"suffix":""}],"id":"ITEM-1","issued":{"date-parts":[["2015"]]},"number-of-pages":"496","publisher":"Princeton University Press","publisher-place":"Princeton","title":"The silent revolution: changing values and political styles among Western publics","type":"book"},"uris":["http://www.mendeley.com/documents/?uuid=1defebdc-5a98-48e2-9871-2e94915bcd86","http://www.mendeley.com/documents/?uuid=6e29cd02-4d9e-3165-9361-e23b378a54e2"]}],"mendeley":{"formattedCitation":"(Inglehart, 2015)","plainTextFormattedCitation":"(Inglehart, 2015)","previouslyFormattedCitation":"(Inglehart, 2015)"},"properties":{"noteIndex":0},"schema":"https://github.com/citation-style-language/schema/raw/master/csl-citation.json"}</w:instrText>
      </w:r>
      <w:r w:rsidR="004622C5" w:rsidRPr="000D44EC">
        <w:rPr>
          <w:rFonts w:ascii="Times New Roman" w:hAnsi="Times New Roman" w:cs="Times New Roman"/>
        </w:rPr>
        <w:fldChar w:fldCharType="separate"/>
      </w:r>
      <w:r w:rsidR="004622C5" w:rsidRPr="000D44EC">
        <w:rPr>
          <w:rFonts w:ascii="Times New Roman" w:hAnsi="Times New Roman" w:cs="Times New Roman"/>
          <w:noProof/>
        </w:rPr>
        <w:t>(Inglehart, 2015)</w:t>
      </w:r>
      <w:r w:rsidR="004622C5" w:rsidRPr="000D44EC">
        <w:rPr>
          <w:rFonts w:ascii="Times New Roman" w:hAnsi="Times New Roman" w:cs="Times New Roman"/>
        </w:rPr>
        <w:fldChar w:fldCharType="end"/>
      </w:r>
      <w:r w:rsidR="004622C5" w:rsidRPr="000D44EC">
        <w:rPr>
          <w:rFonts w:ascii="Times New Roman" w:hAnsi="Times New Roman" w:cs="Times New Roman"/>
        </w:rPr>
        <w:t>, the current</w:t>
      </w:r>
      <w:r w:rsidR="00116FBA">
        <w:rPr>
          <w:rFonts w:ascii="Times New Roman" w:hAnsi="Times New Roman" w:cs="Times New Roman"/>
        </w:rPr>
        <w:t xml:space="preserve"> study investigate</w:t>
      </w:r>
      <w:r>
        <w:rPr>
          <w:rFonts w:ascii="Times New Roman" w:hAnsi="Times New Roman" w:cs="Times New Roman"/>
        </w:rPr>
        <w:t xml:space="preserve"> the factors which impact on m-banking usage </w:t>
      </w:r>
      <w:r w:rsidR="00116FBA">
        <w:rPr>
          <w:rFonts w:ascii="Times New Roman" w:hAnsi="Times New Roman" w:cs="Times New Roman"/>
        </w:rPr>
        <w:t xml:space="preserve">and its focus consists on Albanians </w:t>
      </w:r>
      <w:r w:rsidR="00A177A1" w:rsidRPr="000D44EC">
        <w:rPr>
          <w:rFonts w:ascii="Times New Roman" w:hAnsi="Times New Roman" w:cs="Times New Roman"/>
        </w:rPr>
        <w:t xml:space="preserve">intention to use </w:t>
      </w:r>
      <w:r w:rsidR="003418EE">
        <w:rPr>
          <w:rFonts w:ascii="Times New Roman" w:hAnsi="Times New Roman" w:cs="Times New Roman"/>
        </w:rPr>
        <w:t>m-banking</w:t>
      </w:r>
      <w:r w:rsidR="00A177A1" w:rsidRPr="000D44EC">
        <w:rPr>
          <w:rFonts w:ascii="Times New Roman" w:hAnsi="Times New Roman" w:cs="Times New Roman"/>
        </w:rPr>
        <w:t xml:space="preserve">. Moreover, </w:t>
      </w:r>
      <w:r w:rsidR="00116FBA">
        <w:rPr>
          <w:rFonts w:ascii="Times New Roman" w:hAnsi="Times New Roman" w:cs="Times New Roman"/>
        </w:rPr>
        <w:t>t</w:t>
      </w:r>
      <w:r w:rsidR="00A177A1" w:rsidRPr="000D44EC">
        <w:rPr>
          <w:rFonts w:ascii="Times New Roman" w:hAnsi="Times New Roman" w:cs="Times New Roman"/>
        </w:rPr>
        <w:t xml:space="preserve">he determinants of UB and </w:t>
      </w:r>
      <w:r w:rsidR="0033175F" w:rsidRPr="000D44EC">
        <w:rPr>
          <w:rFonts w:ascii="Times New Roman" w:hAnsi="Times New Roman" w:cs="Times New Roman"/>
        </w:rPr>
        <w:t>its</w:t>
      </w:r>
      <w:r w:rsidR="00A177A1" w:rsidRPr="000D44EC">
        <w:rPr>
          <w:rFonts w:ascii="Times New Roman" w:hAnsi="Times New Roman" w:cs="Times New Roman"/>
        </w:rPr>
        <w:t xml:space="preserve"> effect </w:t>
      </w:r>
      <w:r w:rsidR="00116FBA">
        <w:rPr>
          <w:rFonts w:ascii="Times New Roman" w:hAnsi="Times New Roman" w:cs="Times New Roman"/>
        </w:rPr>
        <w:t>on</w:t>
      </w:r>
      <w:r w:rsidR="00A177A1" w:rsidRPr="000D44EC">
        <w:rPr>
          <w:rFonts w:ascii="Times New Roman" w:hAnsi="Times New Roman" w:cs="Times New Roman"/>
        </w:rPr>
        <w:t xml:space="preserve"> IR</w:t>
      </w:r>
      <w:r w:rsidR="00116FBA">
        <w:rPr>
          <w:rFonts w:ascii="Times New Roman" w:hAnsi="Times New Roman" w:cs="Times New Roman"/>
        </w:rPr>
        <w:t xml:space="preserve"> </w:t>
      </w:r>
      <w:r w:rsidR="00C25958">
        <w:rPr>
          <w:rFonts w:ascii="Times New Roman" w:hAnsi="Times New Roman" w:cs="Times New Roman"/>
        </w:rPr>
        <w:t xml:space="preserve">were </w:t>
      </w:r>
      <w:r w:rsidR="00116FBA">
        <w:rPr>
          <w:rFonts w:ascii="Times New Roman" w:hAnsi="Times New Roman" w:cs="Times New Roman"/>
        </w:rPr>
        <w:t>examined</w:t>
      </w:r>
      <w:r w:rsidR="00A177A1" w:rsidRPr="000D44EC">
        <w:rPr>
          <w:rFonts w:ascii="Times New Roman" w:hAnsi="Times New Roman" w:cs="Times New Roman"/>
        </w:rPr>
        <w:t>.</w:t>
      </w:r>
      <w:r w:rsidR="004622C5" w:rsidRPr="000D44EC">
        <w:rPr>
          <w:rFonts w:ascii="Times New Roman" w:hAnsi="Times New Roman" w:cs="Times New Roman"/>
        </w:rPr>
        <w:t xml:space="preserve"> </w:t>
      </w:r>
      <w:r w:rsidR="00797F23" w:rsidRPr="000D44EC">
        <w:rPr>
          <w:rFonts w:ascii="Times New Roman" w:hAnsi="Times New Roman" w:cs="Times New Roman"/>
        </w:rPr>
        <w:t>Additionally, th</w:t>
      </w:r>
      <w:r w:rsidR="00116FBA">
        <w:rPr>
          <w:rFonts w:ascii="Times New Roman" w:hAnsi="Times New Roman" w:cs="Times New Roman"/>
        </w:rPr>
        <w:t>e novelty of th</w:t>
      </w:r>
      <w:r w:rsidR="00797F23" w:rsidRPr="000D44EC">
        <w:rPr>
          <w:rFonts w:ascii="Times New Roman" w:hAnsi="Times New Roman" w:cs="Times New Roman"/>
        </w:rPr>
        <w:t xml:space="preserve">is study </w:t>
      </w:r>
      <w:r w:rsidR="00116FBA">
        <w:rPr>
          <w:rFonts w:ascii="Times New Roman" w:hAnsi="Times New Roman" w:cs="Times New Roman"/>
        </w:rPr>
        <w:t xml:space="preserve">consists on </w:t>
      </w:r>
      <w:r w:rsidR="004622C5" w:rsidRPr="000D44EC">
        <w:rPr>
          <w:rFonts w:ascii="Times New Roman" w:hAnsi="Times New Roman" w:cs="Times New Roman"/>
        </w:rPr>
        <w:t>the moderating</w:t>
      </w:r>
      <w:r w:rsidR="00797F23" w:rsidRPr="000D44EC">
        <w:rPr>
          <w:rFonts w:ascii="Times New Roman" w:hAnsi="Times New Roman" w:cs="Times New Roman"/>
        </w:rPr>
        <w:t xml:space="preserve"> effect </w:t>
      </w:r>
      <w:r w:rsidR="00116FBA">
        <w:rPr>
          <w:rFonts w:ascii="Times New Roman" w:hAnsi="Times New Roman" w:cs="Times New Roman"/>
        </w:rPr>
        <w:t xml:space="preserve">of </w:t>
      </w:r>
      <w:r w:rsidR="00797F23" w:rsidRPr="000D44EC">
        <w:rPr>
          <w:rFonts w:ascii="Times New Roman" w:hAnsi="Times New Roman" w:cs="Times New Roman"/>
        </w:rPr>
        <w:t xml:space="preserve">generational cohorts </w:t>
      </w:r>
      <w:r w:rsidR="00116FBA">
        <w:rPr>
          <w:rFonts w:ascii="Times New Roman" w:hAnsi="Times New Roman" w:cs="Times New Roman"/>
        </w:rPr>
        <w:t>in</w:t>
      </w:r>
      <w:r w:rsidR="00797F23" w:rsidRPr="000D44EC">
        <w:rPr>
          <w:rFonts w:ascii="Times New Roman" w:hAnsi="Times New Roman" w:cs="Times New Roman"/>
        </w:rPr>
        <w:t>to</w:t>
      </w:r>
      <w:r w:rsidR="00116FBA">
        <w:rPr>
          <w:rFonts w:ascii="Times New Roman" w:hAnsi="Times New Roman" w:cs="Times New Roman"/>
        </w:rPr>
        <w:t xml:space="preserve"> the relationship between BI and GM</w:t>
      </w:r>
      <w:r w:rsidR="00797F23" w:rsidRPr="000D44EC">
        <w:rPr>
          <w:rFonts w:ascii="Times New Roman" w:hAnsi="Times New Roman" w:cs="Times New Roman"/>
        </w:rPr>
        <w:t>.</w:t>
      </w:r>
    </w:p>
    <w:p w14:paraId="2551CEAB" w14:textId="317C7574" w:rsidR="001447C2" w:rsidRPr="000D44EC" w:rsidRDefault="0033175F" w:rsidP="00FC49CF">
      <w:pPr>
        <w:rPr>
          <w:rStyle w:val="Hypertextovodkaz"/>
          <w:rFonts w:ascii="Times New Roman" w:hAnsi="Times New Roman" w:cs="Times New Roman"/>
          <w:color w:val="auto"/>
          <w:u w:val="none"/>
        </w:rPr>
      </w:pPr>
      <w:r w:rsidRPr="000D44EC">
        <w:rPr>
          <w:rFonts w:ascii="Times New Roman" w:hAnsi="Times New Roman" w:cs="Times New Roman"/>
        </w:rPr>
        <w:t>Th</w:t>
      </w:r>
      <w:r w:rsidR="00116FBA">
        <w:rPr>
          <w:rFonts w:ascii="Times New Roman" w:hAnsi="Times New Roman" w:cs="Times New Roman"/>
        </w:rPr>
        <w:t>e results of thi</w:t>
      </w:r>
      <w:r w:rsidRPr="000D44EC">
        <w:rPr>
          <w:rFonts w:ascii="Times New Roman" w:hAnsi="Times New Roman" w:cs="Times New Roman"/>
        </w:rPr>
        <w:t xml:space="preserve">s study </w:t>
      </w:r>
      <w:r w:rsidR="00116FBA">
        <w:rPr>
          <w:rFonts w:ascii="Times New Roman" w:hAnsi="Times New Roman" w:cs="Times New Roman"/>
        </w:rPr>
        <w:t xml:space="preserve">reveal </w:t>
      </w:r>
      <w:r w:rsidR="00AF5D18">
        <w:rPr>
          <w:rFonts w:ascii="Times New Roman" w:hAnsi="Times New Roman" w:cs="Times New Roman"/>
        </w:rPr>
        <w:t>that BI</w:t>
      </w:r>
      <w:r w:rsidRPr="000D44EC">
        <w:rPr>
          <w:rFonts w:ascii="Times New Roman" w:hAnsi="Times New Roman" w:cs="Times New Roman"/>
        </w:rPr>
        <w:t xml:space="preserve"> determinants are </w:t>
      </w:r>
      <w:r w:rsidR="00A200A1" w:rsidRPr="000D44EC">
        <w:rPr>
          <w:rFonts w:ascii="Times New Roman" w:hAnsi="Times New Roman" w:cs="Times New Roman"/>
        </w:rPr>
        <w:t>PE, FC, HB and HM.</w:t>
      </w:r>
      <w:r w:rsidR="00F56379" w:rsidRPr="000D44EC">
        <w:rPr>
          <w:rFonts w:ascii="Times New Roman" w:hAnsi="Times New Roman" w:cs="Times New Roman"/>
        </w:rPr>
        <w:t xml:space="preserve"> </w:t>
      </w:r>
      <w:r w:rsidR="00580DE0" w:rsidRPr="000D44EC">
        <w:rPr>
          <w:rFonts w:ascii="Times New Roman" w:hAnsi="Times New Roman" w:cs="Times New Roman"/>
        </w:rPr>
        <w:t>Th</w:t>
      </w:r>
      <w:r w:rsidR="00116FBA">
        <w:rPr>
          <w:rFonts w:ascii="Times New Roman" w:hAnsi="Times New Roman" w:cs="Times New Roman"/>
        </w:rPr>
        <w:t xml:space="preserve">e results are in the same line </w:t>
      </w:r>
      <w:r w:rsidR="00580DE0" w:rsidRPr="000D44EC">
        <w:rPr>
          <w:rFonts w:ascii="Times New Roman" w:hAnsi="Times New Roman" w:cs="Times New Roman"/>
        </w:rPr>
        <w:t xml:space="preserve">with previous research conducted </w:t>
      </w:r>
      <w:r w:rsidR="00580DE0" w:rsidRPr="000D44EC">
        <w:rPr>
          <w:rFonts w:ascii="Times New Roman" w:hAnsi="Times New Roman" w:cs="Times New Roman"/>
        </w:rPr>
        <w:fldChar w:fldCharType="begin" w:fldLock="1"/>
      </w:r>
      <w:r w:rsidR="0057408D">
        <w:rPr>
          <w:rFonts w:ascii="Times New Roman" w:hAnsi="Times New Roman" w:cs="Times New Roman"/>
        </w:rPr>
        <w:instrText>ADDIN CSL_CITATION {"citationItems":[{"id":"ITEM-1","itemData":{"DOI":"10.3923/jeasci.2018.2023.2033","abstract":"The aim of this study was to examine the determinants likely to affect the intention of using mobile banking services among suburbans in the North of Jordan. The proposed research model was based on the Unified Theory of Acceptance and Use of Technolgy 2 (UTAUT2) with additional determinants of the mass media and trust in the original UTAUT2 Model. SPSS Version 22 was selected to analyse the data collected by surveying 579 respondents from the three main cities in the Northern part of Jordan (Irbid, Jerash and Ajloun) using the convenience sampling technique. This study empirically presents the fact that the intention to use mobile banking was positively and significantly influenced by the mass media, trust, effort expectancy, performance expectancy, facilitating conditions, social influence and hedonic motivation. There are several factors that efficiently affect the intention to use mobile banking. Previous studies investigated the relationship between these determinants and the adoption of mobile banking services. However, none has focused on the mass media impact of the intention to use mobile banking services. In the current study, the factor of mass media influences on the usage of mobile banking in Jordan where it is found to be the vital contribution of the study.","author":[{"dropping-particle":"","family":"Gharaibeh","given":"Malik Khlaif","non-dropping-particle":"","parse-names":false,"suffix":""},{"dropping-particle":"","family":"Mohd Arshad","given":"Muhammad Rafie","non-dropping-particle":"","parse-names":false,"suffix":""}],"container-title":"Journal of Engineering and Applied Sciences","id":"ITEM-1","issue":"8","issued":{"date-parts":[["2018"]]},"page":"2023-2033","publisher":"Medwell Journals","title":"Determinants of intention to use mobile banking in the North of Jordan: Extending UTAUT2 with mass media and trust","type":"article-journal","volume":"13"},"uris":["http://www.mendeley.com/documents/?uuid=5dc4126b-07f9-4ddd-8de4-ee4f8689fce0","http://www.mendeley.com/documents/?uuid=d370bf7e-674f-36e9-8c7c-9e257dfc11d6"]},{"id":"ITEM-2","itemData":{"DOI":"10.1108/YC-07-2015-00537","abstract":"Purpose: The purpose of this paper was to examine the intention to adopt mobile banking services among Generation Y consumers using the unified theory of acceptance and use of technology Unified Theory of Acceptance and Use of Technology (UTAUT) model. Design/methodology/approach: The paper investigated responses from a particular sub-group of Generation Y consumers that is college or university students. The final sample collected was 347 cases, representing a response rate of 90.4 per cent. Two sets of analyses were performed: multiple regression analyses testing the extended UTAUT model and a mediated regression analysis testing the intervening effect of performance expectancy (PE) on the relationship between effort expectancy (EE) and behavioural intention. Findings: Multiple regression analysis revealed PE as the strongest predictor, followed by EE, perceived risk and social influence. The prediction model explained 68.3 per cent of the variance in intention to adopt mobile banking. Mediation analysis supported a partial mediation effect of PE on the relationship between EE and intention to adopt mobile banking. Research limitations/implications: This study examined respondents’ intention to adopt mobile banking instead of their actual behaviour. Understanding behavioural intention is essential, but it may not accurately represent actual behaviour. In addition, results from this study may not be generalisable to the whole population of Generation Y college or university students due to selection bias and a lack of information concerning the sampling frame. Practical implications: This research identifies the factors that affect the intention to adopt mobile banking among the Generation Y college or university students. Bank operators can use the findings to improve their marketing strategies and services offered to make them more attractive and competitive to students to speed up the mobile banking adoption rate. Originality/value: This study is one of the few local studies that introduce a practical model of extended UTAUT by including perceived risk to understand the mobile banking adoption intention among millennial generation.","author":[{"dropping-particle":"","family":"Tan","given":"Evon","non-dropping-particle":"","parse-names":false,"suffix":""},{"dropping-particle":"","family":"Leby Lau","given":"Jasmine","non-dropping-particle":"","parse-names":false,"suffix":""}],"container-title":"Young Consumers","id":"ITEM-2","issue":"1","issued":{"date-parts":[["2016","4"]]},"page":"18-31","title":"Behavioural intention to adopt mobile banking among the millennial generation","type":"article-journal","volume":"17"},"uris":["http://www.mendeley.com/documents/?uuid=a8c3e972-5bdd-4857-b591-bbdf0ac6a409"]},{"id":"ITEM-3","itemData":{"abstract":"This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quarterly","id":"ITEM-3","issued":{"date-parts":[["2012"]]},"page":"157-178","title":"Consumer acceptance and use of information technology: Extending the unified theory of acceptance and use of technology","type":"article-journal","volume":"36"},"uris":["http://www.mendeley.com/documents/?uuid=47aaf082-83a2-46f0-b062-9c6987a306c3"]}],"mendeley":{"formattedCitation":"(Gharaibeh &amp; Mohd Arshad, 2018; E. Tan &amp; Leby Lau, 2016; Venkatesh et al., 2012)","plainTextFormattedCitation":"(Gharaibeh &amp; Mohd Arshad, 2018; E. Tan &amp; Leby Lau, 2016; Venkatesh et al., 2012)","previouslyFormattedCitation":"(Gharaibeh &amp; Mohd Arshad, 2018; E. Tan &amp; Leby Lau, 2016; Venkatesh et al., 2012)"},"properties":{"noteIndex":0},"schema":"https://github.com/citation-style-language/schema/raw/master/csl-citation.json"}</w:instrText>
      </w:r>
      <w:r w:rsidR="00580DE0" w:rsidRPr="000D44EC">
        <w:rPr>
          <w:rFonts w:ascii="Times New Roman" w:hAnsi="Times New Roman" w:cs="Times New Roman"/>
        </w:rPr>
        <w:fldChar w:fldCharType="separate"/>
      </w:r>
      <w:r w:rsidR="0098666F" w:rsidRPr="0098666F">
        <w:rPr>
          <w:rFonts w:ascii="Times New Roman" w:hAnsi="Times New Roman" w:cs="Times New Roman"/>
          <w:noProof/>
        </w:rPr>
        <w:t>(Gharaibeh &amp; Mohd Arshad, 2018; E. Tan &amp; Leby Lau, 2016; Venkatesh et al., 2012)</w:t>
      </w:r>
      <w:r w:rsidR="00580DE0" w:rsidRPr="000D44EC">
        <w:rPr>
          <w:rFonts w:ascii="Times New Roman" w:hAnsi="Times New Roman" w:cs="Times New Roman"/>
        </w:rPr>
        <w:fldChar w:fldCharType="end"/>
      </w:r>
      <w:r w:rsidR="00580DE0" w:rsidRPr="000D44EC">
        <w:rPr>
          <w:rFonts w:ascii="Times New Roman" w:hAnsi="Times New Roman" w:cs="Times New Roman"/>
        </w:rPr>
        <w:t xml:space="preserve">. </w:t>
      </w:r>
      <w:r w:rsidR="00FC49CF">
        <w:rPr>
          <w:rFonts w:ascii="Times New Roman" w:hAnsi="Times New Roman" w:cs="Times New Roman"/>
        </w:rPr>
        <w:t>Indicating that creating an efficient, simply, enjoyable mobile app impact on the intention to use the mobile app to perform financial transactions.</w:t>
      </w:r>
      <w:r w:rsidR="00740E89">
        <w:rPr>
          <w:rFonts w:ascii="Times New Roman" w:hAnsi="Times New Roman" w:cs="Times New Roman"/>
        </w:rPr>
        <w:t xml:space="preserve"> </w:t>
      </w:r>
      <w:r w:rsidR="00F56379" w:rsidRPr="000D44EC">
        <w:rPr>
          <w:rFonts w:ascii="Times New Roman" w:hAnsi="Times New Roman" w:cs="Times New Roman"/>
        </w:rPr>
        <w:t>Regarding</w:t>
      </w:r>
      <w:r w:rsidR="00AD32BB" w:rsidRPr="000D44EC">
        <w:rPr>
          <w:rFonts w:ascii="Times New Roman" w:hAnsi="Times New Roman" w:cs="Times New Roman"/>
        </w:rPr>
        <w:t xml:space="preserve"> the</w:t>
      </w:r>
      <w:r w:rsidR="00F56379" w:rsidRPr="000D44EC">
        <w:rPr>
          <w:rFonts w:ascii="Times New Roman" w:hAnsi="Times New Roman" w:cs="Times New Roman"/>
        </w:rPr>
        <w:t xml:space="preserve"> </w:t>
      </w:r>
      <w:r w:rsidR="00AD32BB" w:rsidRPr="000D44EC">
        <w:rPr>
          <w:rFonts w:ascii="Times New Roman" w:hAnsi="Times New Roman" w:cs="Times New Roman"/>
        </w:rPr>
        <w:t xml:space="preserve">influence </w:t>
      </w:r>
      <w:r w:rsidR="00F56379" w:rsidRPr="000D44EC">
        <w:rPr>
          <w:rFonts w:ascii="Times New Roman" w:hAnsi="Times New Roman" w:cs="Times New Roman"/>
        </w:rPr>
        <w:t xml:space="preserve">FC on BI, </w:t>
      </w:r>
      <w:r w:rsidR="00116FBA">
        <w:rPr>
          <w:rFonts w:ascii="Times New Roman" w:hAnsi="Times New Roman" w:cs="Times New Roman"/>
        </w:rPr>
        <w:t>the results dissimilarities’ with the previous research has been identified</w:t>
      </w:r>
      <w:r w:rsidR="00580DE0" w:rsidRPr="000D44EC">
        <w:rPr>
          <w:rFonts w:ascii="Times New Roman" w:hAnsi="Times New Roman" w:cs="Times New Roman"/>
        </w:rPr>
        <w:t xml:space="preserve"> </w:t>
      </w:r>
      <w:r w:rsidR="00580DE0"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{"citationItems":[{"id":"ITEM-1","itemData":{"DOI":"10.1108/IJIS-11-2017-0119","abstract":"Purpose: This study aims to evaluate the impact of country culture, represented by Hofstede cultural dimensions, in the adoption of Brazilian mobile banking services. Design/methodology/approach: Based on the replication of a theoretical model previously tested in Mozambique (Africa) that combines the extended version of the unified theory of acceptance and use of technology (UTAUT2) with the five Hofstede cultural dimensions, this study tested that model in another emerging country, Brazil, using partial least squares (PLS) as a modeling method. Findings: Replication showed that the cultural dimensions do not present strong significance in the moderation of the use of mobile banking. In fact, out of the five dimensions tested, three were not significant and two showed weak significance (p &lt; 0.10): collectivism and short-term orientation. Those results, contrasting with that one presented by Baptista and Oliveira (2015), made sense under Ajzen’s theory (1991) – the TPB, leading to the conclusion that the moderation of cultural dimensions on behavior use is not applicable. Originality/value: The authors concluded that the tested model may not be adherent, finding a theoretical gap to be explored in future studies: the moderation of the behavioral intention by cultural variables proposed by Hofstede. That finding supported the proposition of a new theoretical model, which considers the moderation of cultural dimensions in another place: behavioral intention to use mobile banking instead of the behavior use, as proposed by Baptista and Oliveira (2015). So, based on the research results and based on some authors cited in this study (Choi et al., 2014; Chou, 2013; Srite and Karahanna, 2006), it is proposed to insert Hofstede cultural variables as moderators of independent variables on the behavioral intention.","author":[{"dropping-particle":"","family":"Goularte","given":"Alexandre da C.","non-dropping-particle":"","parse-names":false,"suffix":""},{"dropping-particle":"","family":"Zilber","given":"Silvia Novaes","non-dropping-particle":"","parse-names":false,"suffix":""}],"container-title":"International Journal of Innovation Science","id":"ITEM-1","issue":"1","issued":{"date-parts":[["2018","3"]]},"page":"63-81","title":"The moderating role of cultural factors in the adoption of mobile banking in Brazil","type":"article-journal","volume":"11"},"uris":["http://www.mendeley.com/documents/?uuid=2801cd0d-3e71-4c7f-8f71-eefe2547a92b"]},{"id":"ITEM-2","itemData":{"DOI":"10.1016/J.CHB.2016.03.030","ISSN":"0747-5632","abstract":"Mobile payment is receiving growing attention globally, from consumers to merchants, as an alternative to using cash, check, or credit cards. The potential of this technology is enormous. This study aims to identify the main determinants of mobile payment adoption and the intention to recommend this technology. We advance the body of knowledge on this subject by proposing an innovative research model that combines the strengths of two well-known theories; the extended unified theory of acceptance and use of technology (UTAUT2) with the innovation characteristics of the diffusion of innovations (DOI), with perceived security and intention to recommend the technology constructs. The research model was empirically tested using 301 responses from an online survey conducted in a European country, Portugal. Data was analyzed using the structured equation modeling (SEM). We found compatibility, perceived technology security, performance expectations, innovativeness, and social influence to have significant direct and indirect effects over the adoption of mobile payment and the intention to recommend this technology. The relevance of customer's intention to recommend mobile payment technology in social networks and other means of communication was also confirmed, supporting the recommendation to include it in social marketing campaigns and in future technology adoption studies. For researchers this study provides a basis for further refinement of individual models of acceptance. For practitioners, understanding the key constructs is crucial to design, refine, and implement mobile payment services, applications, and products that achieve high consumer acceptance, value, and high rates of positive recommendations in social networks.","author":[{"dropping-particle":"","family":"Oliveira","given":"Tiago","non-dropping-particle":"","parse-names":false,"suffix":""},{"dropping-particle":"","family":"Thomas","given":"Manoj","non-dropping-particle":"","parse-names":false,"suffix":""},{"dropping-particle":"","family":"Baptista","given":"Goncalo","non-dropping-particle":"","parse-names":false,"suffix":""},{"dropping-particle":"","family":"Campos","given":"Filipe","non-dropping-particle":"","parse-names":false,"suffix":""}],"container-title":"Computers in Human Behavior","id":"ITEM-2","issued":{"date-parts":[["2016","8","1"]]},"page":"404-414","publisher":"Pergamon","title":"Mobile payment: Understanding the determinants of customer adoption and intention to recommend the technology","type":"article-journal","volume":"61"},"uris":["http://www.mendeley.com/documents/?uuid=694e6471-b004-3a32-af23-bebe125fa7d5"]},{"id":"ITEM-3","itemData":{"DOI":"10.1108/IntR-10-2015-0295","ISSN":"1066-2243","abstract":"Purpose The purpose of this paper is to identify the potential impact of the utilization of game mechanics and game design techniques in the acceptance of mobile banking services. Design/methodology/approach The theoretical model was tested in a quantitative study using structural equation modelling, conducted in Brazil, with actual local banking customers. Findings The findings show that there is a direct and strong relationship between gamification and intention to use mobile banking services, supporting that, when used and designed properly, gamification can help make banking activities more exciting, more interesting and more enjoyable, and in turn increase customer acceptance, engagement and satisfaction. Research limitations/implications The research extends the unified theory of acceptance and use of technology (UTAUT2), and prior research to include gamification impact. The result is a more descriptive model that better explains consumers’ decision to use mobile banking services. Practical implica...","author":[{"dropping-particle":"","family":"Baptista","given":"Goncalo","non-dropping-particle":"","parse-names":false,"suffix":""},{"dropping-particle":"","family":"Oliveira","given":"Tiago","non-dropping-particle":"","parse-names":false,"suffix":""}],"container-title":"Internet Research","id":"ITEM-3","issue":"1","issued":{"date-parts":[["2017","2"]]},"page":"118-139","publisher":"Emerald Publishing Limited","title":"Why so serious? Gamification impact in the acceptance of mobile banking services","type":"article-journal","volume":"27"},"uris":["http://www.mendeley.com/documents/?uuid=0b3f374e-8b77-42e6-bc77-b7919247f6cf"]}],"mendeley":{"formattedCitation":"(Baptista &amp; Oliveira, 2017; Goularte &amp; Zilber, 2018; Oliveira et al., 2016)","plainTextFormattedCitation":"(Baptista &amp; Oliveira, 2017; Goularte &amp; Zilber, 2018; Oliveira et al., 2016)","previouslyFormattedCitation":"(Baptista &amp; Oliveira, 2017; Goularte &amp; Zilber, 2018; Oliveira et al., 2016)"},"properties":{"noteIndex":0},"schema":"https://github.com/citation-style-language/schema/raw/master/csl-citation.json"}</w:instrText>
      </w:r>
      <w:r w:rsidR="00580DE0" w:rsidRPr="000D44EC">
        <w:rPr>
          <w:rFonts w:ascii="Times New Roman" w:hAnsi="Times New Roman" w:cs="Times New Roman"/>
        </w:rPr>
        <w:fldChar w:fldCharType="separate"/>
      </w:r>
      <w:r w:rsidR="0056686A" w:rsidRPr="0056686A">
        <w:rPr>
          <w:rFonts w:ascii="Times New Roman" w:hAnsi="Times New Roman" w:cs="Times New Roman"/>
          <w:noProof/>
        </w:rPr>
        <w:t>(Baptista &amp; Oliveira, 2017; Goularte &amp; Zilber, 2018; Oliveira et al., 2016)</w:t>
      </w:r>
      <w:r w:rsidR="00580DE0" w:rsidRPr="000D44EC">
        <w:rPr>
          <w:rFonts w:ascii="Times New Roman" w:hAnsi="Times New Roman" w:cs="Times New Roman"/>
        </w:rPr>
        <w:fldChar w:fldCharType="end"/>
      </w:r>
      <w:r w:rsidR="00116FBA">
        <w:rPr>
          <w:rFonts w:ascii="Times New Roman" w:hAnsi="Times New Roman" w:cs="Times New Roman"/>
        </w:rPr>
        <w:t xml:space="preserve"> whereas </w:t>
      </w:r>
      <w:r w:rsidR="008D1024">
        <w:rPr>
          <w:rFonts w:ascii="Times New Roman" w:hAnsi="Times New Roman" w:cs="Times New Roman"/>
        </w:rPr>
        <w:t>a</w:t>
      </w:r>
      <w:r w:rsidR="00116FBA">
        <w:rPr>
          <w:rFonts w:ascii="Times New Roman" w:hAnsi="Times New Roman" w:cs="Times New Roman"/>
        </w:rPr>
        <w:t xml:space="preserve"> </w:t>
      </w:r>
      <w:r w:rsidR="00F56379" w:rsidRPr="000D44EC">
        <w:rPr>
          <w:rFonts w:ascii="Times New Roman" w:hAnsi="Times New Roman" w:cs="Times New Roman"/>
        </w:rPr>
        <w:t>positive</w:t>
      </w:r>
      <w:r w:rsidR="008D1024">
        <w:rPr>
          <w:rFonts w:ascii="Times New Roman" w:hAnsi="Times New Roman" w:cs="Times New Roman"/>
        </w:rPr>
        <w:t xml:space="preserve"> and</w:t>
      </w:r>
      <w:r w:rsidR="00F56379" w:rsidRPr="000D44EC">
        <w:rPr>
          <w:rFonts w:ascii="Times New Roman" w:hAnsi="Times New Roman" w:cs="Times New Roman"/>
        </w:rPr>
        <w:t xml:space="preserve"> significant </w:t>
      </w:r>
      <w:r w:rsidR="008D1024">
        <w:rPr>
          <w:rFonts w:ascii="Times New Roman" w:hAnsi="Times New Roman" w:cs="Times New Roman"/>
        </w:rPr>
        <w:t xml:space="preserve">relationship </w:t>
      </w:r>
      <w:r w:rsidR="00116FBA">
        <w:rPr>
          <w:rFonts w:ascii="Times New Roman" w:hAnsi="Times New Roman" w:cs="Times New Roman"/>
        </w:rPr>
        <w:t>h</w:t>
      </w:r>
      <w:r w:rsidR="008D1024">
        <w:rPr>
          <w:rFonts w:ascii="Times New Roman" w:hAnsi="Times New Roman" w:cs="Times New Roman"/>
        </w:rPr>
        <w:t>as</w:t>
      </w:r>
      <w:r w:rsidR="00116FBA">
        <w:rPr>
          <w:rFonts w:ascii="Times New Roman" w:hAnsi="Times New Roman" w:cs="Times New Roman"/>
        </w:rPr>
        <w:t xml:space="preserve"> been noted</w:t>
      </w:r>
      <w:r w:rsidR="008D1024">
        <w:rPr>
          <w:rFonts w:ascii="Times New Roman" w:hAnsi="Times New Roman" w:cs="Times New Roman"/>
        </w:rPr>
        <w:t>.</w:t>
      </w:r>
      <w:r w:rsidR="00580DE0" w:rsidRPr="000D44EC">
        <w:rPr>
          <w:rFonts w:ascii="Times New Roman" w:hAnsi="Times New Roman" w:cs="Times New Roman"/>
        </w:rPr>
        <w:t xml:space="preserve"> </w:t>
      </w:r>
      <w:r w:rsidR="00116FBA">
        <w:rPr>
          <w:rFonts w:ascii="Times New Roman" w:hAnsi="Times New Roman" w:cs="Times New Roman"/>
        </w:rPr>
        <w:t xml:space="preserve">Contradicting the </w:t>
      </w:r>
      <w:r w:rsidR="00AD32BB" w:rsidRPr="000D44EC">
        <w:rPr>
          <w:rFonts w:ascii="Times New Roman" w:hAnsi="Times New Roman" w:cs="Times New Roman"/>
        </w:rPr>
        <w:t xml:space="preserve">prior studies </w:t>
      </w:r>
      <w:r w:rsidR="00AD32BB"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{"citationItems":[{"id":"ITEM-1","itemData":{"DOI":"10.1108/IJSE-10-2016-0283","abstract":"Purpose - Mobile banking or m-banking enables consumers to carry out their banking affairs with the help of mobile devices. Mobile-user banking interactions in the context of technology services create opportunities for positive experiences that can nurture trust, foster brand equity and eventually lead to long-term relationship building. The purpose of this paper is to examine the concepts of m-banking customer flow experiences and their role in affecting customer intention in the continued use of m-banking. \r\n\r\nDesign/methodology/approach - To achieve this main objective, a research model was developed by taking theoretical backgrounds and specific characteristics of m-banking into consideration for testing. The study to test this model was carried out in Iran, a developing country in the Middle East. \r\n\r\nFindings - Results of the PLS-SEM analysis of 927 bank customers showed that the flow experience is positively influenced by both hedonic and utilitarian features. While, flow experiences influence trust and brand equity, individual mobility has a stronger effect on the intention to continue the use of m-banking compared with trust, flow experience and brand equity. \r\n\r\nOriginality/value - The current research provides various useful insights into customer engagement for conducting banking tasks via mobile technologies. Managers and decision makers can take into account the following insights to enhance positive flow experiences and loyalty intention of customers toward m-banking.","author":[{"dropping-particle":"","family":"Jamshidi","given":"Dariyoush","non-dropping-particle":"","parse-names":false,"suffix":""},{"dropping-particle":"","family":"Keshavarz","given":"Yousef","non-dropping-particle":"","parse-names":false,"suffix":""},{"dropping-particle":"","family":"Kazemi","given":"Fazlollah","non-dropping-particle":"","parse-names":false,"suffix":""},{"dropping-particle":"","family":"Mohammadian","given":"Moghaddaseh","non-dropping-particle":"","parse-names":false,"suffix":""}],"container-title":"International Journal of Social Economics","id":"ITEM-1","issue":"1","issued":{"date-parts":[["2018","1"]]},"page":"57-81","title":"Mobile banking behavior and flow experience An integration of utilitarian features, hedonic features and trust","type":"article-journal","volume":"45"},"uris":["http://www.mendeley.com/documents/?uuid=d986a490-4c16-4d28-801d-890eea11c1b4"]},{"id":"ITEM-2","itemData":{"DOI":"10.1016/J.CHB.2016.03.030","ISSN":"0747-5632","abstract":"Mobile payment is receiving growing attention globally, from consumers to merchants, as an alternative to using cash, check, or credit cards. The potential of this technology is enormous. This study aims to identify the main determinants of mobile payment adoption and the intention to recommend this technology. We advance the body of knowledge on this subject by proposing an innovative research model that combines the strengths of two well-known theories; the extended unified theory of acceptance and use of technology (UTAUT2) with the innovation characteristics of the diffusion of innovations (DOI), with perceived security and intention to recommend the technology constructs. The research model was empirically tested using 301 responses from an online survey conducted in a European country, Portugal. Data was analyzed using the structured equation modeling (SEM). We found compatibility, perceived technology security, performance expectations, innovativeness, and social influence to have significant direct and indirect effects over the adoption of mobile payment and the intention to recommend this technology. The relevance of customer's intention to recommend mobile payment technology in social networks and other means of communication was also confirmed, supporting the recommendation to include it in social marketing campaigns and in future technology adoption studies. For researchers this study provides a basis for further refinement of individual models of acceptance. For practitioners, understanding the key constructs is crucial to design, refine, and implement mobile payment services, applications, and products that achieve high consumer acceptance, value, and high rates of positive recommendations in social networks.","author":[{"dropping-particle":"","family":"Oliveira","given":"Tiago","non-dropping-particle":"","parse-names":false,"suffix":""},{"dropping-particle":"","family":"Thomas","given":"Manoj","non-dropping-particle":"","parse-names":false,"suffix":""},{"dropping-particle":"","family":"Baptista","given":"Goncalo","non-dropping-particle":"","parse-names":false,"suffix":""},{"dropping-particle":"","family":"Campos","given":"Filipe","non-dropping-particle":"","parse-names":false,"suffix":""}],"container-title":"Computers in Human Behavior","id":"ITEM-2","issued":{"date-parts":[["2016","8","1"]]},"page":"404-414","publisher":"Pergamon","title":"Mobile payment: Understanding the determinants of customer adoption and intention to recommend the technology","type":"article-journal","volume":"61"},"uris":["http://www.mendeley.com/documents/?uuid=694e6471-b004-3a32-af23-bebe125fa7d5"]},{"id":"ITEM-3","itemData":{"DOI":"10.1016/J.IJINFOMGT.2013.06.002","ISSN":"0268-4012","abstract":"Understanding the main determinants of Internet banking adoption is important for banks and users; our understanding of the role of users’ perceived risk in Internet banking adoption is limited. In response, we develop a conceptual model that combines unified theory of acceptance and use of technology (UTAUT) with perceived risk to explain behaviour intention and usage behaviour of Internet banking. To test the conceptual model we collected data from Portugal (249 valid cases). Our results support some relationships of UTAUT, such as performance expectancy, effort expectancy, and social influence, and also the role of risk as a stronger predictor of intention. To explain usage behaviour of Internet banking the most important factor is behavioural intention to use Internet banking.","author":[{"dropping-particle":"","family":"Martins","given":"Carolina","non-dropping-particle":"","parse-names":false,"suffix":""},{"dropping-particle":"","family":"Oliveira","given":"Tiago","non-dropping-particle":"","parse-names":false,"suffix":""},{"dropping-particle":"","family":"Popovič","given":"Aleš","non-dropping-particle":"","parse-names":false,"suffix":""}],"container-title":"International Journal of Information Management","id":"ITEM-3","issue":"1","issued":{"date-parts":[["2014","2"]]},"page":"1-13","publisher":"Pergamon","title":"Understanding the Internet banking adoption: A unified theory of acceptance and use of technology and perceived risk application","type":"article-journal","volume":"34"},"uris":["http://www.mendeley.com/documents/?uuid=96813dcc-876f-4822-b605-c49b13f34395"]},{"id":"ITEM-4","itemData":{"DOI":"10.1108/IJIS-11-2017-0119","abstract":"Purpose: This study aims to evaluate the impact of country culture, represented by Hofstede cultural dimensions, in the adoption of Brazilian mobile banking services. Design/methodology/approach: Based on the replication of a theoretical model previously tested in Mozambique (Africa) that combines the extended version of the unified theory of acceptance and use of technology (UTAUT2) with the five Hofstede cultural dimensions, this study tested that model in another emerging country, Brazil, using partial least squares (PLS) as a modeling method. Findings: Replication showed that the cultural dimensions do not present strong significance in the moderation of the use of mobile banking. In fact, out of the five dimensions tested, three were not significant and two showed weak significance (p &lt; 0.10): collectivism and short-term orientation. Those results, contrasting with that one presented by Baptista and Oliveira (2015), made sense under Ajzen’s theory (1991) – the TPB, leading to the conclusion that the moderation of cultural dimensions on behavior use is not applicable. Originality/value: The authors concluded that the tested model may not be adherent, finding a theoretical gap to be explored in future studies: the moderation of the behavioral intention by cultural variables proposed by Hofstede. That finding supported the proposition of a new theoretical model, which considers the moderation of cultural dimensions in another place: behavioral intention to use mobile banking instead of the behavior use, as proposed by Baptista and Oliveira (2015). So, based on the research results and based on some authors cited in this study (Choi et al., 2014; Chou, 2013; Srite and Karahanna, 2006), it is proposed to insert Hofstede cultural variables as moderators of independent variables on the behavioral intention.","author":[{"dropping-particle":"","family":"Goularte","given":"Alexandre da C.","non-dropping-particle":"","parse-names":false,"suffix":""},{"dropping-particle":"","family":"Zilber","given":"Silvia Novaes","non-dropping-particle":"","parse-names":false,"suffix":""}],"container-title":"International Journal of Innovation Science","id":"ITEM-4","issue":"1","issued":{"date-parts":[["2018","3"]]},"page":"63-81","title":"The moderating role of cultural factors in the adoption of mobile banking in Brazil","type":"article-journal","volume":"11"},"uris":["http://www.mendeley.com/documents/?uuid=2801cd0d-3e71-4c7f-8f71-eefe2547a92b"]}],"mendeley":{"formattedCitation":"(Goularte &amp; Zilber, 2018; Jamshidi, Keshavarz, Kazemi, &amp; Mohammadian, 2018; Martins et al., 2014; Oliveira et al., 2016)","plainTextFormattedCitation":"(Goularte &amp; Zilber, 2018; Jamshidi, Keshavarz, Kazemi, &amp; Mohammadian, 2018; Martins et al., 2014; Oliveira et al., 2016)","previouslyFormattedCitation":"(Goularte &amp; Zilber, 2018; Jamshidi, Keshavarz, Kazemi, &amp; Mohammadian, 2018; Martins et al., 2014; Oliveira et al., 2016)"},"properties":{"noteIndex":0},"schema":"https://github.com/citation-style-language/schema/raw/master/csl-citation.json"}</w:instrText>
      </w:r>
      <w:r w:rsidR="00AD32BB" w:rsidRPr="000D44EC">
        <w:rPr>
          <w:rFonts w:ascii="Times New Roman" w:hAnsi="Times New Roman" w:cs="Times New Roman"/>
        </w:rPr>
        <w:fldChar w:fldCharType="separate"/>
      </w:r>
      <w:r w:rsidR="0056686A" w:rsidRPr="0056686A">
        <w:rPr>
          <w:rFonts w:ascii="Times New Roman" w:hAnsi="Times New Roman" w:cs="Times New Roman"/>
          <w:noProof/>
        </w:rPr>
        <w:t>(Goularte &amp; Zilber, 2018; Jamshidi, Keshavarz, Kazemi, &amp; Mohammadian, 2018; Martins et al., 2014; Oliveira et al., 2016)</w:t>
      </w:r>
      <w:r w:rsidR="00AD32BB" w:rsidRPr="000D44EC">
        <w:rPr>
          <w:rFonts w:ascii="Times New Roman" w:hAnsi="Times New Roman" w:cs="Times New Roman"/>
        </w:rPr>
        <w:fldChar w:fldCharType="end"/>
      </w:r>
      <w:r w:rsidR="0072203A">
        <w:rPr>
          <w:rFonts w:ascii="Times New Roman" w:hAnsi="Times New Roman" w:cs="Times New Roman"/>
        </w:rPr>
        <w:t xml:space="preserve">, </w:t>
      </w:r>
      <w:r w:rsidR="006F1047" w:rsidRPr="000D44EC">
        <w:rPr>
          <w:rFonts w:ascii="Times New Roman" w:hAnsi="Times New Roman" w:cs="Times New Roman"/>
        </w:rPr>
        <w:t>EE and SI were reported as insignificant determinants of BI.</w:t>
      </w:r>
      <w:r w:rsidR="00FC49CF">
        <w:rPr>
          <w:rFonts w:ascii="Times New Roman" w:hAnsi="Times New Roman" w:cs="Times New Roman"/>
        </w:rPr>
        <w:t xml:space="preserve"> Indicating that when is a matter of financial capital m-banking users </w:t>
      </w:r>
      <w:r w:rsidR="00B154FE">
        <w:rPr>
          <w:rFonts w:ascii="Times New Roman" w:hAnsi="Times New Roman" w:cs="Times New Roman"/>
        </w:rPr>
        <w:t>are un</w:t>
      </w:r>
      <w:r w:rsidR="00FC49CF" w:rsidRPr="00FC49CF">
        <w:rPr>
          <w:rFonts w:ascii="Times New Roman" w:hAnsi="Times New Roman" w:cs="Times New Roman"/>
        </w:rPr>
        <w:t>concerned</w:t>
      </w:r>
      <w:r w:rsidR="00B154FE">
        <w:rPr>
          <w:rFonts w:ascii="Times New Roman" w:hAnsi="Times New Roman" w:cs="Times New Roman"/>
        </w:rPr>
        <w:t xml:space="preserve"> and indifferent regarding the opinion, thoughts and emotions of relatives and </w:t>
      </w:r>
      <w:r w:rsidR="00B154FE" w:rsidRPr="00B154FE">
        <w:rPr>
          <w:rFonts w:ascii="Times New Roman" w:hAnsi="Times New Roman" w:cs="Times New Roman"/>
        </w:rPr>
        <w:t>siblings</w:t>
      </w:r>
      <w:r w:rsidR="00B154FE">
        <w:rPr>
          <w:rFonts w:ascii="Times New Roman" w:hAnsi="Times New Roman" w:cs="Times New Roman"/>
        </w:rPr>
        <w:t>.</w:t>
      </w:r>
    </w:p>
    <w:p w14:paraId="11B140CF" w14:textId="2410AD13" w:rsidR="00941C56" w:rsidRPr="000D44EC" w:rsidRDefault="00941C56" w:rsidP="00941C56">
      <w:pPr>
        <w:rPr>
          <w:rFonts w:ascii="Times New Roman" w:hAnsi="Times New Roman" w:cs="Times New Roman"/>
        </w:rPr>
      </w:pPr>
      <w:r w:rsidRPr="000D44EC">
        <w:rPr>
          <w:rFonts w:ascii="Times New Roman" w:hAnsi="Times New Roman" w:cs="Times New Roman"/>
        </w:rPr>
        <w:t>The main effect of GM on BI was insignificant contradicting pr</w:t>
      </w:r>
      <w:r w:rsidR="00116FBA">
        <w:rPr>
          <w:rFonts w:ascii="Times New Roman" w:hAnsi="Times New Roman" w:cs="Times New Roman"/>
        </w:rPr>
        <w:t>evious</w:t>
      </w:r>
      <w:r w:rsidRPr="000D44EC">
        <w:rPr>
          <w:rFonts w:ascii="Times New Roman" w:hAnsi="Times New Roman" w:cs="Times New Roman"/>
        </w:rPr>
        <w:t xml:space="preserve"> studies </w:t>
      </w:r>
      <w:r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{"citationItems":[{"id":"ITEM-1","itemData":{"DOI":"10.1016/j.chb.2017.04.034","abstract":"Gamification has a clear influence on software design, development and plays an important role in the motivation and intention of users to use a website and buy online. Nevertheless, in the case of e-banking, the influence of gamification in software design and on the user's intention to use are still very unclear. We intend to verify how game design elements and mechanics combined in the design of a bank website, influence the intention of customers to use e-banking. To explore and analyze the effects of gamification on a bank website, we propose a conceptual model considering the interaction between six variables: gamification, ease of use, information, design, web page characteristics, and intention to use the website. To test this model we develop a quantitative study involving 219 bank customers as participants who interacted with a gamified e-banking website to manage their financial investments. Participants then responded to an online questionnaire (including items related to the main variables), in order to measure their reactions to gamified software and their intentions. All data were statistically analyzed and results indicate that gamification has a significant influence on the ease of use and the intention to use e-banking, as well as on the web design, information, and webpage characteristics. We find that gamification may motivate customers to use e-banking, and that it improves their financial literacy and facilitates online processes and transactions. This study provides insightful guidelines for web design, development and e-banking contents that can be taken into account by marketing, IT, and business teams working in electronic banks.","author":[{"dropping-particle":"","family":"Rodrigues","given":"Luís Filipe","non-dropping-particle":"","parse-names":false,"suffix":""},{"dropping-particle":"","family":"Costa","given":"Carlos J.","non-dropping-particle":"","parse-names":false,"suffix":""},{"dropping-particle":"","family":"Oliveira","given":"Abílio","non-dropping-particle":"","parse-names":false,"suffix":""}],"container-title":"Computers in Human Behavior","id":"ITEM-1","issued":{"date-parts":[["2017","9"]]},"page":"163-174","title":"How does the web game design influence the behavior of e-banking users?","type":"article-journal","volume":"74"},"uris":["http://www.mendeley.com/documents/?uuid=28e9a272-d3e3-432e-b17f-5b58d905d88c"]},{"id":"ITEM-2","itemData":{"DOI":"10.1108/IntR-10-2015-0295","ISSN":"1066-2243","abstract":"Purpose The purpose of this paper is to identify the potential impact of the utilization of game mechanics and game design techniques in the acceptance of mobile banking services. Design/methodology/approach The theoretical model was tested in a quantitative study using structural equation modelling, conducted in Brazil, with actual local banking customers. Findings The findings show that there is a direct and strong relationship between gamification and intention to use mobile banking services, supporting that, when used and designed properly, gamification can help make banking activities more exciting, more interesting and more enjoyable, and in turn increase customer acceptance, engagement and satisfaction. Research limitations/implications The research extends the unified theory of acceptance and use of technology (UTAUT2), and prior research to include gamification impact. The result is a more descriptive model that better explains consumers’ decision to use mobile banking services. Practical implica...","author":[{"dropping-particle":"","family":"Baptista","given":"Goncalo","non-dropping-particle":"","parse-names":false,"suffix":""},{"dropping-particle":"","family":"Oliveira","given":"Tiago","non-dropping-particle":"","parse-names":false,"suffix":""}],"container-title":"Internet Research","id":"ITEM-2","issue":"1","issued":{"date-parts":[["2017","2"]]},"page":"118-139","publisher":"Emerald Publishing Limited","title":"Why so serious? Gamification impact in the acceptance of mobile banking services","type":"article-journal","volume":"27"},"uris":["http://www.mendeley.com/documents/?uuid=0b3f374e-8b77-42e6-bc77-b7919247f6cf"]}],"mendeley":{"formattedCitation":"(Baptista &amp; Oliveira, 2017; Rodrigues, Costa, &amp; Oliveira, 2017)","plainTextFormattedCitation":"(Baptista &amp; Oliveira, 2017; Rodrigues, Costa, &amp; Oliveira, 2017)","previouslyFormattedCitation":"(Baptista &amp; Oliveira, 2017; Rodrigues, Costa, &amp; Oliveira, 2017)"},"properties":{"noteIndex":0},"schema":"https://github.com/citation-style-language/schema/raw/master/csl-citation.json"}</w:instrText>
      </w:r>
      <w:r w:rsidRPr="000D44EC">
        <w:rPr>
          <w:rFonts w:ascii="Times New Roman" w:hAnsi="Times New Roman" w:cs="Times New Roman"/>
        </w:rPr>
        <w:fldChar w:fldCharType="separate"/>
      </w:r>
      <w:r w:rsidR="0056686A" w:rsidRPr="0056686A">
        <w:rPr>
          <w:rFonts w:ascii="Times New Roman" w:hAnsi="Times New Roman" w:cs="Times New Roman"/>
          <w:noProof/>
        </w:rPr>
        <w:t>(Baptista &amp; Oliveira, 2017; Rodrigues, Costa, &amp; Oliveira, 2017)</w:t>
      </w:r>
      <w:r w:rsidRPr="000D44EC">
        <w:rPr>
          <w:rFonts w:ascii="Times New Roman" w:hAnsi="Times New Roman" w:cs="Times New Roman"/>
        </w:rPr>
        <w:fldChar w:fldCharType="end"/>
      </w:r>
      <w:r w:rsidRPr="000D44EC">
        <w:rPr>
          <w:rFonts w:ascii="Times New Roman" w:hAnsi="Times New Roman" w:cs="Times New Roman"/>
        </w:rPr>
        <w:t>.</w:t>
      </w:r>
      <w:r w:rsidR="00FC49CF">
        <w:rPr>
          <w:rFonts w:ascii="Times New Roman" w:hAnsi="Times New Roman" w:cs="Times New Roman"/>
        </w:rPr>
        <w:t xml:space="preserve"> According to Thiebes, Lins and Basten </w:t>
      </w:r>
      <w:r w:rsidR="00FC49CF">
        <w:rPr>
          <w:rFonts w:ascii="Times New Roman" w:hAnsi="Times New Roman" w:cs="Times New Roman"/>
        </w:rPr>
        <w:fldChar w:fldCharType="begin" w:fldLock="1"/>
      </w:r>
      <w:r w:rsidR="0056686A">
        <w:rPr>
          <w:rFonts w:ascii="Times New Roman" w:hAnsi="Times New Roman" w:cs="Times New Roman"/>
        </w:rPr>
        <w:instrText>ADDIN CSL_CITATION {"citationItems":[{"id":"ITEM-1","itemData":{"abstract":"Trying to take advantage of the growing passion for games, Gamification is a trending phenomenon that aims at motivating people by applying elements common to games in different contexts. While first applications of Gamification exist in finance, health, education and entertainment, utility of Gamifica-tion in various contexts has not been sufficiently explored. Aiming to understand how Gamification can be applied to information systems to increase end-user motivation, we performed a systematic literature review to identify game elements used in Gamification. Our study yields a synthesis of mechanics and dynamics in five clusters-system design, challenges, rewards, social influences and user specifics. While our study reveals that Gamification has potential for motivating information system end-users, we also discuss the potential risks. Future research should analyse concrete implementations of Gamification in information systems contexts and investigate related long-term effects. From a practical perspective, we present Gamification as an innovative approach to enhancing end-user motivation to utilise information systems and illustrate the various options that can be applied to design Gamification applications.","author":[{"dropping-particle":"","family":"Thiebes","given":"Scott","non-dropping-particle":"","parse-names":false,"suffix":""},{"dropping-particle":"","family":"Lins","given":"Sebastian","non-dropping-particle":"","parse-names":false,"suffix":""},{"dropping-particle":"","family":"Basten","given":"Dirk","non-dropping-particle":"","parse-names":false,"suffix":""}],"container-title":"Twenty Second European Conference on Information Systems, Tel Aviv 2014 ","id":"ITEM-1","issued":{"date-parts":[["2014"]]},"page":"1-17","publisher":"The European Conferences of Information Systems","publisher-place":"Tel Aviv","title":"Gamifying information systems-a synthesis of gamification mechanics and dynamics","type":"paper-conference"},"suppress-author":1,"uris":["http://www.mendeley.com/documents/?uuid=f4f38ced-e34b-3d88-8726-9055dececf98","http://www.mendeley.com/documents/?uuid=7c32dcd9-6b01-403f-927e-190ca2d0e96a"]}],"mendeley":{"formattedCitation":"(2014)","plainTextFormattedCitation":"(2014)","previouslyFormattedCitation":"(2014)"},"properties":{"noteIndex":0},"schema":"https://github.com/citation-style-language/schema/raw/master/csl-citation.json"}</w:instrText>
      </w:r>
      <w:r w:rsidR="00FC49CF">
        <w:rPr>
          <w:rFonts w:ascii="Times New Roman" w:hAnsi="Times New Roman" w:cs="Times New Roman"/>
        </w:rPr>
        <w:fldChar w:fldCharType="separate"/>
      </w:r>
      <w:r w:rsidR="00FC49CF" w:rsidRPr="00FC49CF">
        <w:rPr>
          <w:rFonts w:ascii="Times New Roman" w:hAnsi="Times New Roman" w:cs="Times New Roman"/>
          <w:noProof/>
        </w:rPr>
        <w:t>(2014)</w:t>
      </w:r>
      <w:r w:rsidR="00FC49CF">
        <w:rPr>
          <w:rFonts w:ascii="Times New Roman" w:hAnsi="Times New Roman" w:cs="Times New Roman"/>
        </w:rPr>
        <w:fldChar w:fldCharType="end"/>
      </w:r>
      <w:r w:rsidR="00FC49CF">
        <w:rPr>
          <w:rFonts w:ascii="Times New Roman" w:hAnsi="Times New Roman" w:cs="Times New Roman"/>
        </w:rPr>
        <w:t xml:space="preserve"> 80% of cases where game elements were employed failed due to poor design and inappropriate appliance.</w:t>
      </w:r>
      <w:r w:rsidRPr="000D44EC">
        <w:rPr>
          <w:rFonts w:ascii="Times New Roman" w:hAnsi="Times New Roman" w:cs="Times New Roman"/>
        </w:rPr>
        <w:t xml:space="preserve"> </w:t>
      </w:r>
      <w:r w:rsidR="00FC49CF">
        <w:rPr>
          <w:rFonts w:ascii="Times New Roman" w:hAnsi="Times New Roman" w:cs="Times New Roman"/>
        </w:rPr>
        <w:t xml:space="preserve">The results of this study confirm the lack of game elements design and appliance impact. </w:t>
      </w:r>
      <w:r w:rsidRPr="000D44EC">
        <w:rPr>
          <w:rFonts w:ascii="Times New Roman" w:hAnsi="Times New Roman" w:cs="Times New Roman"/>
        </w:rPr>
        <w:t xml:space="preserve">However, the current research </w:t>
      </w:r>
      <w:r w:rsidR="00116FBA">
        <w:rPr>
          <w:rFonts w:ascii="Times New Roman" w:hAnsi="Times New Roman" w:cs="Times New Roman"/>
        </w:rPr>
        <w:t>discovered the</w:t>
      </w:r>
      <w:r w:rsidRPr="000D44EC">
        <w:rPr>
          <w:rFonts w:ascii="Times New Roman" w:hAnsi="Times New Roman" w:cs="Times New Roman"/>
        </w:rPr>
        <w:t xml:space="preserve"> relationship </w:t>
      </w:r>
      <w:r w:rsidR="00116FBA">
        <w:rPr>
          <w:rFonts w:ascii="Times New Roman" w:hAnsi="Times New Roman" w:cs="Times New Roman"/>
        </w:rPr>
        <w:t>as</w:t>
      </w:r>
      <w:r w:rsidRPr="000D44EC">
        <w:rPr>
          <w:rFonts w:ascii="Times New Roman" w:hAnsi="Times New Roman" w:cs="Times New Roman"/>
        </w:rPr>
        <w:t xml:space="preserve"> statistically moderated by generational cohorts. As indicated by the PLS-SEM analysis, when compared to Gen Z, individuals who score high on GM and have born before 1996 (Gen Y) reflect higher intention to use </w:t>
      </w:r>
      <w:r w:rsidR="003418EE">
        <w:rPr>
          <w:rFonts w:ascii="Times New Roman" w:hAnsi="Times New Roman" w:cs="Times New Roman"/>
        </w:rPr>
        <w:t>m-banking</w:t>
      </w:r>
      <w:r w:rsidRPr="000D44EC">
        <w:rPr>
          <w:rFonts w:ascii="Times New Roman" w:hAnsi="Times New Roman" w:cs="Times New Roman"/>
        </w:rPr>
        <w:t xml:space="preserve">, whereas those with low GM score have lower such intentions (see Figure 2). Consequently, different BI levels </w:t>
      </w:r>
      <w:r w:rsidR="0063293F">
        <w:rPr>
          <w:rFonts w:ascii="Times New Roman" w:hAnsi="Times New Roman" w:cs="Times New Roman"/>
        </w:rPr>
        <w:t>may</w:t>
      </w:r>
      <w:r w:rsidRPr="000D44EC">
        <w:rPr>
          <w:rFonts w:ascii="Times New Roman" w:hAnsi="Times New Roman" w:cs="Times New Roman"/>
        </w:rPr>
        <w:t xml:space="preserve"> be achieved through th</w:t>
      </w:r>
      <w:r w:rsidR="0063293F">
        <w:rPr>
          <w:rFonts w:ascii="Times New Roman" w:hAnsi="Times New Roman" w:cs="Times New Roman"/>
        </w:rPr>
        <w:t xml:space="preserve">e application of game elements </w:t>
      </w:r>
      <w:r w:rsidRPr="000D44EC">
        <w:rPr>
          <w:rFonts w:ascii="Times New Roman" w:hAnsi="Times New Roman" w:cs="Times New Roman"/>
        </w:rPr>
        <w:t xml:space="preserve">within generational cohorts. </w:t>
      </w:r>
    </w:p>
    <w:p w14:paraId="580FFE71" w14:textId="77777777" w:rsidR="00941C56" w:rsidRPr="000D44EC" w:rsidRDefault="00941C56" w:rsidP="00941C56">
      <w:pPr>
        <w:spacing w:after="0"/>
        <w:jc w:val="center"/>
        <w:rPr>
          <w:rFonts w:ascii="Times New Roman" w:hAnsi="Times New Roman" w:cs="Times New Roman"/>
        </w:rPr>
      </w:pPr>
      <w:r w:rsidRPr="000D44EC">
        <w:rPr>
          <w:rFonts w:ascii="Times New Roman" w:hAnsi="Times New Roman" w:cs="Times New Roman"/>
          <w:noProof/>
          <w:lang w:val="cs-CZ" w:eastAsia="cs-CZ"/>
        </w:rPr>
        <w:drawing>
          <wp:inline distT="0" distB="0" distL="0" distR="0" wp14:anchorId="14F27618" wp14:editId="34A92CBE">
            <wp:extent cx="2495550" cy="1762125"/>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8A12C8F" w14:textId="77777777" w:rsidR="00941C56" w:rsidRPr="000D44EC" w:rsidRDefault="00941C56" w:rsidP="00941C56">
      <w:pPr>
        <w:spacing w:after="0"/>
        <w:jc w:val="center"/>
        <w:rPr>
          <w:rFonts w:ascii="Times New Roman" w:hAnsi="Times New Roman" w:cs="Times New Roman"/>
        </w:rPr>
      </w:pPr>
      <w:r w:rsidRPr="000D44EC">
        <w:rPr>
          <w:rFonts w:ascii="Times New Roman" w:hAnsi="Times New Roman" w:cs="Times New Roman"/>
          <w:b/>
        </w:rPr>
        <w:t>Figure 2</w:t>
      </w:r>
      <w:r w:rsidRPr="000D44EC">
        <w:rPr>
          <w:rFonts w:ascii="Times New Roman" w:hAnsi="Times New Roman" w:cs="Times New Roman"/>
        </w:rPr>
        <w:t>. The moderating effect on BI</w:t>
      </w:r>
    </w:p>
    <w:p w14:paraId="5A375F49" w14:textId="77777777" w:rsidR="00941C56" w:rsidRPr="000D44EC" w:rsidRDefault="00941C56" w:rsidP="00941C56">
      <w:pPr>
        <w:rPr>
          <w:rStyle w:val="Hypertextovodkaz"/>
          <w:rFonts w:ascii="Times New Roman" w:hAnsi="Times New Roman" w:cs="Times New Roman"/>
        </w:rPr>
      </w:pPr>
    </w:p>
    <w:p w14:paraId="3DAB0990" w14:textId="7AC3F767" w:rsidR="00941C56" w:rsidRPr="000D44EC" w:rsidRDefault="0063293F" w:rsidP="00941C56">
      <w:pPr>
        <w:rPr>
          <w:rFonts w:ascii="Times New Roman" w:hAnsi="Times New Roman" w:cs="Times New Roman"/>
        </w:rPr>
      </w:pPr>
      <w:r>
        <w:rPr>
          <w:rFonts w:ascii="Times New Roman" w:hAnsi="Times New Roman" w:cs="Times New Roman"/>
        </w:rPr>
        <w:t>The</w:t>
      </w:r>
      <w:r w:rsidR="00941C56" w:rsidRPr="000D44EC">
        <w:rPr>
          <w:rFonts w:ascii="Times New Roman" w:hAnsi="Times New Roman" w:cs="Times New Roman"/>
        </w:rPr>
        <w:t xml:space="preserve"> finding </w:t>
      </w:r>
      <w:r w:rsidRPr="000D44EC">
        <w:rPr>
          <w:rFonts w:ascii="Times New Roman" w:hAnsi="Times New Roman" w:cs="Times New Roman"/>
        </w:rPr>
        <w:t>comprehensible</w:t>
      </w:r>
      <w:r w:rsidR="00941C56" w:rsidRPr="000D44EC">
        <w:rPr>
          <w:rFonts w:ascii="Times New Roman" w:hAnsi="Times New Roman" w:cs="Times New Roman"/>
        </w:rPr>
        <w:t xml:space="preserve"> </w:t>
      </w:r>
      <w:r>
        <w:rPr>
          <w:rFonts w:ascii="Times New Roman" w:hAnsi="Times New Roman" w:cs="Times New Roman"/>
        </w:rPr>
        <w:t xml:space="preserve">shed light on the </w:t>
      </w:r>
      <w:r w:rsidR="00941C56" w:rsidRPr="000D44EC">
        <w:rPr>
          <w:rFonts w:ascii="Times New Roman" w:hAnsi="Times New Roman" w:cs="Times New Roman"/>
        </w:rPr>
        <w:t>Gen Z individuals</w:t>
      </w:r>
      <w:r>
        <w:rPr>
          <w:rFonts w:ascii="Times New Roman" w:hAnsi="Times New Roman" w:cs="Times New Roman"/>
        </w:rPr>
        <w:t>’</w:t>
      </w:r>
      <w:r w:rsidR="00941C56" w:rsidRPr="000D44EC">
        <w:rPr>
          <w:rFonts w:ascii="Times New Roman" w:hAnsi="Times New Roman" w:cs="Times New Roman"/>
        </w:rPr>
        <w:t xml:space="preserve"> </w:t>
      </w:r>
      <w:r>
        <w:rPr>
          <w:rFonts w:ascii="Times New Roman" w:hAnsi="Times New Roman" w:cs="Times New Roman"/>
        </w:rPr>
        <w:t>easiness adoption of game elements within app usage</w:t>
      </w:r>
      <w:r w:rsidR="00941C56" w:rsidRPr="000D44EC">
        <w:rPr>
          <w:rFonts w:ascii="Times New Roman" w:hAnsi="Times New Roman" w:cs="Times New Roman"/>
        </w:rPr>
        <w:t xml:space="preserve">, compared </w:t>
      </w:r>
      <w:r>
        <w:rPr>
          <w:rFonts w:ascii="Times New Roman" w:hAnsi="Times New Roman" w:cs="Times New Roman"/>
        </w:rPr>
        <w:t>with the individuals</w:t>
      </w:r>
      <w:r w:rsidR="00941C56" w:rsidRPr="000D44EC">
        <w:rPr>
          <w:rFonts w:ascii="Times New Roman" w:hAnsi="Times New Roman" w:cs="Times New Roman"/>
        </w:rPr>
        <w:t xml:space="preserve"> of Gen Y. Nine</w:t>
      </w:r>
      <w:r>
        <w:rPr>
          <w:rFonts w:ascii="Times New Roman" w:hAnsi="Times New Roman" w:cs="Times New Roman"/>
        </w:rPr>
        <w:t xml:space="preserve"> out of</w:t>
      </w:r>
      <w:r w:rsidR="00941C56" w:rsidRPr="000D44EC">
        <w:rPr>
          <w:rFonts w:ascii="Times New Roman" w:hAnsi="Times New Roman" w:cs="Times New Roman"/>
        </w:rPr>
        <w:t xml:space="preserve"> ten Gen Z individuals own a smartphone and have a digital footprint</w:t>
      </w:r>
      <w:r>
        <w:rPr>
          <w:rFonts w:ascii="Times New Roman" w:hAnsi="Times New Roman" w:cs="Times New Roman"/>
        </w:rPr>
        <w:t xml:space="preserve"> which qualifies as frequent smartphone user</w:t>
      </w:r>
      <w:r w:rsidR="00941C56" w:rsidRPr="000D44EC">
        <w:rPr>
          <w:rFonts w:ascii="Times New Roman" w:hAnsi="Times New Roman" w:cs="Times New Roman"/>
        </w:rPr>
        <w:t>. In addition, reports</w:t>
      </w:r>
      <w:r>
        <w:rPr>
          <w:rFonts w:ascii="Times New Roman" w:hAnsi="Times New Roman" w:cs="Times New Roman"/>
        </w:rPr>
        <w:t xml:space="preserve"> </w:t>
      </w:r>
      <w:r w:rsidR="008D1024" w:rsidRPr="000D44EC">
        <w:rPr>
          <w:rFonts w:ascii="Times New Roman" w:hAnsi="Times New Roman" w:cs="Times New Roman"/>
        </w:rPr>
        <w:fldChar w:fldCharType="begin" w:fldLock="1"/>
      </w:r>
      <w:r w:rsidR="0056686A">
        <w:rPr>
          <w:rFonts w:ascii="Times New Roman" w:hAnsi="Times New Roman" w:cs="Times New Roman"/>
        </w:rPr>
        <w:instrText>ADDIN CSL_CITATION {"citationItems":[{"id":"ITEM-1","itemData":{"URL":"https://www.visualcapitalist.com/meet-generation-z-the-newest-member-to-the-workforce/","accessed":{"date-parts":[["2019","7","27"]]},"author":[{"dropping-particle":"","family":"Desjardins","given":"Jeff","non-dropping-particle":"","parse-names":false,"suffix":""}],"container-title":"Visual Capitalist","id":"ITEM-1","issued":{"date-parts":[["2019"]]},"title":"Meet Generation Z: The Newest Member to the Workforce","type":"webpage"},"uris":["http://www.mendeley.com/documents/?uuid=4e5438d9-1c47-4ebf-9431-713eb55f9a4d","http://www.mendeley.com/documents/?uuid=f3aae2b6-fd59-4bdb-aa5f-36a08a4f6f19"]}],"mendeley":{"formattedCitation":"(Desjardins, 2019)","plainTextFormattedCitation":"(Desjardins, 2019)","previouslyFormattedCitation":"(Desjardins, 2019)"},"properties":{"noteIndex":0},"schema":"https://github.com/citation-style-language/schema/raw/master/csl-citation.json"}</w:instrText>
      </w:r>
      <w:r w:rsidR="008D1024" w:rsidRPr="000D44EC">
        <w:rPr>
          <w:rFonts w:ascii="Times New Roman" w:hAnsi="Times New Roman" w:cs="Times New Roman"/>
        </w:rPr>
        <w:fldChar w:fldCharType="separate"/>
      </w:r>
      <w:r w:rsidR="008D1024" w:rsidRPr="000D44EC">
        <w:rPr>
          <w:rFonts w:ascii="Times New Roman" w:hAnsi="Times New Roman" w:cs="Times New Roman"/>
          <w:noProof/>
        </w:rPr>
        <w:t>(Desjardins, 2019)</w:t>
      </w:r>
      <w:r w:rsidR="008D1024" w:rsidRPr="000D44EC">
        <w:rPr>
          <w:rFonts w:ascii="Times New Roman" w:hAnsi="Times New Roman" w:cs="Times New Roman"/>
        </w:rPr>
        <w:fldChar w:fldCharType="end"/>
      </w:r>
      <w:r w:rsidR="008D1024">
        <w:rPr>
          <w:rFonts w:ascii="Times New Roman" w:hAnsi="Times New Roman" w:cs="Times New Roman"/>
        </w:rPr>
        <w:t xml:space="preserve"> </w:t>
      </w:r>
      <w:r>
        <w:rPr>
          <w:rFonts w:ascii="Times New Roman" w:hAnsi="Times New Roman" w:cs="Times New Roman"/>
        </w:rPr>
        <w:t>presents that</w:t>
      </w:r>
      <w:r w:rsidR="00941C56" w:rsidRPr="000D44EC">
        <w:rPr>
          <w:rFonts w:ascii="Times New Roman" w:hAnsi="Times New Roman" w:cs="Times New Roman"/>
        </w:rPr>
        <w:t xml:space="preserve"> 40% of </w:t>
      </w:r>
      <w:r>
        <w:rPr>
          <w:rFonts w:ascii="Times New Roman" w:hAnsi="Times New Roman" w:cs="Times New Roman"/>
        </w:rPr>
        <w:t>Gen Y</w:t>
      </w:r>
      <w:r w:rsidR="0014675C">
        <w:rPr>
          <w:rFonts w:ascii="Times New Roman" w:hAnsi="Times New Roman" w:cs="Times New Roman"/>
        </w:rPr>
        <w:t xml:space="preserve"> admit the smartphone addiction</w:t>
      </w:r>
      <w:r w:rsidR="00941C56" w:rsidRPr="000D44EC">
        <w:rPr>
          <w:rFonts w:ascii="Times New Roman" w:hAnsi="Times New Roman" w:cs="Times New Roman"/>
        </w:rPr>
        <w:t xml:space="preserve"> and eight in ten Gens Z </w:t>
      </w:r>
      <w:r w:rsidR="0014675C">
        <w:rPr>
          <w:rFonts w:ascii="Times New Roman" w:hAnsi="Times New Roman" w:cs="Times New Roman"/>
        </w:rPr>
        <w:t>tend to d</w:t>
      </w:r>
      <w:r w:rsidR="00941C56" w:rsidRPr="000D44EC">
        <w:rPr>
          <w:rFonts w:ascii="Times New Roman" w:hAnsi="Times New Roman" w:cs="Times New Roman"/>
        </w:rPr>
        <w:t xml:space="preserve">istressed when kept away from personal electronic devices. </w:t>
      </w:r>
      <w:r w:rsidR="0014675C">
        <w:rPr>
          <w:rFonts w:ascii="Times New Roman" w:hAnsi="Times New Roman" w:cs="Times New Roman"/>
        </w:rPr>
        <w:t xml:space="preserve">Consequently, </w:t>
      </w:r>
      <w:r w:rsidR="00941C56" w:rsidRPr="000D44EC">
        <w:rPr>
          <w:rFonts w:ascii="Times New Roman" w:hAnsi="Times New Roman" w:cs="Times New Roman"/>
        </w:rPr>
        <w:t xml:space="preserve">young generation </w:t>
      </w:r>
      <w:r w:rsidR="0014675C">
        <w:rPr>
          <w:rFonts w:ascii="Times New Roman" w:hAnsi="Times New Roman" w:cs="Times New Roman"/>
        </w:rPr>
        <w:t xml:space="preserve">consider as adjustable the technological changes. </w:t>
      </w:r>
      <w:r w:rsidR="00941C56" w:rsidRPr="000D44EC">
        <w:rPr>
          <w:rFonts w:ascii="Times New Roman" w:hAnsi="Times New Roman" w:cs="Times New Roman"/>
        </w:rPr>
        <w:t xml:space="preserve">Similar </w:t>
      </w:r>
      <w:r w:rsidR="0014675C">
        <w:rPr>
          <w:rFonts w:ascii="Times New Roman" w:hAnsi="Times New Roman" w:cs="Times New Roman"/>
        </w:rPr>
        <w:t xml:space="preserve">trend has been confirmed within the study. </w:t>
      </w:r>
    </w:p>
    <w:p w14:paraId="47B4A745" w14:textId="4571A463" w:rsidR="00AD3736" w:rsidRPr="000D44EC" w:rsidRDefault="00AD3736" w:rsidP="00AD3736">
      <w:pPr>
        <w:rPr>
          <w:rFonts w:ascii="Times New Roman" w:hAnsi="Times New Roman" w:cs="Times New Roman"/>
        </w:rPr>
      </w:pPr>
      <w:r w:rsidRPr="000D44EC">
        <w:rPr>
          <w:rFonts w:ascii="Times New Roman" w:hAnsi="Times New Roman" w:cs="Times New Roman"/>
        </w:rPr>
        <w:t xml:space="preserve">Concerning the determinants of GM, the PLS-SEM analysis reported that FC, HB and HM are significant. </w:t>
      </w:r>
      <w:r w:rsidR="00C7758E" w:rsidRPr="000D44EC">
        <w:rPr>
          <w:rFonts w:ascii="Times New Roman" w:hAnsi="Times New Roman" w:cs="Times New Roman"/>
        </w:rPr>
        <w:t xml:space="preserve">According to Hanus and Fox </w:t>
      </w:r>
      <w:r w:rsidR="00C7758E" w:rsidRPr="000D44EC">
        <w:rPr>
          <w:rFonts w:ascii="Times New Roman" w:hAnsi="Times New Roman" w:cs="Times New Roman"/>
        </w:rPr>
        <w:fldChar w:fldCharType="begin" w:fldLock="1"/>
      </w:r>
      <w:r w:rsidR="00E437E3">
        <w:rPr>
          <w:rFonts w:ascii="Times New Roman" w:hAnsi="Times New Roman" w:cs="Times New Roman"/>
        </w:rPr>
        <w:instrText>ADDIN CSL_CITATION {"citationItems":[{"id":"ITEM-1","itemData":{"DOI":"10.1016/j.compedu.2014.08.019","ISBN":"0360-1315\\","ISSN":"03601315","PMID":"25246403","abstract":"Gamification, the application of game elements to non-game settings, continues to grow in popularity as a method to increase student engagement in the classroom. We tested students across two courses, measuring their motivation, social comparison, effort, satisfaction, learner empowerment, and academic performance at four points during a 16-week semester. One course received a gamified curriculum, featuring a leaderboard and badges, whereas the other course received the same curriculum without the gamified elements. Our results found that students in the gamified course showed less motivation, satisfaction, and empowerment over time than those in the non-gamified class. The effect of course type on students' final exam scores was mediated by students' levels of intrinsic motivation, with students in the gamified course showing less motivation and lower final exam scores than the non-gamified class. This suggests that some care should be taken when applying certain gamification mechanics to educational settings.","author":[{"dropping-particle":"","family":"Hanus","given":"Michael D.","non-dropping-particle":"","parse-names":false,"suffix":""},{"dropping-particle":"","family":"Fox","given":"Jesse","non-dropping-particle":"","parse-names":false,"suffix":""}],"container-title":"Computers and Education","id":"ITEM-1","issued":{"date-parts":[["2015"]]},"title":"Assessing the effects of gamification in the classroom: A longitudinal study on intrinsic motivation, social comparison, satisfaction, effort, and academic performance","type":"article-journal"},"suppress-author":1,"uris":["http://www.mendeley.com/documents/?uuid=034c688b-98dc-419f-b8ad-904553fdb60e"]}],"mendeley":{"formattedCitation":"(2015)","plainTextFormattedCitation":"(2015)","previouslyFormattedCitation":"(2015)"},"properties":{"noteIndex":0},"schema":"https://github.com/citation-style-language/schema/raw/master/csl-citation.json"}</w:instrText>
      </w:r>
      <w:r w:rsidR="00C7758E" w:rsidRPr="000D44EC">
        <w:rPr>
          <w:rFonts w:ascii="Times New Roman" w:hAnsi="Times New Roman" w:cs="Times New Roman"/>
        </w:rPr>
        <w:fldChar w:fldCharType="separate"/>
      </w:r>
      <w:r w:rsidR="008F28C8" w:rsidRPr="008F28C8">
        <w:rPr>
          <w:rFonts w:ascii="Times New Roman" w:hAnsi="Times New Roman" w:cs="Times New Roman"/>
          <w:noProof/>
        </w:rPr>
        <w:t>(2015)</w:t>
      </w:r>
      <w:r w:rsidR="00C7758E" w:rsidRPr="000D44EC">
        <w:rPr>
          <w:rFonts w:ascii="Times New Roman" w:hAnsi="Times New Roman" w:cs="Times New Roman"/>
        </w:rPr>
        <w:fldChar w:fldCharType="end"/>
      </w:r>
      <w:r w:rsidR="00C7758E" w:rsidRPr="000D44EC">
        <w:rPr>
          <w:rFonts w:ascii="Times New Roman" w:hAnsi="Times New Roman" w:cs="Times New Roman"/>
        </w:rPr>
        <w:t xml:space="preserve">, between HM and GM is a positive association. </w:t>
      </w:r>
      <w:r w:rsidRPr="000D44EC">
        <w:rPr>
          <w:rFonts w:ascii="Times New Roman" w:hAnsi="Times New Roman" w:cs="Times New Roman"/>
        </w:rPr>
        <w:t>Nevertheless, the effect of SI o</w:t>
      </w:r>
      <w:r w:rsidR="004F1437">
        <w:rPr>
          <w:rFonts w:ascii="Times New Roman" w:hAnsi="Times New Roman" w:cs="Times New Roman"/>
        </w:rPr>
        <w:t>n</w:t>
      </w:r>
      <w:r w:rsidRPr="000D44EC">
        <w:rPr>
          <w:rFonts w:ascii="Times New Roman" w:hAnsi="Times New Roman" w:cs="Times New Roman"/>
        </w:rPr>
        <w:t xml:space="preserve"> GM </w:t>
      </w:r>
      <w:r w:rsidR="004F1437">
        <w:rPr>
          <w:rFonts w:ascii="Times New Roman" w:hAnsi="Times New Roman" w:cs="Times New Roman"/>
        </w:rPr>
        <w:t>resulted in</w:t>
      </w:r>
      <w:r w:rsidRPr="000D44EC">
        <w:rPr>
          <w:rFonts w:ascii="Times New Roman" w:hAnsi="Times New Roman" w:cs="Times New Roman"/>
        </w:rPr>
        <w:t xml:space="preserve">significant, which contradicts the Hamari and Koivisto’s </w:t>
      </w:r>
      <w:r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{"citationItems":[{"id":"ITEM-1","itemData":{"DOI":"10.1016/j.chb.2015.04.018","ISSN":"07475632","abstract":"Today, people use a variety of social and gameful (mobile) applications in order to motivate themselves and others to maintain difficult habits such as exercise, sustainable consumption and healthy eating. However, we have yet lacked understanding of how social influence affects willingness to maintain these difficult habits with the help of gamification services. In order to investigate this phenomenon, we measured how social influence predicts attitudes, use and further exercise in the context of gamification of exercise. Our results show that people indeed do \"work out for likes\", or in other words, social influence, positive recognition and reciprocity have a positive impact on how much people are willing to exercise as well as their attitudes and willingness to use gamification services. Moreover, we found that the more friends a user has in the service, the larger the effects are. Furthermore, the findings of the empirical study further provide new understanding on the phenomenon of social influence in technology adoption/use continuance in general by showing, in addition to subjective norms, how getting recognized, receiving reciprocal benefits and network effects contribute to use continuance.","author":[{"dropping-particle":"","family":"Hamari","given":"Juho","non-dropping-particle":"","parse-names":false,"suffix":""},{"dropping-particle":"","family":"Koivisto","given":"Jonna","non-dropping-particle":"","parse-names":false,"suffix":""}],"container-title":"Computers in Human Behavior","id":"ITEM-1","issued":{"date-parts":[["2015"]]},"title":"\"Working out for likes\": An empirical study on social influence in exercise gamification","type":"article-journal"},"uris":["http://www.mendeley.com/documents/?uuid=e4c3f958-8fd6-33a7-9f84-9d6dff58be18"]}],"mendeley":{"formattedCitation":"(Hamari &amp; Koivisto, 2015)","plainTextFormattedCitation":"(Hamari &amp; Koivisto, 2015)","previouslyFormattedCitation":"(Hamari &amp; Koivisto, 2015)"},"properties":{"noteIndex":0},"schema":"https://github.com/citation-style-language/schema/raw/master/csl-citation.json"}</w:instrText>
      </w:r>
      <w:r w:rsidRPr="000D44EC">
        <w:rPr>
          <w:rFonts w:ascii="Times New Roman" w:hAnsi="Times New Roman" w:cs="Times New Roman"/>
        </w:rPr>
        <w:fldChar w:fldCharType="separate"/>
      </w:r>
      <w:r w:rsidR="0056686A" w:rsidRPr="0056686A">
        <w:rPr>
          <w:rFonts w:ascii="Times New Roman" w:hAnsi="Times New Roman" w:cs="Times New Roman"/>
          <w:noProof/>
        </w:rPr>
        <w:t>(Hamari &amp; Koivisto, 2015)</w:t>
      </w:r>
      <w:r w:rsidRPr="000D44EC">
        <w:rPr>
          <w:rFonts w:ascii="Times New Roman" w:hAnsi="Times New Roman" w:cs="Times New Roman"/>
        </w:rPr>
        <w:fldChar w:fldCharType="end"/>
      </w:r>
      <w:r w:rsidRPr="000D44EC">
        <w:rPr>
          <w:rFonts w:ascii="Times New Roman" w:hAnsi="Times New Roman" w:cs="Times New Roman"/>
        </w:rPr>
        <w:t xml:space="preserve"> finding</w:t>
      </w:r>
      <w:r w:rsidR="00C7758E" w:rsidRPr="000D44EC">
        <w:rPr>
          <w:rFonts w:ascii="Times New Roman" w:hAnsi="Times New Roman" w:cs="Times New Roman"/>
        </w:rPr>
        <w:t>s</w:t>
      </w:r>
      <w:r w:rsidRPr="000D44EC">
        <w:rPr>
          <w:rFonts w:ascii="Times New Roman" w:hAnsi="Times New Roman" w:cs="Times New Roman"/>
        </w:rPr>
        <w:t>.</w:t>
      </w:r>
      <w:r w:rsidR="00A37FAA">
        <w:rPr>
          <w:rFonts w:ascii="Times New Roman" w:hAnsi="Times New Roman" w:cs="Times New Roman"/>
        </w:rPr>
        <w:t xml:space="preserve"> Indicating that game elements should be employed to induce the usage experience with fun and joy followed with simply feature incorporated within the mobile app.</w:t>
      </w:r>
      <w:r w:rsidR="0056686A">
        <w:rPr>
          <w:rFonts w:ascii="Times New Roman" w:hAnsi="Times New Roman" w:cs="Times New Roman"/>
        </w:rPr>
        <w:t xml:space="preserve"> </w:t>
      </w:r>
    </w:p>
    <w:p w14:paraId="2B2ED47E" w14:textId="181DDBF6" w:rsidR="00A200A1" w:rsidRPr="000D44EC" w:rsidRDefault="00A200A1" w:rsidP="00A200A1">
      <w:pPr>
        <w:rPr>
          <w:rFonts w:ascii="Times New Roman" w:hAnsi="Times New Roman" w:cs="Times New Roman"/>
        </w:rPr>
      </w:pPr>
      <w:r w:rsidRPr="000D44EC">
        <w:rPr>
          <w:rFonts w:ascii="Times New Roman" w:hAnsi="Times New Roman" w:cs="Times New Roman"/>
        </w:rPr>
        <w:t xml:space="preserve">BI and HB positively and statistically influence the use of </w:t>
      </w:r>
      <w:r w:rsidR="003418EE">
        <w:rPr>
          <w:rFonts w:ascii="Times New Roman" w:hAnsi="Times New Roman" w:cs="Times New Roman"/>
        </w:rPr>
        <w:t>m-banking</w:t>
      </w:r>
      <w:r w:rsidR="00AD32BB" w:rsidRPr="000D44EC">
        <w:rPr>
          <w:rFonts w:ascii="Times New Roman" w:hAnsi="Times New Roman" w:cs="Times New Roman"/>
        </w:rPr>
        <w:t xml:space="preserve">, which </w:t>
      </w:r>
      <w:r w:rsidR="00001526">
        <w:rPr>
          <w:rFonts w:ascii="Times New Roman" w:hAnsi="Times New Roman" w:cs="Times New Roman"/>
        </w:rPr>
        <w:t xml:space="preserve">is consistent with </w:t>
      </w:r>
      <w:r w:rsidR="004F1437">
        <w:rPr>
          <w:rFonts w:ascii="Times New Roman" w:hAnsi="Times New Roman" w:cs="Times New Roman"/>
        </w:rPr>
        <w:t>the prior study conducted i</w:t>
      </w:r>
      <w:r w:rsidR="00AD32BB" w:rsidRPr="000D44EC">
        <w:rPr>
          <w:rFonts w:ascii="Times New Roman" w:hAnsi="Times New Roman" w:cs="Times New Roman"/>
        </w:rPr>
        <w:t xml:space="preserve">n this field </w:t>
      </w:r>
      <w:r w:rsidR="00AD32BB"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{"citationItems":[{"id":"ITEM-1","itemData":{"DOI":"10.1016/J.IJINFOMGT.2013.06.002","ISSN":"0268-4012","abstract":"Understanding the main determinants of Internet banking adoption is important for banks and users; our understanding of the role of users’ perceived risk in Internet banking adoption is limited. In response, we develop a conceptual model that combines unified theory of acceptance and use of technology (UTAUT) with perceived risk to explain behaviour intention and usage behaviour of Internet banking. To test the conceptual model we collected data from Portugal (249 valid cases). Our results support some relationships of UTAUT, such as performance expectancy, effort expectancy, and social influence, and also the role of risk as a stronger predictor of intention. To explain usage behaviour of Internet banking the most important factor is behavioural intention to use Internet banking.","author":[{"dropping-particle":"","family":"Martins","given":"Carolina","non-dropping-particle":"","parse-names":false,"suffix":""},{"dropping-particle":"","family":"Oliveira","given":"Tiago","non-dropping-particle":"","parse-names":false,"suffix":""},{"dropping-particle":"","family":"Popovič","given":"Aleš","non-dropping-particle":"","parse-names":false,"suffix":""}],"container-title":"International Journal of Information Management","id":"ITEM-1","issue":"1","issued":{"date-parts":[["2014","2"]]},"page":"1-13","publisher":"Pergamon","title":"Understanding the Internet banking adoption: A unified theory of acceptance and use of technology and perceived risk application","type":"article-journal","volume":"34"},"uris":["http://www.mendeley.com/documents/?uuid=96813dcc-876f-4822-b605-c49b13f34395"]},{"id":"ITEM-2","itemData":{"DOI":"10.1108/IntR-10-2015-0295","ISSN":"1066-2243","abstract":"Purpose The purpose of this paper is to identify the potential impact of the utilization of game mechanics and game design techniques in the acceptance of mobile banking services. Design/methodology/approach The theoretical model was tested in a quantitative study using structural equation modelling, conducted in Brazil, with actual local banking customers. Findings The findings show that there is a direct and strong relationship between gamification and intention to use mobile banking services, supporting that, when used and designed properly, gamification can help make banking activities more exciting, more interesting and more enjoyable, and in turn increase customer acceptance, engagement and satisfaction. Research limitations/implications The research extends the unified theory of acceptance and use of technology (UTAUT2), and prior research to include gamification impact. The result is a more descriptive model that better explains consumers’ decision to use mobile banking services. Practical implica...","author":[{"dropping-particle":"","family":"Baptista","given":"Goncalo","non-dropping-particle":"","parse-names":false,"suffix":""},{"dropping-particle":"","family":"Oliveira","given":"Tiago","non-dropping-particle":"","parse-names":false,"suffix":""}],"container-title":"Internet Research","id":"ITEM-2","issue":"1","issued":{"date-parts":[["2017","2"]]},"page":"118-139","publisher":"Emerald Publishing Limited","title":"Why so serious? Gamification impact in the acceptance of mobile banking services","type":"article-journal","volume":"27"},"uris":["http://www.mendeley.com/documents/?uuid=0b3f374e-8b77-42e6-bc77-b7919247f6cf"]}],"mendeley":{"formattedCitation":"(Baptista &amp; Oliveira, 2017; Martins et al., 2014)","plainTextFormattedCitation":"(Baptista &amp; Oliveira, 2017; Martins et al., 2014)","previouslyFormattedCitation":"(Baptista &amp; Oliveira, 2017; Martins et al., 2014)"},"properties":{"noteIndex":0},"schema":"https://github.com/citation-style-language/schema/raw/master/csl-citation.json"}</w:instrText>
      </w:r>
      <w:r w:rsidR="00AD32BB" w:rsidRPr="000D44EC">
        <w:rPr>
          <w:rFonts w:ascii="Times New Roman" w:hAnsi="Times New Roman" w:cs="Times New Roman"/>
        </w:rPr>
        <w:fldChar w:fldCharType="separate"/>
      </w:r>
      <w:r w:rsidR="0056686A" w:rsidRPr="0056686A">
        <w:rPr>
          <w:rFonts w:ascii="Times New Roman" w:hAnsi="Times New Roman" w:cs="Times New Roman"/>
          <w:noProof/>
        </w:rPr>
        <w:t>(Baptista &amp; Oliveira, 2017; Martins et al., 2014)</w:t>
      </w:r>
      <w:r w:rsidR="00AD32BB" w:rsidRPr="000D44EC">
        <w:rPr>
          <w:rFonts w:ascii="Times New Roman" w:hAnsi="Times New Roman" w:cs="Times New Roman"/>
        </w:rPr>
        <w:fldChar w:fldCharType="end"/>
      </w:r>
      <w:r w:rsidRPr="000D44EC">
        <w:rPr>
          <w:rFonts w:ascii="Times New Roman" w:hAnsi="Times New Roman" w:cs="Times New Roman"/>
        </w:rPr>
        <w:t xml:space="preserve">. </w:t>
      </w:r>
      <w:r w:rsidR="00557285">
        <w:rPr>
          <w:rFonts w:ascii="Times New Roman" w:hAnsi="Times New Roman" w:cs="Times New Roman"/>
        </w:rPr>
        <w:t>Si</w:t>
      </w:r>
      <w:r w:rsidR="00A37FAA">
        <w:rPr>
          <w:rFonts w:ascii="Times New Roman" w:hAnsi="Times New Roman" w:cs="Times New Roman"/>
        </w:rPr>
        <w:t>gnifying that users have grater opportunities</w:t>
      </w:r>
      <w:r w:rsidR="00557285">
        <w:rPr>
          <w:rFonts w:ascii="Times New Roman" w:hAnsi="Times New Roman" w:cs="Times New Roman"/>
        </w:rPr>
        <w:t xml:space="preserve"> to use m-banking if the intention to use is </w:t>
      </w:r>
      <w:r w:rsidR="00557285" w:rsidRPr="00557285">
        <w:rPr>
          <w:rFonts w:ascii="Times New Roman" w:hAnsi="Times New Roman" w:cs="Times New Roman"/>
        </w:rPr>
        <w:t>embody</w:t>
      </w:r>
      <w:r w:rsidR="00A37FAA">
        <w:rPr>
          <w:rFonts w:ascii="Times New Roman" w:hAnsi="Times New Roman" w:cs="Times New Roman"/>
        </w:rPr>
        <w:t xml:space="preserve"> and the m-banking is used regullary to perform financial transactions</w:t>
      </w:r>
      <w:r w:rsidR="00557285">
        <w:rPr>
          <w:rFonts w:ascii="Times New Roman" w:hAnsi="Times New Roman" w:cs="Times New Roman"/>
        </w:rPr>
        <w:t xml:space="preserve">. </w:t>
      </w:r>
      <w:r w:rsidR="00AF5D18">
        <w:rPr>
          <w:rFonts w:ascii="Times New Roman" w:hAnsi="Times New Roman" w:cs="Times New Roman"/>
        </w:rPr>
        <w:t xml:space="preserve">Contradicting the </w:t>
      </w:r>
      <w:r w:rsidR="00AF5D18" w:rsidRPr="00AF5D18">
        <w:rPr>
          <w:rFonts w:ascii="Times New Roman" w:hAnsi="Times New Roman" w:cs="Times New Roman"/>
        </w:rPr>
        <w:t>initial</w:t>
      </w:r>
      <w:r w:rsidR="00AF5D18">
        <w:rPr>
          <w:rFonts w:ascii="Times New Roman" w:hAnsi="Times New Roman" w:cs="Times New Roman"/>
        </w:rPr>
        <w:t xml:space="preserve"> </w:t>
      </w:r>
      <w:r w:rsidRPr="000D44EC">
        <w:rPr>
          <w:rFonts w:ascii="Times New Roman" w:hAnsi="Times New Roman" w:cs="Times New Roman"/>
        </w:rPr>
        <w:t>expectation</w:t>
      </w:r>
      <w:r w:rsidR="00AF5D18">
        <w:rPr>
          <w:rFonts w:ascii="Times New Roman" w:hAnsi="Times New Roman" w:cs="Times New Roman"/>
        </w:rPr>
        <w:t xml:space="preserve"> of this study and the factors which</w:t>
      </w:r>
      <w:r w:rsidR="00BF5F1B">
        <w:rPr>
          <w:rFonts w:ascii="Times New Roman" w:hAnsi="Times New Roman" w:cs="Times New Roman"/>
        </w:rPr>
        <w:t xml:space="preserve"> </w:t>
      </w:r>
      <w:r w:rsidR="007D0F7C">
        <w:rPr>
          <w:rFonts w:ascii="Times New Roman" w:hAnsi="Times New Roman" w:cs="Times New Roman"/>
        </w:rPr>
        <w:t>impact</w:t>
      </w:r>
      <w:r w:rsidR="00AF5D18">
        <w:rPr>
          <w:rFonts w:ascii="Times New Roman" w:hAnsi="Times New Roman" w:cs="Times New Roman"/>
        </w:rPr>
        <w:t xml:space="preserve"> BI, the impact of FC on</w:t>
      </w:r>
      <w:r w:rsidRPr="000D44EC">
        <w:rPr>
          <w:rFonts w:ascii="Times New Roman" w:hAnsi="Times New Roman" w:cs="Times New Roman"/>
        </w:rPr>
        <w:t xml:space="preserve"> UB was insignificant</w:t>
      </w:r>
      <w:r w:rsidR="00AD32BB" w:rsidRPr="000D44EC">
        <w:rPr>
          <w:rFonts w:ascii="Times New Roman" w:hAnsi="Times New Roman" w:cs="Times New Roman"/>
        </w:rPr>
        <w:t>, which converges</w:t>
      </w:r>
      <w:r w:rsidR="00AF5D18">
        <w:rPr>
          <w:rFonts w:ascii="Times New Roman" w:hAnsi="Times New Roman" w:cs="Times New Roman"/>
        </w:rPr>
        <w:t xml:space="preserve"> the prior </w:t>
      </w:r>
      <w:r w:rsidR="00B2780C" w:rsidRPr="000D44EC">
        <w:rPr>
          <w:rFonts w:ascii="Times New Roman" w:hAnsi="Times New Roman" w:cs="Times New Roman"/>
        </w:rPr>
        <w:t>findings</w:t>
      </w:r>
      <w:r w:rsidR="00AD32BB" w:rsidRPr="000D44EC">
        <w:rPr>
          <w:rFonts w:ascii="Times New Roman" w:hAnsi="Times New Roman" w:cs="Times New Roman"/>
        </w:rPr>
        <w:t xml:space="preserve"> </w:t>
      </w:r>
      <w:r w:rsidR="00AD32BB"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{"citationItems":[{"id":"ITEM-1","itemData":{"DOI":"10.1016/J.IJINFOMGT.2013.06.002","ISSN":"0268-4012","abstract":"Understanding the main determinants of Internet banking adoption is important for banks and users; our understanding of the role of users’ perceived risk in Internet banking adoption is limited. In response, we develop a conceptual model that combines unified theory of acceptance and use of technology (UTAUT) with perceived risk to explain behaviour intention and usage behaviour of Internet banking. To test the conceptual model we collected data from Portugal (249 valid cases). Our results support some relationships of UTAUT, such as performance expectancy, effort expectancy, and social influence, and also the role of risk as a stronger predictor of intention. To explain usage behaviour of Internet banking the most important factor is behavioural intention to use Internet banking.","author":[{"dropping-particle":"","family":"Martins","given":"Carolina","non-dropping-particle":"","parse-names":false,"suffix":""},{"dropping-particle":"","family":"Oliveira","given":"Tiago","non-dropping-particle":"","parse-names":false,"suffix":""},{"dropping-particle":"","family":"Popovič","given":"Aleš","non-dropping-particle":"","parse-names":false,"suffix":""}],"container-title":"International Journal of Information Management","id":"ITEM-1","issue":"1","issued":{"date-parts":[["2014","2"]]},"page":"1-13","publisher":"Pergamon","title":"Understanding the Internet banking adoption: A unified theory of acceptance and use of technology and perceived risk application","type":"article-journal","volume":"34"},"uris":["http://www.mendeley.com/documents/?uuid=96813dcc-876f-4822-b605-c49b13f34395"]},{"id":"ITEM-2","itemData":{"DOI":"10.1108/IJIS-11-2017-0119","abstract":"Purpose: This study aims to evaluate the impact of country culture, represented by Hofstede cultural dimensions, in the adoption of Brazilian mobile banking services. Design/methodology/approach: Based on the replication of a theoretical model previously tested in Mozambique (Africa) that combines the extended version of the unified theory of acceptance and use of technology (UTAUT2) with the five Hofstede cultural dimensions, this study tested that model in another emerging country, Brazil, using partial least squares (PLS) as a modeling method. Findings: Replication showed that the cultural dimensions do not present strong significance in the moderation of the use of mobile banking. In fact, out of the five dimensions tested, three were not significant and two showed weak significance (p &lt; 0.10): collectivism and short-term orientation. Those results, contrasting with that one presented by Baptista and Oliveira (2015), made sense under Ajzen’s theory (1991) – the TPB, leading to the conclusion that the moderation of cultural dimensions on behavior use is not applicable. Originality/value: The authors concluded that the tested model may not be adherent, finding a theoretical gap to be explored in future studies: the moderation of the behavioral intention by cultural variables proposed by Hofstede. That finding supported the proposition of a new theoretical model, which considers the moderation of cultural dimensions in another place: behavioral intention to use mobile banking instead of the behavior use, as proposed by Baptista and Oliveira (2015). So, based on the research results and based on some authors cited in this study (Choi et al., 2014; Chou, 2013; Srite and Karahanna, 2006), it is proposed to insert Hofstede cultural variables as moderators of independent variables on the behavioral intention.","author":[{"dropping-particle":"","family":"Goularte","given":"Alexandre da C.","non-dropping-particle":"","parse-names":false,"suffix":""},{"dropping-particle":"","family":"Zilber","given":"Silvia Novaes","non-dropping-particle":"","parse-names":false,"suffix":""}],"container-title":"International Journal of Innovation Science","id":"ITEM-2","issue":"1","issued":{"date-parts":[["2018","3"]]},"page":"63-81","title":"The moderating role of cultural factors in the adoption of mobile banking in Brazil","type":"article-journal","volume":"11"},"uris":["http://www.mendeley.com/documents/?uuid=2801cd0d-3e71-4c7f-8f71-eefe2547a92b"]}],"mendeley":{"formattedCitation":"(Goularte &amp; Zilber, 2018; Martins et al., 2014)","plainTextFormattedCitation":"(Goularte &amp; Zilber, 2018; Martins et al., 2014)","previouslyFormattedCitation":"(Goularte &amp; Zilber, 2018; Martins et al., 2014)"},"properties":{"noteIndex":0},"schema":"https://github.com/citation-style-language/schema/raw/master/csl-citation.json"}</w:instrText>
      </w:r>
      <w:r w:rsidR="00AD32BB" w:rsidRPr="000D44EC">
        <w:rPr>
          <w:rFonts w:ascii="Times New Roman" w:hAnsi="Times New Roman" w:cs="Times New Roman"/>
        </w:rPr>
        <w:fldChar w:fldCharType="separate"/>
      </w:r>
      <w:r w:rsidR="0056686A" w:rsidRPr="0056686A">
        <w:rPr>
          <w:rFonts w:ascii="Times New Roman" w:hAnsi="Times New Roman" w:cs="Times New Roman"/>
          <w:noProof/>
        </w:rPr>
        <w:t>(Goularte &amp; Zilber, 2018; Martins et al., 2014)</w:t>
      </w:r>
      <w:r w:rsidR="00AD32BB" w:rsidRPr="000D44EC">
        <w:rPr>
          <w:rFonts w:ascii="Times New Roman" w:hAnsi="Times New Roman" w:cs="Times New Roman"/>
        </w:rPr>
        <w:fldChar w:fldCharType="end"/>
      </w:r>
      <w:r w:rsidRPr="000D44EC">
        <w:rPr>
          <w:rFonts w:ascii="Times New Roman" w:hAnsi="Times New Roman" w:cs="Times New Roman"/>
        </w:rPr>
        <w:t>.</w:t>
      </w:r>
      <w:r w:rsidR="002142F9" w:rsidRPr="000D44EC">
        <w:rPr>
          <w:rFonts w:ascii="Times New Roman" w:hAnsi="Times New Roman" w:cs="Times New Roman"/>
        </w:rPr>
        <w:t xml:space="preserve"> </w:t>
      </w:r>
      <w:r w:rsidR="00A37FAA">
        <w:rPr>
          <w:rFonts w:ascii="Times New Roman" w:hAnsi="Times New Roman" w:cs="Times New Roman"/>
        </w:rPr>
        <w:t xml:space="preserve">The contradicting results may be as a results of app characteristics, </w:t>
      </w:r>
      <w:r w:rsidR="00A37FAA" w:rsidRPr="00A37FAA">
        <w:rPr>
          <w:rFonts w:ascii="Times New Roman" w:hAnsi="Times New Roman" w:cs="Times New Roman"/>
        </w:rPr>
        <w:t>simplicity</w:t>
      </w:r>
      <w:r w:rsidR="00A37FAA">
        <w:rPr>
          <w:rFonts w:ascii="Times New Roman" w:hAnsi="Times New Roman" w:cs="Times New Roman"/>
        </w:rPr>
        <w:t xml:space="preserve"> and design.</w:t>
      </w:r>
    </w:p>
    <w:p w14:paraId="2570313D" w14:textId="0E75863D" w:rsidR="005D6230" w:rsidRPr="000D44EC" w:rsidRDefault="00A200A1" w:rsidP="00B9227A">
      <w:pPr>
        <w:rPr>
          <w:rFonts w:ascii="Times New Roman" w:hAnsi="Times New Roman" w:cs="Times New Roman"/>
          <w:color w:val="000000" w:themeColor="text1"/>
        </w:rPr>
      </w:pPr>
      <w:r w:rsidRPr="000D44EC">
        <w:rPr>
          <w:rFonts w:ascii="Times New Roman" w:hAnsi="Times New Roman" w:cs="Times New Roman"/>
        </w:rPr>
        <w:t>As it was foreseen, IR is positively predicted by UB.</w:t>
      </w:r>
      <w:r w:rsidR="008D0448">
        <w:rPr>
          <w:rFonts w:ascii="Times New Roman" w:hAnsi="Times New Roman" w:cs="Times New Roman"/>
        </w:rPr>
        <w:t xml:space="preserve"> Indicating that the positive or negative experience is expected to be share</w:t>
      </w:r>
      <w:r w:rsidR="0046224D">
        <w:rPr>
          <w:rFonts w:ascii="Times New Roman" w:hAnsi="Times New Roman" w:cs="Times New Roman"/>
        </w:rPr>
        <w:t xml:space="preserve">d. </w:t>
      </w:r>
      <w:r w:rsidR="00557285">
        <w:rPr>
          <w:rFonts w:ascii="Times New Roman" w:hAnsi="Times New Roman" w:cs="Times New Roman"/>
        </w:rPr>
        <w:t xml:space="preserve">The recommandations provided by m-banking users impact on potential users due to the fact that word-of-mouth is consider as a powerful mean of marketing communication </w:t>
      </w:r>
      <w:r w:rsidR="00557285">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{"citationItems":[{"id":"ITEM-1","itemData":{"DOI":"10.1016/j.intmar.2014.02.001","ISSN":"15206653","abstract":"Electronic word-of mouth (eWOM) has attracted considerable interest from researchers in the past decade. Although the extant research has helped us to develop a good understanding of a number of the issues pertaining to eWOM, several research and managerial questions remain. Furthermore, no attempt has been made to consolidate and synthesize this stream of research. With consumers' increasing reliance on online retailing and information seeking, as well as the continued growth of social media, the importance of eWOM cannot be overstated. Based on a systematic review of 190 studies, we conduct a multi-dimensional analysis of eWOM communication. We present the key issues in current and emerging literature and propose important questions for future research. © 2014.","author":[{"dropping-particle":"","family":"King","given":"Robert Allen","non-dropping-particle":"","parse-names":false,"suffix":""},{"dropping-particle":"","family":"Racherla","given":"Pradeep","non-dropping-particle":"","parse-names":false,"suffix":""},{"dropping-particle":"","family":"Bush","given":"Victoria D.","non-dropping-particle":"","parse-names":false,"suffix":""}],"container-title":"Journal of Interactive Marketing","id":"ITEM-1","issue":"3","issued":{"date-parts":[["2014"]]},"page":"167-183","publisher":"Elsevier Inc.","title":"What we know and don't know about online word-of-mouth: A review and synthesis of the literature","type":"article-journal","volume":"28"},"uris":["http://www.mendeley.com/documents/?uuid=b06d3f07-ea79-301e-bb6f-2a78ddfe5f70","http://www.mendeley.com/documents/?uuid=401c7fff-8d0d-4124-b486-f97b3c184908"]}],"mendeley":{"formattedCitation":"(King, Racherla, &amp; Bush, 2014)","plainTextFormattedCitation":"(King, Racherla, &amp; Bush, 2014)","previouslyFormattedCitation":"(King, Racherla, &amp; Bush, 2014)"},"properties":{"noteIndex":0},"schema":"https://github.com/citation-style-language/schema/raw/master/csl-citation.json"}</w:instrText>
      </w:r>
      <w:r w:rsidR="00557285">
        <w:rPr>
          <w:rFonts w:ascii="Times New Roman" w:hAnsi="Times New Roman" w:cs="Times New Roman"/>
        </w:rPr>
        <w:fldChar w:fldCharType="separate"/>
      </w:r>
      <w:r w:rsidR="0056686A" w:rsidRPr="0056686A">
        <w:rPr>
          <w:rFonts w:ascii="Times New Roman" w:hAnsi="Times New Roman" w:cs="Times New Roman"/>
          <w:noProof/>
        </w:rPr>
        <w:t>(King, Racherla, &amp; Bush, 2014)</w:t>
      </w:r>
      <w:r w:rsidR="00557285">
        <w:rPr>
          <w:rFonts w:ascii="Times New Roman" w:hAnsi="Times New Roman" w:cs="Times New Roman"/>
        </w:rPr>
        <w:fldChar w:fldCharType="end"/>
      </w:r>
      <w:r w:rsidR="00557285">
        <w:rPr>
          <w:rFonts w:ascii="Times New Roman" w:hAnsi="Times New Roman" w:cs="Times New Roman"/>
        </w:rPr>
        <w:t xml:space="preserve">. </w:t>
      </w:r>
      <w:r w:rsidR="0033175F" w:rsidRPr="000D44EC">
        <w:rPr>
          <w:rFonts w:ascii="Times New Roman" w:hAnsi="Times New Roman" w:cs="Times New Roman"/>
        </w:rPr>
        <w:t xml:space="preserve">However, the effect size was reported </w:t>
      </w:r>
      <w:r w:rsidR="00EA402F">
        <w:rPr>
          <w:rFonts w:ascii="Times New Roman" w:hAnsi="Times New Roman" w:cs="Times New Roman"/>
        </w:rPr>
        <w:t>as</w:t>
      </w:r>
      <w:r w:rsidR="0033175F" w:rsidRPr="000D44EC">
        <w:rPr>
          <w:rFonts w:ascii="Times New Roman" w:hAnsi="Times New Roman" w:cs="Times New Roman"/>
        </w:rPr>
        <w:t xml:space="preserve"> </w:t>
      </w:r>
      <w:r w:rsidR="004F1437">
        <w:rPr>
          <w:rFonts w:ascii="Times New Roman" w:hAnsi="Times New Roman" w:cs="Times New Roman"/>
        </w:rPr>
        <w:t>weak</w:t>
      </w:r>
      <w:r w:rsidR="0033175F" w:rsidRPr="000D44EC">
        <w:rPr>
          <w:rFonts w:ascii="Times New Roman" w:hAnsi="Times New Roman" w:cs="Times New Roman"/>
        </w:rPr>
        <w:t xml:space="preserve"> (R</w:t>
      </w:r>
      <w:r w:rsidR="0033175F" w:rsidRPr="000D44EC">
        <w:rPr>
          <w:rFonts w:ascii="Times New Roman" w:hAnsi="Times New Roman" w:cs="Times New Roman"/>
          <w:vertAlign w:val="superscript"/>
        </w:rPr>
        <w:t>2</w:t>
      </w:r>
      <w:r w:rsidR="0033175F" w:rsidRPr="000D44EC">
        <w:rPr>
          <w:rFonts w:ascii="Times New Roman" w:hAnsi="Times New Roman" w:cs="Times New Roman"/>
        </w:rPr>
        <w:t xml:space="preserve"> = 7.4%). </w:t>
      </w:r>
      <w:r w:rsidR="008B425B" w:rsidRPr="000D44EC">
        <w:rPr>
          <w:rFonts w:ascii="Times New Roman" w:hAnsi="Times New Roman" w:cs="Times New Roman"/>
        </w:rPr>
        <w:t xml:space="preserve">On the other side, </w:t>
      </w:r>
      <w:r w:rsidR="0033175F" w:rsidRPr="000D44EC">
        <w:rPr>
          <w:rFonts w:ascii="Times New Roman" w:hAnsi="Times New Roman" w:cs="Times New Roman"/>
          <w:noProof/>
          <w:color w:val="000000" w:themeColor="text1"/>
        </w:rPr>
        <w:t xml:space="preserve">Oliveira et al. </w:t>
      </w:r>
      <w:r w:rsidR="0033175F" w:rsidRPr="000D44EC">
        <w:rPr>
          <w:rFonts w:ascii="Times New Roman" w:hAnsi="Times New Roman" w:cs="Times New Roman"/>
          <w:color w:val="000000" w:themeColor="text1"/>
        </w:rPr>
        <w:fldChar w:fldCharType="begin" w:fldLock="1"/>
      </w:r>
      <w:r w:rsidR="008F28C8">
        <w:rPr>
          <w:rFonts w:ascii="Times New Roman" w:hAnsi="Times New Roman" w:cs="Times New Roman"/>
          <w:color w:val="000000" w:themeColor="text1"/>
        </w:rPr>
        <w:instrText>ADDIN CSL_CITATION {"citationItems":[{"id":"ITEM-1","itemData":{"DOI":"10.1016/J.CHB.2016.03.030","ISSN":"0747-5632","abstract":"Mobile payment is receiving growing attention globally, from consumers to merchants, as an alternative to using cash, check, or credit cards. The potential of this technology is enormous. This study aims to identify the main determinants of mobile payment adoption and the intention to recommend this technology. We advance the body of knowledge on this subject by proposing an innovative research model that combines the strengths of two well-known theories; the extended unified theory of acceptance and use of technology (UTAUT2) with the innovation characteristics of the diffusion of innovations (DOI), with perceived security and intention to recommend the technology constructs. The research model was empirically tested using 301 responses from an online survey conducted in a European country, Portugal. Data was analyzed using the structured equation modeling (SEM). We found compatibility, perceived technology security, performance expectations, innovativeness, and social influence to have significant direct and indirect effects over the adoption of mobile payment and the intention to recommend this technology. The relevance of customer's intention to recommend mobile payment technology in social networks and other means of communication was also confirmed, supporting the recommendation to include it in social marketing campaigns and in future technology adoption studies. For researchers this study provides a basis for further refinement of individual models of acceptance. For practitioners, understanding the key constructs is crucial to design, refine, and implement mobile payment services, applications, and products that achieve high consumer acceptance, value, and high rates of positive recommendations in social networks.","author":[{"dropping-particle":"","family":"Oliveira","given":"Tiago","non-dropping-particle":"","parse-names":false,"suffix":""},{"dropping-particle":"","family":"Thomas","given":"Manoj","non-dropping-particle":"","parse-names":false,"suffix":""},{"dropping-particle":"","family":"Baptista","given":"Goncalo","non-dropping-particle":"","parse-names":false,"suffix":""},{"dropping-particle":"","family":"Campos","given":"Filipe","non-dropping-particle":"","parse-names":false,"suffix":""}],"container-title":"Computers in Human Behavior","id":"ITEM-1","issued":{"date-parts":[["2016","8","1"]]},"page":"404-414","publisher":"Pergamon","title":"Mobile payment: Understanding the determinants of customer adoption and intention to recommend the technology","type":"article-journal","volume":"61"},"suppress-author":1,"uris":["http://www.mendeley.com/documents/?uuid=694e6471-b004-3a32-af23-bebe125fa7d5"]}],"mendeley":{"formattedCitation":"(2016)","plainTextFormattedCitation":"(2016)","previouslyFormattedCitation":"(2016)"},"properties":{"noteIndex":0},"schema":"https://github.com/citation-style-language/schema/raw/master/csl-citation.json"}</w:instrText>
      </w:r>
      <w:r w:rsidR="0033175F" w:rsidRPr="000D44EC">
        <w:rPr>
          <w:rFonts w:ascii="Times New Roman" w:hAnsi="Times New Roman" w:cs="Times New Roman"/>
          <w:color w:val="000000" w:themeColor="text1"/>
        </w:rPr>
        <w:fldChar w:fldCharType="separate"/>
      </w:r>
      <w:r w:rsidR="008F28C8" w:rsidRPr="008F28C8">
        <w:rPr>
          <w:rFonts w:ascii="Times New Roman" w:hAnsi="Times New Roman" w:cs="Times New Roman"/>
          <w:noProof/>
          <w:color w:val="000000" w:themeColor="text1"/>
        </w:rPr>
        <w:t>(2016)</w:t>
      </w:r>
      <w:r w:rsidR="0033175F" w:rsidRPr="000D44EC">
        <w:rPr>
          <w:rFonts w:ascii="Times New Roman" w:hAnsi="Times New Roman" w:cs="Times New Roman"/>
          <w:color w:val="000000" w:themeColor="text1"/>
        </w:rPr>
        <w:fldChar w:fldCharType="end"/>
      </w:r>
      <w:r w:rsidR="0033175F" w:rsidRPr="000D44EC">
        <w:rPr>
          <w:rFonts w:ascii="Times New Roman" w:hAnsi="Times New Roman" w:cs="Times New Roman"/>
          <w:color w:val="000000" w:themeColor="text1"/>
        </w:rPr>
        <w:t xml:space="preserve"> </w:t>
      </w:r>
      <w:r w:rsidR="00E27B41">
        <w:rPr>
          <w:rFonts w:ascii="Times New Roman" w:hAnsi="Times New Roman" w:cs="Times New Roman"/>
          <w:color w:val="000000" w:themeColor="text1"/>
        </w:rPr>
        <w:t xml:space="preserve">found </w:t>
      </w:r>
      <w:r w:rsidR="005D6230" w:rsidRPr="000D44EC">
        <w:rPr>
          <w:rFonts w:ascii="Times New Roman" w:hAnsi="Times New Roman" w:cs="Times New Roman"/>
          <w:color w:val="000000" w:themeColor="text1"/>
        </w:rPr>
        <w:t>a higher effect size of the relationship between BI and IR</w:t>
      </w:r>
      <w:r w:rsidR="002142F9" w:rsidRPr="000D44EC">
        <w:rPr>
          <w:rFonts w:ascii="Times New Roman" w:hAnsi="Times New Roman" w:cs="Times New Roman"/>
          <w:color w:val="000000" w:themeColor="text1"/>
        </w:rPr>
        <w:t xml:space="preserve"> (R² = 61.3%)</w:t>
      </w:r>
      <w:r w:rsidR="005D6230" w:rsidRPr="000D44EC">
        <w:rPr>
          <w:rFonts w:ascii="Times New Roman" w:hAnsi="Times New Roman" w:cs="Times New Roman"/>
          <w:color w:val="000000" w:themeColor="text1"/>
        </w:rPr>
        <w:t>. A</w:t>
      </w:r>
      <w:r w:rsidR="004F1437">
        <w:rPr>
          <w:rFonts w:ascii="Times New Roman" w:hAnsi="Times New Roman" w:cs="Times New Roman"/>
          <w:color w:val="000000" w:themeColor="text1"/>
        </w:rPr>
        <w:t>n</w:t>
      </w:r>
      <w:r w:rsidR="005D6230" w:rsidRPr="000D44EC">
        <w:rPr>
          <w:rFonts w:ascii="Times New Roman" w:hAnsi="Times New Roman" w:cs="Times New Roman"/>
          <w:color w:val="000000" w:themeColor="text1"/>
        </w:rPr>
        <w:t xml:space="preserve"> </w:t>
      </w:r>
      <w:r w:rsidR="004F1437" w:rsidRPr="004F1437">
        <w:rPr>
          <w:rFonts w:ascii="Times New Roman" w:hAnsi="Times New Roman" w:cs="Times New Roman"/>
          <w:color w:val="000000" w:themeColor="text1"/>
        </w:rPr>
        <w:t xml:space="preserve">attentively </w:t>
      </w:r>
      <w:r w:rsidR="004F1437">
        <w:rPr>
          <w:rFonts w:ascii="Times New Roman" w:hAnsi="Times New Roman" w:cs="Times New Roman"/>
          <w:color w:val="000000" w:themeColor="text1"/>
        </w:rPr>
        <w:t>observation on</w:t>
      </w:r>
      <w:r w:rsidR="005D6230" w:rsidRPr="000D44EC">
        <w:rPr>
          <w:rFonts w:ascii="Times New Roman" w:hAnsi="Times New Roman" w:cs="Times New Roman"/>
          <w:color w:val="000000" w:themeColor="text1"/>
        </w:rPr>
        <w:t xml:space="preserve"> the correlation coefficients (see Table 3) may </w:t>
      </w:r>
      <w:r w:rsidR="004F1437">
        <w:rPr>
          <w:rFonts w:ascii="Times New Roman" w:hAnsi="Times New Roman" w:cs="Times New Roman"/>
          <w:color w:val="000000" w:themeColor="text1"/>
        </w:rPr>
        <w:t>clarify the great</w:t>
      </w:r>
      <w:r w:rsidR="005D6230" w:rsidRPr="000D44EC">
        <w:rPr>
          <w:rFonts w:ascii="Times New Roman" w:hAnsi="Times New Roman" w:cs="Times New Roman"/>
          <w:color w:val="000000" w:themeColor="text1"/>
        </w:rPr>
        <w:t xml:space="preserve"> imbalance of effect sizes</w:t>
      </w:r>
      <w:r w:rsidR="004F1437">
        <w:rPr>
          <w:rFonts w:ascii="Times New Roman" w:hAnsi="Times New Roman" w:cs="Times New Roman"/>
          <w:color w:val="000000" w:themeColor="text1"/>
        </w:rPr>
        <w:t>.</w:t>
      </w:r>
      <w:r w:rsidR="005D6230" w:rsidRPr="000D44EC">
        <w:rPr>
          <w:rFonts w:ascii="Times New Roman" w:hAnsi="Times New Roman" w:cs="Times New Roman"/>
          <w:color w:val="000000" w:themeColor="text1"/>
        </w:rPr>
        <w:t xml:space="preserve"> The correlation between IB and IR is 2.7 times higher </w:t>
      </w:r>
      <w:r w:rsidR="004F1437">
        <w:rPr>
          <w:rFonts w:ascii="Times New Roman" w:hAnsi="Times New Roman" w:cs="Times New Roman"/>
          <w:color w:val="000000" w:themeColor="text1"/>
        </w:rPr>
        <w:t>compare with t</w:t>
      </w:r>
      <w:r w:rsidR="005D6230" w:rsidRPr="000D44EC">
        <w:rPr>
          <w:rFonts w:ascii="Times New Roman" w:hAnsi="Times New Roman" w:cs="Times New Roman"/>
          <w:color w:val="000000" w:themeColor="text1"/>
        </w:rPr>
        <w:t xml:space="preserve">he </w:t>
      </w:r>
      <w:r w:rsidR="004F1437">
        <w:rPr>
          <w:rFonts w:ascii="Times New Roman" w:hAnsi="Times New Roman" w:cs="Times New Roman"/>
          <w:color w:val="000000" w:themeColor="text1"/>
        </w:rPr>
        <w:t>correlation</w:t>
      </w:r>
      <w:r w:rsidR="005D6230" w:rsidRPr="000D44EC">
        <w:rPr>
          <w:rFonts w:ascii="Times New Roman" w:hAnsi="Times New Roman" w:cs="Times New Roman"/>
          <w:color w:val="000000" w:themeColor="text1"/>
        </w:rPr>
        <w:t xml:space="preserve"> between UB and IR</w:t>
      </w:r>
      <w:r w:rsidR="008B425B" w:rsidRPr="000D44EC">
        <w:rPr>
          <w:rFonts w:ascii="Times New Roman" w:hAnsi="Times New Roman" w:cs="Times New Roman"/>
          <w:color w:val="000000" w:themeColor="text1"/>
        </w:rPr>
        <w:t xml:space="preserve"> (</w:t>
      </w:r>
      <w:r w:rsidR="008B425B" w:rsidRPr="000D44EC">
        <w:rPr>
          <w:rFonts w:ascii="Times New Roman" w:hAnsi="Times New Roman" w:cs="Times New Roman"/>
          <w:i/>
          <w:color w:val="000000" w:themeColor="text1"/>
        </w:rPr>
        <w:t>r</w:t>
      </w:r>
      <w:r w:rsidR="008B425B" w:rsidRPr="000D44EC">
        <w:rPr>
          <w:rFonts w:ascii="Times New Roman" w:hAnsi="Times New Roman" w:cs="Times New Roman"/>
          <w:color w:val="000000" w:themeColor="text1"/>
        </w:rPr>
        <w:t xml:space="preserve"> = 0.272)</w:t>
      </w:r>
      <w:r w:rsidR="005D6230" w:rsidRPr="000D44EC">
        <w:rPr>
          <w:rFonts w:ascii="Times New Roman" w:hAnsi="Times New Roman" w:cs="Times New Roman"/>
          <w:color w:val="000000" w:themeColor="text1"/>
        </w:rPr>
        <w:t xml:space="preserve">. </w:t>
      </w:r>
      <w:r w:rsidR="00EA402F">
        <w:rPr>
          <w:rFonts w:ascii="Times New Roman" w:hAnsi="Times New Roman" w:cs="Times New Roman"/>
          <w:color w:val="000000" w:themeColor="text1"/>
        </w:rPr>
        <w:t xml:space="preserve">Presuming that IR </w:t>
      </w:r>
      <w:r w:rsidR="008B425B" w:rsidRPr="000D44EC">
        <w:rPr>
          <w:rFonts w:ascii="Times New Roman" w:hAnsi="Times New Roman" w:cs="Times New Roman"/>
          <w:color w:val="000000" w:themeColor="text1"/>
        </w:rPr>
        <w:t xml:space="preserve">determinant had been BI instead of UB, a stronger effect size would </w:t>
      </w:r>
      <w:r w:rsidR="00EA402F">
        <w:rPr>
          <w:rFonts w:ascii="Times New Roman" w:hAnsi="Times New Roman" w:cs="Times New Roman"/>
          <w:color w:val="000000" w:themeColor="text1"/>
        </w:rPr>
        <w:t>be achieved</w:t>
      </w:r>
      <w:r w:rsidR="004F1437">
        <w:rPr>
          <w:rFonts w:ascii="Times New Roman" w:hAnsi="Times New Roman" w:cs="Times New Roman"/>
          <w:color w:val="000000" w:themeColor="text1"/>
        </w:rPr>
        <w:t>.</w:t>
      </w:r>
      <w:r w:rsidR="008B425B" w:rsidRPr="000D44EC">
        <w:rPr>
          <w:rFonts w:ascii="Times New Roman" w:hAnsi="Times New Roman" w:cs="Times New Roman"/>
          <w:color w:val="000000" w:themeColor="text1"/>
        </w:rPr>
        <w:t xml:space="preserve"> </w:t>
      </w:r>
      <w:r w:rsidR="004F1437">
        <w:rPr>
          <w:rFonts w:ascii="Times New Roman" w:hAnsi="Times New Roman" w:cs="Times New Roman"/>
          <w:color w:val="000000" w:themeColor="text1"/>
        </w:rPr>
        <w:t>Thusly</w:t>
      </w:r>
      <w:r w:rsidR="005D6230" w:rsidRPr="000D44EC">
        <w:rPr>
          <w:rFonts w:ascii="Times New Roman" w:hAnsi="Times New Roman" w:cs="Times New Roman"/>
          <w:color w:val="000000" w:themeColor="text1"/>
        </w:rPr>
        <w:t xml:space="preserve">, </w:t>
      </w:r>
      <w:r w:rsidR="004F1437">
        <w:rPr>
          <w:rFonts w:ascii="Times New Roman" w:hAnsi="Times New Roman" w:cs="Times New Roman"/>
          <w:color w:val="000000" w:themeColor="text1"/>
        </w:rPr>
        <w:t xml:space="preserve">the results </w:t>
      </w:r>
      <w:r w:rsidR="002142F9" w:rsidRPr="000D44EC">
        <w:rPr>
          <w:rFonts w:ascii="Times New Roman" w:hAnsi="Times New Roman" w:cs="Times New Roman"/>
          <w:color w:val="000000" w:themeColor="text1"/>
        </w:rPr>
        <w:t>converges</w:t>
      </w:r>
      <w:r w:rsidR="005D6230" w:rsidRPr="000D44EC">
        <w:rPr>
          <w:rFonts w:ascii="Times New Roman" w:hAnsi="Times New Roman" w:cs="Times New Roman"/>
          <w:color w:val="000000" w:themeColor="text1"/>
        </w:rPr>
        <w:t xml:space="preserve"> prior studies</w:t>
      </w:r>
      <w:r w:rsidR="002142F9" w:rsidRPr="000D44EC">
        <w:rPr>
          <w:rFonts w:ascii="Times New Roman" w:hAnsi="Times New Roman" w:cs="Times New Roman"/>
          <w:color w:val="000000" w:themeColor="text1"/>
        </w:rPr>
        <w:t xml:space="preserve"> </w:t>
      </w:r>
      <w:r w:rsidR="005D6230" w:rsidRPr="000D44EC">
        <w:rPr>
          <w:rFonts w:ascii="Times New Roman" w:hAnsi="Times New Roman" w:cs="Times New Roman"/>
          <w:color w:val="000000" w:themeColor="text1"/>
        </w:rPr>
        <w:fldChar w:fldCharType="begin" w:fldLock="1"/>
      </w:r>
      <w:r w:rsidR="008F28C8">
        <w:rPr>
          <w:rFonts w:ascii="Times New Roman" w:hAnsi="Times New Roman" w:cs="Times New Roman"/>
          <w:color w:val="000000" w:themeColor="text1"/>
        </w:rPr>
        <w:instrText>ADDIN CSL_CITATION {"citationItems":[{"id":"ITEM-1","itemData":{"DOI":"10.1108/IJILT-05-2018-0045","ISSN":"2056-4880","abstract":"Purpose Understanding the main determinants of internet banking is important for banks and users. Although several prior research projects have focused on the factors that impact on adoption of technology, there is a limited empirical work which simultaneously captures technology-specific factors (PE, EE, WD, GAM) and customer-specific factors (GSC, INTRC) that help customers to adopt internet banking. Thus, the purpose of this paper is to verify how these factors influence individual behavior and motivate them to adopt new technology. The authors advance the body of knowledge on this subject by proposing moderating relationship of gamification between user's intention to adopt and intention to recommend internet banking in social network. Design/methodology/approach To test the model the authors developed a quantitative study involving 398 internet users from five commercial banks. Data were collected in four weeks beginning of September 2017 from three large cities of Pakistan using convenience sampling approach. The theoretical model was tested using structural equation modeling (SEM). Findings The results indicate that intention to adopt internet banking is positively affected by performance expectancy, effort expectancy, website design, website characteristics and general self-confidence. Findings of SEM showed that approximately 72 percent of the variance in customer's intention to adopt internet banking was accounted by predictors. Moderating effect of gamification suggested that the positive relationship between customer's intention to adopt and customer's intention to recommend internet banking will be stronger when gamification is higher. Importance performance matrix analysis (IPMA) suggested that among all other variables general self-confidence is the most important construct as it has the highest importance value in IPM.","author":[{"dropping-particle":"","family":"Rahi","given":"Samar","non-dropping-particle":"","parse-names":false,"suffix":""},{"dropping-particle":"","family":"Abd. Ghani","given":"Mazuri","non-dropping-particle":"","parse-names":false,"suffix":""}],"container-title":"International Journal of Information and Learning Technology","id":"ITEM-1","issue":"1","issued":{"date-parts":[["2019","1","7"]]},"page":"2-20","title":"Does gamified elements influence on user’s intention to adopt and intention to recommend internet banking?","type":"article-journal","volume":"36"},"uris":["http://www.mendeley.com/documents/?uuid=084e561a-21be-464b-9722-d5e6d9d3e75b"]},{"id":"ITEM-2","itemData":{"DOI":"10.1016/J.CHB.2016.03.030","ISSN":"0747-5632","abstract":"Mobile payment is receiving growing attention globally, from consumers to merchants, as an alternative to using cash, check, or credit cards. The potential of this technology is enormous. This study aims to identify the main determinants of mobile payment adoption and the intention to recommend this technology. We advance the body of knowledge on this subject by proposing an innovative research model that combines the strengths of two well-known theories; the extended unified theory of acceptance and use of technology (UTAUT2) with the innovation characteristics of the diffusion of innovations (DOI), with perceived security and intention to recommend the technology constructs. The research model was empirically tested using 301 responses from an online survey conducted in a European country, Portugal. Data was analyzed using the structured equation modeling (SEM). We found compatibility, perceived technology security, performance expectations, innovativeness, and social influence to have significant direct and indirect effects over the adoption of mobile payment and the intention to recommend this technology. The relevance of customer's intention to recommend mobile payment technology in social networks and other means of communication was also confirmed, supporting the recommendation to include it in social marketing campaigns and in future technology adoption studies. For researchers this study provides a basis for further refinement of individual models of acceptance. For practitioners, understanding the key constructs is crucial to design, refine, and implement mobile payment services, applications, and products that achieve high consumer acceptance, value, and high rates of positive recommendations in social networks.","author":[{"dropping-particle":"","family":"Oliveira","given":"Tiago","non-dropping-particle":"","parse-names":false,"suffix":""},{"dropping-particle":"","family":"Thomas","given":"Manoj","non-dropping-particle":"","parse-names":false,"suffix":""},{"dropping-particle":"","family":"Baptista","given":"Goncalo","non-dropping-particle":"","parse-names":false,"suffix":""},{"dropping-particle":"","family":"Campos","given":"Filipe","non-dropping-particle":"","parse-names":false,"suffix":""}],"container-title":"Computers in Human Behavior","id":"ITEM-2","issued":{"date-parts":[["2016","8","1"]]},"page":"404-414","publisher":"Pergamon","title":"Mobile payment: Understanding the determinants of customer adoption and intention to recommend the technology","type":"article-journal","volume":"61"},"uris":["http://www.mendeley.com/documents/?uuid=694e6471-b004-3a32-af23-bebe125fa7d5"]}],"mendeley":{"formattedCitation":"(Oliveira et al., 2016; Rahi &amp; Abd. Ghani, 2019)","plainTextFormattedCitation":"(Oliveira et al., 2016; Rahi &amp; Abd. Ghani, 2019)","previouslyFormattedCitation":"(Oliveira et al., 2016; Rahi &amp; Abd. Ghani, 2019)"},"properties":{"noteIndex":0},"schema":"https://github.com/citation-style-language/schema/raw/master/csl-citation.json"}</w:instrText>
      </w:r>
      <w:r w:rsidR="005D6230" w:rsidRPr="000D44EC">
        <w:rPr>
          <w:rFonts w:ascii="Times New Roman" w:hAnsi="Times New Roman" w:cs="Times New Roman"/>
          <w:color w:val="000000" w:themeColor="text1"/>
        </w:rPr>
        <w:fldChar w:fldCharType="separate"/>
      </w:r>
      <w:r w:rsidR="0056686A" w:rsidRPr="0056686A">
        <w:rPr>
          <w:rFonts w:ascii="Times New Roman" w:hAnsi="Times New Roman" w:cs="Times New Roman"/>
          <w:noProof/>
          <w:color w:val="000000" w:themeColor="text1"/>
        </w:rPr>
        <w:t>(Oliveira et al., 2016; Rahi &amp; Abd. Ghani, 2019)</w:t>
      </w:r>
      <w:r w:rsidR="005D6230" w:rsidRPr="000D44EC">
        <w:rPr>
          <w:rFonts w:ascii="Times New Roman" w:hAnsi="Times New Roman" w:cs="Times New Roman"/>
          <w:color w:val="000000" w:themeColor="text1"/>
        </w:rPr>
        <w:fldChar w:fldCharType="end"/>
      </w:r>
      <w:r w:rsidR="005D6230" w:rsidRPr="000D44EC">
        <w:rPr>
          <w:rFonts w:ascii="Times New Roman" w:hAnsi="Times New Roman" w:cs="Times New Roman"/>
          <w:color w:val="000000" w:themeColor="text1"/>
        </w:rPr>
        <w:t>.</w:t>
      </w:r>
    </w:p>
    <w:p w14:paraId="1907653D" w14:textId="22D7DDF6" w:rsidR="00077483" w:rsidRPr="000D44EC" w:rsidRDefault="003A3586" w:rsidP="009A62E6">
      <w:pPr>
        <w:pStyle w:val="Nadpis1"/>
        <w:rPr>
          <w:rFonts w:cs="Times New Roman"/>
        </w:rPr>
      </w:pPr>
      <w:r w:rsidRPr="000D44EC">
        <w:rPr>
          <w:rFonts w:cs="Times New Roman"/>
        </w:rPr>
        <w:t>Conclusions</w:t>
      </w:r>
      <w:r w:rsidR="001D07B4">
        <w:rPr>
          <w:rFonts w:cs="Times New Roman"/>
        </w:rPr>
        <w:t xml:space="preserve">, limitations and recommendations </w:t>
      </w:r>
    </w:p>
    <w:p w14:paraId="4BC393CD" w14:textId="014EFA8F" w:rsidR="00EE7741" w:rsidRPr="000D44EC" w:rsidRDefault="00EE7741" w:rsidP="00D6076E">
      <w:pPr>
        <w:rPr>
          <w:rFonts w:ascii="Times New Roman" w:hAnsi="Times New Roman" w:cs="Times New Roman"/>
        </w:rPr>
      </w:pPr>
      <w:r w:rsidRPr="000D44EC">
        <w:rPr>
          <w:rFonts w:ascii="Times New Roman" w:hAnsi="Times New Roman" w:cs="Times New Roman"/>
        </w:rPr>
        <w:t>The research provide</w:t>
      </w:r>
      <w:r w:rsidR="00F71A4F" w:rsidRPr="000D44EC">
        <w:rPr>
          <w:rFonts w:ascii="Times New Roman" w:hAnsi="Times New Roman" w:cs="Times New Roman"/>
        </w:rPr>
        <w:t>s</w:t>
      </w:r>
      <w:r w:rsidRPr="000D44EC">
        <w:rPr>
          <w:rFonts w:ascii="Times New Roman" w:hAnsi="Times New Roman" w:cs="Times New Roman"/>
        </w:rPr>
        <w:t xml:space="preserve"> insights regarding</w:t>
      </w:r>
      <w:r w:rsidR="004F1437">
        <w:rPr>
          <w:rFonts w:ascii="Times New Roman" w:hAnsi="Times New Roman" w:cs="Times New Roman"/>
        </w:rPr>
        <w:t xml:space="preserve"> influential factors on</w:t>
      </w:r>
      <w:r w:rsidRPr="000D44EC">
        <w:rPr>
          <w:rFonts w:ascii="Times New Roman" w:hAnsi="Times New Roman" w:cs="Times New Roman"/>
        </w:rPr>
        <w:t xml:space="preserve"> b</w:t>
      </w:r>
      <w:r w:rsidR="00F71A4F" w:rsidRPr="000D44EC">
        <w:rPr>
          <w:rFonts w:ascii="Times New Roman" w:hAnsi="Times New Roman" w:cs="Times New Roman"/>
        </w:rPr>
        <w:t>eh</w:t>
      </w:r>
      <w:r w:rsidRPr="000D44EC">
        <w:rPr>
          <w:rFonts w:ascii="Times New Roman" w:hAnsi="Times New Roman" w:cs="Times New Roman"/>
        </w:rPr>
        <w:t>a</w:t>
      </w:r>
      <w:r w:rsidR="00F71A4F" w:rsidRPr="000D44EC">
        <w:rPr>
          <w:rFonts w:ascii="Times New Roman" w:hAnsi="Times New Roman" w:cs="Times New Roman"/>
        </w:rPr>
        <w:t>vi</w:t>
      </w:r>
      <w:r w:rsidRPr="000D44EC">
        <w:rPr>
          <w:rFonts w:ascii="Times New Roman" w:hAnsi="Times New Roman" w:cs="Times New Roman"/>
        </w:rPr>
        <w:t>our intention, user behaviour, gamification</w:t>
      </w:r>
      <w:r w:rsidR="00C7758E" w:rsidRPr="000D44EC">
        <w:rPr>
          <w:rFonts w:ascii="Times New Roman" w:hAnsi="Times New Roman" w:cs="Times New Roman"/>
        </w:rPr>
        <w:t xml:space="preserve"> </w:t>
      </w:r>
      <w:r w:rsidRPr="000D44EC">
        <w:rPr>
          <w:rFonts w:ascii="Times New Roman" w:hAnsi="Times New Roman" w:cs="Times New Roman"/>
        </w:rPr>
        <w:t xml:space="preserve">and intention to recommend </w:t>
      </w:r>
      <w:r w:rsidR="003418EE">
        <w:rPr>
          <w:rFonts w:ascii="Times New Roman" w:hAnsi="Times New Roman" w:cs="Times New Roman"/>
        </w:rPr>
        <w:t>m-banking</w:t>
      </w:r>
      <w:r w:rsidRPr="000D44EC">
        <w:rPr>
          <w:rFonts w:ascii="Times New Roman" w:hAnsi="Times New Roman" w:cs="Times New Roman"/>
        </w:rPr>
        <w:t>. Thus,</w:t>
      </w:r>
      <w:r w:rsidR="00415EFF" w:rsidRPr="000D44EC">
        <w:rPr>
          <w:rFonts w:ascii="Times New Roman" w:hAnsi="Times New Roman" w:cs="Times New Roman"/>
        </w:rPr>
        <w:t xml:space="preserve"> the current research makes an important contribution </w:t>
      </w:r>
      <w:r w:rsidR="004F1437">
        <w:rPr>
          <w:rFonts w:ascii="Times New Roman" w:hAnsi="Times New Roman" w:cs="Times New Roman"/>
        </w:rPr>
        <w:t xml:space="preserve">concerning </w:t>
      </w:r>
      <w:r w:rsidR="00415EFF" w:rsidRPr="000D44EC">
        <w:rPr>
          <w:rFonts w:ascii="Times New Roman" w:hAnsi="Times New Roman" w:cs="Times New Roman"/>
        </w:rPr>
        <w:t xml:space="preserve">customer behaviour in </w:t>
      </w:r>
      <w:r w:rsidR="003418EE">
        <w:rPr>
          <w:rFonts w:ascii="Times New Roman" w:hAnsi="Times New Roman" w:cs="Times New Roman"/>
        </w:rPr>
        <w:t>m-banking</w:t>
      </w:r>
      <w:r w:rsidR="00415EFF" w:rsidRPr="000D44EC">
        <w:rPr>
          <w:rFonts w:ascii="Times New Roman" w:hAnsi="Times New Roman" w:cs="Times New Roman"/>
        </w:rPr>
        <w:t xml:space="preserve"> and its </w:t>
      </w:r>
      <w:r w:rsidR="005A2AAF" w:rsidRPr="000D44EC">
        <w:rPr>
          <w:rFonts w:ascii="Times New Roman" w:hAnsi="Times New Roman" w:cs="Times New Roman"/>
        </w:rPr>
        <w:t>determinants</w:t>
      </w:r>
      <w:r w:rsidR="00415EFF" w:rsidRPr="000D44EC">
        <w:rPr>
          <w:rFonts w:ascii="Times New Roman" w:hAnsi="Times New Roman" w:cs="Times New Roman"/>
        </w:rPr>
        <w:t xml:space="preserve">. </w:t>
      </w:r>
      <w:r w:rsidR="00F71A4F" w:rsidRPr="000D44EC">
        <w:rPr>
          <w:rFonts w:ascii="Times New Roman" w:hAnsi="Times New Roman" w:cs="Times New Roman"/>
        </w:rPr>
        <w:t>The theoretical background of the study leans on modified UTAUT2</w:t>
      </w:r>
      <w:r w:rsidR="004622C5" w:rsidRPr="000D44EC">
        <w:rPr>
          <w:rFonts w:ascii="Times New Roman" w:hAnsi="Times New Roman" w:cs="Times New Roman"/>
        </w:rPr>
        <w:t xml:space="preserve"> model </w:t>
      </w:r>
      <w:r w:rsidR="004622C5"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quarterly","id":"ITEM-1","issued":{"date-parts":[["2012"]]},"page":"157-178","title":"Consumer acceptance and use of information technology: Extending the unified theory of acceptance and use of technology","type":"article-journal","volume":"36"},"uris":["http://www.mendeley.com/documents/?uuid=47aaf082-83a2-46f0-b062-9c6987a306c3"]}],"mendeley":{"formattedCitation":"(Venkatesh et al., 2012)","plainTextFormattedCitation":"(Venkatesh et al., 2012)","previouslyFormattedCitation":"(Venkatesh et al., 2012)"},"properties":{"noteIndex":0},"schema":"https://github.com/citation-style-language/schema/raw/master/csl-citation.json"}</w:instrText>
      </w:r>
      <w:r w:rsidR="004622C5" w:rsidRPr="000D44EC">
        <w:rPr>
          <w:rFonts w:ascii="Times New Roman" w:hAnsi="Times New Roman" w:cs="Times New Roman"/>
        </w:rPr>
        <w:fldChar w:fldCharType="separate"/>
      </w:r>
      <w:r w:rsidR="0056686A" w:rsidRPr="0056686A">
        <w:rPr>
          <w:rFonts w:ascii="Times New Roman" w:hAnsi="Times New Roman" w:cs="Times New Roman"/>
          <w:noProof/>
        </w:rPr>
        <w:t>(Venkatesh et al., 2012)</w:t>
      </w:r>
      <w:r w:rsidR="004622C5" w:rsidRPr="000D44EC">
        <w:rPr>
          <w:rFonts w:ascii="Times New Roman" w:hAnsi="Times New Roman" w:cs="Times New Roman"/>
        </w:rPr>
        <w:fldChar w:fldCharType="end"/>
      </w:r>
      <w:r w:rsidR="004622C5" w:rsidRPr="000D44EC">
        <w:rPr>
          <w:rFonts w:ascii="Times New Roman" w:hAnsi="Times New Roman" w:cs="Times New Roman"/>
        </w:rPr>
        <w:t>,</w:t>
      </w:r>
      <w:r w:rsidR="00F71A4F" w:rsidRPr="000D44EC">
        <w:rPr>
          <w:rFonts w:ascii="Times New Roman" w:hAnsi="Times New Roman" w:cs="Times New Roman"/>
        </w:rPr>
        <w:t xml:space="preserve"> </w:t>
      </w:r>
      <w:r w:rsidR="004622C5" w:rsidRPr="000D44EC">
        <w:rPr>
          <w:rFonts w:ascii="Times New Roman" w:hAnsi="Times New Roman" w:cs="Times New Roman"/>
        </w:rPr>
        <w:t xml:space="preserve">gamification </w:t>
      </w:r>
      <w:r w:rsidR="00C7758E"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{"citationItems":[{"id":"ITEM-1","itemData":{"DOI":"10.1145/1979742.1979575","ISBN":"9781450302685","abstract":"\"Gamification\" is an informal umbrella term for the use of video game elements in non-gaming systems to improve user experience (UX) and user engagement. The recent introduction of 'gamified' applications to large audiences promises new additions to the existing rich and diverse research on the heuristics, design patterns and dynamics of games and the positive UX they provide. However, what is lacking for a next step forward is the integration of this precise diversity of research endeavors. Therefore, this workshop brings together practitioners and researchers to develop a shared understanding of existing approaches and findings around the gamification of information systems, and identify key synergies, opportunities, and questions for future research.","author":[{"dropping-particle":"","family":"Deterding","given":"Sebastian","non-dropping-particle":"","parse-names":false,"suffix":""},{"dropping-particle":"","family":"Sicart","given":"Miguel","non-dropping-particle":"","parse-names":false,"suffix":""},{"dropping-particle":"","family":"Nacke","given":"Lennart","non-dropping-particle":"","parse-names":false,"suffix":""},{"dropping-particle":"","family":"O'Hara","given":"Kenton","non-dropping-particle":"","parse-names":false,"suffix":""},{"dropping-particle":"","family":"Dixon","given":"Dan","non-dropping-particle":"","parse-names":false,"suffix":""}],"container-title":"Proceedings of the 2011 annual conference extended abstracts on Human factors in computing systems - CHI EA '11","id":"ITEM-1","issued":{"date-parts":[["2011"]]},"title":"Gamification. using game-design elements in non-gaming contexts","type":"paper-conference"},"uris":["http://www.mendeley.com/documents/?uuid=ce532b70-52e2-49d1-b4bf-f362e4a01e03","http://www.mendeley.com/documents/?uuid=5a61853a-33b8-3bb4-95e3-bf1fdd27aa57"]}],"mendeley":{"formattedCitation":"(Deterding, Sicart, et al., 2011)","plainTextFormattedCitation":"(Deterding, Sicart, et al., 2011)","previouslyFormattedCitation":"(Deterding, Sicart, et al., 2011)"},"properties":{"noteIndex":0},"schema":"https://github.com/citation-style-language/schema/raw/master/csl-citation.json"}</w:instrText>
      </w:r>
      <w:r w:rsidR="00C7758E" w:rsidRPr="000D44EC">
        <w:rPr>
          <w:rFonts w:ascii="Times New Roman" w:hAnsi="Times New Roman" w:cs="Times New Roman"/>
        </w:rPr>
        <w:fldChar w:fldCharType="separate"/>
      </w:r>
      <w:r w:rsidR="0056686A" w:rsidRPr="0056686A">
        <w:rPr>
          <w:rFonts w:ascii="Times New Roman" w:hAnsi="Times New Roman" w:cs="Times New Roman"/>
          <w:noProof/>
        </w:rPr>
        <w:t>(Deterding, Sicart, et al., 2011)</w:t>
      </w:r>
      <w:r w:rsidR="00C7758E" w:rsidRPr="000D44EC">
        <w:rPr>
          <w:rFonts w:ascii="Times New Roman" w:hAnsi="Times New Roman" w:cs="Times New Roman"/>
        </w:rPr>
        <w:fldChar w:fldCharType="end"/>
      </w:r>
      <w:r w:rsidR="00C7758E" w:rsidRPr="000D44EC">
        <w:rPr>
          <w:rFonts w:ascii="Times New Roman" w:hAnsi="Times New Roman" w:cs="Times New Roman"/>
        </w:rPr>
        <w:t xml:space="preserve"> </w:t>
      </w:r>
      <w:r w:rsidR="004622C5" w:rsidRPr="000D44EC">
        <w:rPr>
          <w:rFonts w:ascii="Times New Roman" w:hAnsi="Times New Roman" w:cs="Times New Roman"/>
        </w:rPr>
        <w:t xml:space="preserve">and generational cohorts theory </w:t>
      </w:r>
      <w:r w:rsidR="004622C5" w:rsidRPr="000D44EC">
        <w:rPr>
          <w:rFonts w:ascii="Times New Roman" w:hAnsi="Times New Roman" w:cs="Times New Roman"/>
        </w:rPr>
        <w:fldChar w:fldCharType="begin" w:fldLock="1"/>
      </w:r>
      <w:r w:rsidR="0056686A">
        <w:rPr>
          <w:rFonts w:ascii="Times New Roman" w:hAnsi="Times New Roman" w:cs="Times New Roman"/>
        </w:rPr>
        <w:instrText>ADDIN CSL_CITATION {"citationItems":[{"id":"ITEM-1","itemData":{"ISBN":"9780691613796","abstract":"This book contends that beneath the frenzied activism of the sixties and the seeming quiescence of the seventies, a \"\"silent revolution\"\" has been occurring that is gradually but fundamentally changing political life throughout the Western world. Ronald Inglehart focuses on two aspects of this revolution: a shift from an overwhelming emphasis on material values and physical security toward greater concern with the quality of life; and an increase in the political skills of Western publics that enables them to play a greater role in making important political decisions. Originally published i. Cover; Contents; Part I: Introduction; 1 Changing Values and Skills Among Western Publics: An Overview.","author":[{"dropping-particle":"","family":"Inglehart","given":"Ronald","non-dropping-particle":"","parse-names":false,"suffix":""}],"id":"ITEM-1","issued":{"date-parts":[["2015"]]},"number-of-pages":"496","publisher":"Princeton University Press","publisher-place":"Princeton","title":"The silent revolution: changing values and political styles among Western publics","type":"book"},"uris":["http://www.mendeley.com/documents/?uuid=1defebdc-5a98-48e2-9871-2e94915bcd86","http://www.mendeley.com/documents/?uuid=6e29cd02-4d9e-3165-9361-e23b378a54e2"]}],"mendeley":{"formattedCitation":"(Inglehart, 2015)","plainTextFormattedCitation":"(Inglehart, 2015)","previouslyFormattedCitation":"(Inglehart, 2015)"},"properties":{"noteIndex":0},"schema":"https://github.com/citation-style-language/schema/raw/master/csl-citation.json"}</w:instrText>
      </w:r>
      <w:r w:rsidR="004622C5" w:rsidRPr="000D44EC">
        <w:rPr>
          <w:rFonts w:ascii="Times New Roman" w:hAnsi="Times New Roman" w:cs="Times New Roman"/>
        </w:rPr>
        <w:fldChar w:fldCharType="separate"/>
      </w:r>
      <w:r w:rsidR="004622C5" w:rsidRPr="000D44EC">
        <w:rPr>
          <w:rFonts w:ascii="Times New Roman" w:hAnsi="Times New Roman" w:cs="Times New Roman"/>
          <w:noProof/>
        </w:rPr>
        <w:t>(Inglehart, 2015)</w:t>
      </w:r>
      <w:r w:rsidR="004622C5" w:rsidRPr="000D44EC">
        <w:rPr>
          <w:rFonts w:ascii="Times New Roman" w:hAnsi="Times New Roman" w:cs="Times New Roman"/>
        </w:rPr>
        <w:fldChar w:fldCharType="end"/>
      </w:r>
      <w:r w:rsidR="00F71A4F" w:rsidRPr="000D44EC">
        <w:rPr>
          <w:rFonts w:ascii="Times New Roman" w:hAnsi="Times New Roman" w:cs="Times New Roman"/>
        </w:rPr>
        <w:t xml:space="preserve"> </w:t>
      </w:r>
      <w:r w:rsidR="00D6076E" w:rsidRPr="000D44EC">
        <w:rPr>
          <w:rFonts w:ascii="Times New Roman" w:hAnsi="Times New Roman" w:cs="Times New Roman"/>
        </w:rPr>
        <w:t>establishing</w:t>
      </w:r>
      <w:r w:rsidR="0078315F" w:rsidRPr="000D44EC">
        <w:rPr>
          <w:rFonts w:ascii="Times New Roman" w:hAnsi="Times New Roman" w:cs="Times New Roman"/>
        </w:rPr>
        <w:t xml:space="preserve"> </w:t>
      </w:r>
      <w:r w:rsidR="004622C5" w:rsidRPr="000D44EC">
        <w:rPr>
          <w:rFonts w:ascii="Times New Roman" w:hAnsi="Times New Roman" w:cs="Times New Roman"/>
        </w:rPr>
        <w:t>an</w:t>
      </w:r>
      <w:r w:rsidR="0078315F" w:rsidRPr="000D44EC">
        <w:rPr>
          <w:rFonts w:ascii="Times New Roman" w:hAnsi="Times New Roman" w:cs="Times New Roman"/>
        </w:rPr>
        <w:t xml:space="preserve"> attractive combination of</w:t>
      </w:r>
      <w:r w:rsidR="00F71A4F" w:rsidRPr="000D44EC">
        <w:rPr>
          <w:rFonts w:ascii="Times New Roman" w:hAnsi="Times New Roman" w:cs="Times New Roman"/>
        </w:rPr>
        <w:t xml:space="preserve"> constructs and </w:t>
      </w:r>
      <w:r w:rsidR="004F1437">
        <w:rPr>
          <w:rFonts w:ascii="Times New Roman" w:hAnsi="Times New Roman" w:cs="Times New Roman"/>
        </w:rPr>
        <w:t>its</w:t>
      </w:r>
      <w:r w:rsidR="00F71A4F" w:rsidRPr="000D44EC">
        <w:rPr>
          <w:rFonts w:ascii="Times New Roman" w:hAnsi="Times New Roman" w:cs="Times New Roman"/>
        </w:rPr>
        <w:t xml:space="preserve"> impact on </w:t>
      </w:r>
      <w:r w:rsidR="003418EE">
        <w:rPr>
          <w:rFonts w:ascii="Times New Roman" w:hAnsi="Times New Roman" w:cs="Times New Roman"/>
        </w:rPr>
        <w:t>m-banking</w:t>
      </w:r>
      <w:r w:rsidR="00F71A4F" w:rsidRPr="000D44EC">
        <w:rPr>
          <w:rFonts w:ascii="Times New Roman" w:hAnsi="Times New Roman" w:cs="Times New Roman"/>
        </w:rPr>
        <w:t xml:space="preserve"> users</w:t>
      </w:r>
      <w:r w:rsidR="004622C5" w:rsidRPr="000D44EC">
        <w:rPr>
          <w:rFonts w:ascii="Times New Roman" w:hAnsi="Times New Roman" w:cs="Times New Roman"/>
        </w:rPr>
        <w:t xml:space="preserve"> in the context of a transition country</w:t>
      </w:r>
      <w:r w:rsidR="00F71A4F" w:rsidRPr="000D44EC">
        <w:rPr>
          <w:rFonts w:ascii="Times New Roman" w:hAnsi="Times New Roman" w:cs="Times New Roman"/>
        </w:rPr>
        <w:t>.</w:t>
      </w:r>
    </w:p>
    <w:p w14:paraId="4403F8B1" w14:textId="20713261" w:rsidR="00D6076E" w:rsidRPr="000D44EC" w:rsidRDefault="00100E5C" w:rsidP="00D6076E">
      <w:pPr>
        <w:rPr>
          <w:rFonts w:ascii="Times New Roman" w:hAnsi="Times New Roman" w:cs="Times New Roman"/>
        </w:rPr>
      </w:pPr>
      <w:r w:rsidRPr="000D44EC">
        <w:rPr>
          <w:rFonts w:ascii="Times New Roman" w:hAnsi="Times New Roman" w:cs="Times New Roman"/>
        </w:rPr>
        <w:t>T</w:t>
      </w:r>
      <w:r w:rsidR="008C0158" w:rsidRPr="000D44EC">
        <w:rPr>
          <w:rFonts w:ascii="Times New Roman" w:hAnsi="Times New Roman" w:cs="Times New Roman"/>
        </w:rPr>
        <w:t>o</w:t>
      </w:r>
      <w:r w:rsidR="001D07B4">
        <w:rPr>
          <w:rFonts w:ascii="Times New Roman" w:hAnsi="Times New Roman" w:cs="Times New Roman"/>
        </w:rPr>
        <w:t xml:space="preserve"> authors’</w:t>
      </w:r>
      <w:r w:rsidR="008C0158" w:rsidRPr="000D44EC">
        <w:rPr>
          <w:rFonts w:ascii="Times New Roman" w:hAnsi="Times New Roman" w:cs="Times New Roman"/>
        </w:rPr>
        <w:t xml:space="preserve"> knowledge, the current study is among the first which</w:t>
      </w:r>
      <w:r w:rsidRPr="000D44EC">
        <w:rPr>
          <w:rFonts w:ascii="Times New Roman" w:hAnsi="Times New Roman" w:cs="Times New Roman"/>
        </w:rPr>
        <w:t xml:space="preserve"> theoretically explain and empirical examine </w:t>
      </w:r>
      <w:r w:rsidR="008C0158" w:rsidRPr="000D44EC">
        <w:rPr>
          <w:rFonts w:ascii="Times New Roman" w:hAnsi="Times New Roman" w:cs="Times New Roman"/>
        </w:rPr>
        <w:t xml:space="preserve">the moderation </w:t>
      </w:r>
      <w:r w:rsidR="001D07B4">
        <w:rPr>
          <w:rFonts w:ascii="Times New Roman" w:hAnsi="Times New Roman" w:cs="Times New Roman"/>
        </w:rPr>
        <w:t xml:space="preserve">effect </w:t>
      </w:r>
      <w:r w:rsidR="008C0158" w:rsidRPr="000D44EC">
        <w:rPr>
          <w:rFonts w:ascii="Times New Roman" w:hAnsi="Times New Roman" w:cs="Times New Roman"/>
        </w:rPr>
        <w:t>of gamification o</w:t>
      </w:r>
      <w:r w:rsidR="001D07B4">
        <w:rPr>
          <w:rFonts w:ascii="Times New Roman" w:hAnsi="Times New Roman" w:cs="Times New Roman"/>
        </w:rPr>
        <w:t>n</w:t>
      </w:r>
      <w:r w:rsidR="008C0158" w:rsidRPr="000D44EC">
        <w:rPr>
          <w:rFonts w:ascii="Times New Roman" w:hAnsi="Times New Roman" w:cs="Times New Roman"/>
        </w:rPr>
        <w:t xml:space="preserve"> intention to use </w:t>
      </w:r>
      <w:r w:rsidR="003418EE">
        <w:rPr>
          <w:rFonts w:ascii="Times New Roman" w:hAnsi="Times New Roman" w:cs="Times New Roman"/>
        </w:rPr>
        <w:t>m-banking</w:t>
      </w:r>
      <w:r w:rsidR="008C0158" w:rsidRPr="000D44EC">
        <w:rPr>
          <w:rFonts w:ascii="Times New Roman" w:hAnsi="Times New Roman" w:cs="Times New Roman"/>
        </w:rPr>
        <w:t xml:space="preserve"> through generational cohorts.</w:t>
      </w:r>
      <w:r w:rsidRPr="000D44EC">
        <w:rPr>
          <w:rFonts w:ascii="Times New Roman" w:hAnsi="Times New Roman" w:cs="Times New Roman"/>
        </w:rPr>
        <w:t xml:space="preserve"> However, prior studies have demonstrated the importance of gamification </w:t>
      </w:r>
      <w:r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{"citationItems":[{"id":"ITEM-1","itemData":{"DOI":"10.1016/j.chb.2015.04.018","ISSN":"07475632","abstract":"Today, people use a variety of social and gameful (mobile) applications in order to motivate themselves and others to maintain difficult habits such as exercise, sustainable consumption and healthy eating. However, we have yet lacked understanding of how social influence affects willingness to maintain these difficult habits with the help of gamification services. In order to investigate this phenomenon, we measured how social influence predicts attitudes, use and further exercise in the context of gamification of exercise. Our results show that people indeed do \"work out for likes\", or in other words, social influence, positive recognition and reciprocity have a positive impact on how much people are willing to exercise as well as their attitudes and willingness to use gamification services. Moreover, we found that the more friends a user has in the service, the larger the effects are. Furthermore, the findings of the empirical study further provide new understanding on the phenomenon of social influence in technology adoption/use continuance in general by showing, in addition to subjective norms, how getting recognized, receiving reciprocal benefits and network effects contribute to use continuance.","author":[{"dropping-particle":"","family":"Hamari","given":"Juho","non-dropping-particle":"","parse-names":false,"suffix":""},{"dropping-particle":"","family":"Koivisto","given":"Jonna","non-dropping-particle":"","parse-names":false,"suffix":""}],"container-title":"Computers in Human Behavior","id":"ITEM-1","issued":{"date-parts":[["2015"]]},"title":"\"Working out for likes\": An empirical study on social influence in exercise gamification","type":"article-journal"},"uris":["http://www.mendeley.com/documents/?uuid=e4c3f958-8fd6-33a7-9f84-9d6dff58be18"]}],"mendeley":{"formattedCitation":"(Hamari &amp; Koivisto, 2015)","plainTextFormattedCitation":"(Hamari &amp; Koivisto, 2015)","previouslyFormattedCitation":"(Hamari &amp; Koivisto, 2015)"},"properties":{"noteIndex":0},"schema":"https://github.com/citation-style-language/schema/raw/master/csl-citation.json"}</w:instrText>
      </w:r>
      <w:r w:rsidRPr="000D44EC">
        <w:rPr>
          <w:rFonts w:ascii="Times New Roman" w:hAnsi="Times New Roman" w:cs="Times New Roman"/>
        </w:rPr>
        <w:fldChar w:fldCharType="separate"/>
      </w:r>
      <w:r w:rsidR="0056686A" w:rsidRPr="0056686A">
        <w:rPr>
          <w:rFonts w:ascii="Times New Roman" w:hAnsi="Times New Roman" w:cs="Times New Roman"/>
          <w:noProof/>
        </w:rPr>
        <w:t>(Hamari &amp; Koivisto, 2015)</w:t>
      </w:r>
      <w:r w:rsidRPr="000D44EC">
        <w:rPr>
          <w:rFonts w:ascii="Times New Roman" w:hAnsi="Times New Roman" w:cs="Times New Roman"/>
        </w:rPr>
        <w:fldChar w:fldCharType="end"/>
      </w:r>
      <w:r w:rsidRPr="000D44EC">
        <w:rPr>
          <w:rFonts w:ascii="Times New Roman" w:hAnsi="Times New Roman" w:cs="Times New Roman"/>
        </w:rPr>
        <w:t xml:space="preserve"> and its influence on individuals’ intention to use </w:t>
      </w:r>
      <w:r w:rsidR="003418EE">
        <w:rPr>
          <w:rFonts w:ascii="Times New Roman" w:hAnsi="Times New Roman" w:cs="Times New Roman"/>
        </w:rPr>
        <w:t>m-banking</w:t>
      </w:r>
      <w:r w:rsidRPr="000D44EC">
        <w:rPr>
          <w:rFonts w:ascii="Times New Roman" w:hAnsi="Times New Roman" w:cs="Times New Roman"/>
        </w:rPr>
        <w:t xml:space="preserve"> </w:t>
      </w:r>
      <w:r w:rsidRPr="000D44E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{"citationItems":[{"id":"ITEM-1","itemData":{"DOI":"10.1108/IntR-10-2015-0295","ISSN":"1066-2243","abstract":"Purpose The purpose of this paper is to identify the potential impact of the utilization of game mechanics and game design techniques in the acceptance of mobile banking services. Design/methodology/approach The theoretical model was tested in a quantitative study using structural equation modelling, conducted in Brazil, with actual local banking customers. Findings The findings show that there is a direct and strong relationship between gamification and intention to use mobile banking services, supporting that, when used and designed properly, gamification can help make banking activities more exciting, more interesting and more enjoyable, and in turn increase customer acceptance, engagement and satisfaction. Research limitations/implications The research extends the unified theory of acceptance and use of technology (UTAUT2), and prior research to include gamification impact. The result is a more descriptive model that better explains consumers’ decision to use mobile banking services. Practical implica...","author":[{"dropping-particle":"","family":"Baptista","given":"Goncalo","non-dropping-particle":"","parse-names":false,"suffix":""},{"dropping-particle":"","family":"Oliveira","given":"Tiago","non-dropping-particle":"","parse-names":false,"suffix":""}],"container-title":"Internet Research","id":"ITEM-1","issue":"1","issued":{"date-parts":[["2017","2"]]},"page":"118-139","publisher":"Emerald Publishing Limited","title":"Why so serious? Gamification impact in the acceptance of mobile banking services","type":"article-journal","volume":"27"},"uris":["http://www.mendeley.com/documents/?uuid=0b3f374e-8b77-42e6-bc77-b7919247f6cf"]},{"id":"ITEM-2","itemData":{"DOI":"10.1016/j.chb.2017.04.034","abstract":"Gamification has a clear influence on software design, development and plays an important role in the motivation and intention of users to use a website and buy online. Nevertheless, in the case of e-banking, the influence of gamification in software design and on the user's intention to use are still very unclear. We intend to verify how game design elements and mechanics combined in the design of a bank website, influence the intention of customers to use e-banking. To explore and analyze the effects of gamification on a bank website, we propose a conceptual model considering the interaction between six variables: gamification, ease of use, information, design, web page characteristics, and intention to use the website. To test this model we develop a quantitative study involving 219 bank customers as participants who interacted with a gamified e-banking website to manage their financial investments. Participants then responded to an online questionnaire (including items related to the main variables), in order to measure their reactions to gamified software and their intentions. All data were statistically analyzed and results indicate that gamification has a significant influence on the ease of use and the intention to use e-banking, as well as on the web design, information, and webpage characteristics. We find that gamification may motivate customers to use e-banking, and that it improves their financial literacy and facilitates online processes and transactions. This study provides insightful guidelines for web design, development and e-banking contents that can be taken into account by marketing, IT, and business teams working in electronic banks.","author":[{"dropping-particle":"","family":"Rodrigues","given":"Luís Filipe","non-dropping-particle":"","parse-names":false,"suffix":""},{"dropping-particle":"","family":"Costa","given":"Carlos J.","non-dropping-particle":"","parse-names":false,"suffix":""},{"dropping-particle":"","family":"Oliveira","given":"Abílio","non-dropping-particle":"","parse-names":false,"suffix":""}],"container-title":"Computers in Human Behavior","id":"ITEM-2","issued":{"date-parts":[["2017","9"]]},"page":"163-174","title":"How does the web game design influence the behavior of e-banking users?","type":"article-journal","volume":"74"},"uris":["http://www.mendeley.com/documents/?uuid=28e9a272-d3e3-432e-b17f-5b58d905d88c"]},{"id":"ITEM-3","itemData":{"DOI":"10.1108/IJILT-05-2018-0045","ISSN":"2056-4880","abstract":"Purpose Understanding the main determinants of internet banking is important for banks and users. Although several prior research projects have focused on the factors that impact on adoption of technology, there is a limited empirical work which simultaneously captures technology-specific factors (PE, EE, WD, GAM) and customer-specific factors (GSC, INTRC) that help customers to adopt internet banking. Thus, the purpose of this paper is to verify how these factors influence individual behavior and motivate them to adopt new technology. The authors advance the body of knowledge on this subject by proposing moderating relationship of gamification between user's intention to adopt and intention to recommend internet banking in social network. Design/methodology/approach To test the model the authors developed a quantitative study involving 398 internet users from five commercial banks. Data were collected in four weeks beginning of September 2017 from three large cities of Pakistan using convenience sampling approach. The theoretical model was tested using structural equation modeling (SEM). Findings The results indicate that intention to adopt internet banking is positively affected by performance expectancy, effort expectancy, website design, website characteristics and general self-confidence. Findings of SEM showed that approximately 72 percent of the variance in customer's intention to adopt internet banking was accounted by predictors. Moderating effect of gamification suggested that the positive relationship between customer's intention to adopt and customer's intention to recommend internet banking will be stronger when gamification is higher. Importance performance matrix analysis (IPMA) suggested that among all other variables general self-confidence is the most important construct as it has the highest importance value in IPM.","author":[{"dropping-particle":"","family":"Rahi","given":"Samar","non-dropping-particle":"","parse-names":false,"suffix":""},{"dropping-particle":"","family":"Abd. Ghani","given":"Mazuri","non-dropping-particle":"","parse-names":false,"suffix":""}],"container-title":"International Journal of Information and Learning Technology","id":"ITEM-3","issue":"1","issued":{"date-parts":[["2019","1","7"]]},"page":"2-20","title":"Does gamified elements influence on user’s intention to adopt and intention to recommend internet banking?","type":"article-journal","volume":"36"},"uris":["http://www.mendeley.com/documents/?uuid=084e561a-21be-464b-9722-d5e6d9d3e75b"]}],"mendeley":{"formattedCitation":"(Baptista &amp; Oliveira, 2017; Rahi &amp; Abd. Ghani, 2019; Rodrigues et al., 2017)","plainTextFormattedCitation":"(Baptista &amp; Oliveira, 2017; Rahi &amp; Abd. Ghani, 2019; Rodrigues et al., 2017)","previouslyFormattedCitation":"(Baptista &amp; Oliveira, 2017; Rahi &amp; Abd. Ghani, 2019; Rodrigues et al., 2017)"},"properties":{"noteIndex":0},"schema":"https://github.com/citation-style-language/schema/raw/master/csl-citation.json"}</w:instrText>
      </w:r>
      <w:r w:rsidRPr="000D44EC">
        <w:rPr>
          <w:rFonts w:ascii="Times New Roman" w:hAnsi="Times New Roman" w:cs="Times New Roman"/>
        </w:rPr>
        <w:fldChar w:fldCharType="separate"/>
      </w:r>
      <w:r w:rsidR="0056686A" w:rsidRPr="0056686A">
        <w:rPr>
          <w:rFonts w:ascii="Times New Roman" w:hAnsi="Times New Roman" w:cs="Times New Roman"/>
          <w:noProof/>
        </w:rPr>
        <w:t>(Baptista &amp; Oliveira, 2017; Rahi &amp; Abd. Ghani, 2019; Rodrigues et al., 2017)</w:t>
      </w:r>
      <w:r w:rsidRPr="000D44EC">
        <w:rPr>
          <w:rFonts w:ascii="Times New Roman" w:hAnsi="Times New Roman" w:cs="Times New Roman"/>
        </w:rPr>
        <w:fldChar w:fldCharType="end"/>
      </w:r>
      <w:r w:rsidRPr="000D44EC">
        <w:rPr>
          <w:rFonts w:ascii="Times New Roman" w:hAnsi="Times New Roman" w:cs="Times New Roman"/>
        </w:rPr>
        <w:t xml:space="preserve">, while the current research emphasises the role of generational cohorts which moderates the effect of gamification on intention to use </w:t>
      </w:r>
      <w:r w:rsidR="003418EE">
        <w:rPr>
          <w:rFonts w:ascii="Times New Roman" w:hAnsi="Times New Roman" w:cs="Times New Roman"/>
        </w:rPr>
        <w:t>m-banking</w:t>
      </w:r>
      <w:r w:rsidRPr="000D44EC">
        <w:rPr>
          <w:rFonts w:ascii="Times New Roman" w:hAnsi="Times New Roman" w:cs="Times New Roman"/>
        </w:rPr>
        <w:t>.</w:t>
      </w:r>
    </w:p>
    <w:p w14:paraId="2E266D5F" w14:textId="7B9FC814" w:rsidR="00BA56E6" w:rsidRPr="0068363D" w:rsidRDefault="00301246" w:rsidP="00C94C10">
      <w:pPr>
        <w:rPr>
          <w:rFonts w:ascii="Times New Roman" w:hAnsi="Times New Roman" w:cs="Times New Roman"/>
        </w:rPr>
      </w:pPr>
      <w:r w:rsidRPr="000D44EC">
        <w:rPr>
          <w:rFonts w:ascii="Times New Roman" w:hAnsi="Times New Roman" w:cs="Times New Roman"/>
        </w:rPr>
        <w:t xml:space="preserve">From a managerial perspective, </w:t>
      </w:r>
      <w:r w:rsidR="007567DB" w:rsidRPr="000D44EC">
        <w:rPr>
          <w:rFonts w:ascii="Times New Roman" w:hAnsi="Times New Roman" w:cs="Times New Roman"/>
        </w:rPr>
        <w:t xml:space="preserve">bank managers are in favour of offering services remotely, </w:t>
      </w:r>
      <w:r w:rsidR="001D07B4">
        <w:rPr>
          <w:rFonts w:ascii="Times New Roman" w:hAnsi="Times New Roman" w:cs="Times New Roman"/>
        </w:rPr>
        <w:t>due to diminish o</w:t>
      </w:r>
      <w:r w:rsidR="007567DB" w:rsidRPr="000D44EC">
        <w:rPr>
          <w:rFonts w:ascii="Times New Roman" w:hAnsi="Times New Roman" w:cs="Times New Roman"/>
        </w:rPr>
        <w:t xml:space="preserve">perational costs. </w:t>
      </w:r>
      <w:r w:rsidR="00E50FFA" w:rsidRPr="000D44EC">
        <w:rPr>
          <w:rFonts w:ascii="Times New Roman" w:hAnsi="Times New Roman" w:cs="Times New Roman"/>
        </w:rPr>
        <w:t>For banks, t</w:t>
      </w:r>
      <w:r w:rsidR="007567DB" w:rsidRPr="000D44EC">
        <w:rPr>
          <w:rFonts w:ascii="Times New Roman" w:hAnsi="Times New Roman" w:cs="Times New Roman"/>
        </w:rPr>
        <w:t xml:space="preserve">echnological advancements </w:t>
      </w:r>
      <w:r w:rsidR="001D07B4">
        <w:rPr>
          <w:rFonts w:ascii="Times New Roman" w:hAnsi="Times New Roman" w:cs="Times New Roman"/>
        </w:rPr>
        <w:t>create competitive advantages by allowing companies to invest on services improvement</w:t>
      </w:r>
      <w:r w:rsidR="007567DB" w:rsidRPr="000D44EC">
        <w:rPr>
          <w:rFonts w:ascii="Times New Roman" w:hAnsi="Times New Roman" w:cs="Times New Roman"/>
        </w:rPr>
        <w:t xml:space="preserve">. </w:t>
      </w:r>
      <w:r w:rsidR="00433936">
        <w:rPr>
          <w:rFonts w:ascii="Times New Roman" w:hAnsi="Times New Roman" w:cs="Times New Roman"/>
        </w:rPr>
        <w:t xml:space="preserve">Operating banks in transition countries are adviced to follow the similar trends accros the glob regarding m-banking services due to its beneficial obtainability for banks and clients. An enhanced bank strategy </w:t>
      </w:r>
      <w:r w:rsidR="001D154E">
        <w:rPr>
          <w:rFonts w:ascii="Times New Roman" w:hAnsi="Times New Roman" w:cs="Times New Roman"/>
        </w:rPr>
        <w:t xml:space="preserve">which would employ game elements </w:t>
      </w:r>
      <w:r w:rsidR="00433936">
        <w:rPr>
          <w:rFonts w:ascii="Times New Roman" w:hAnsi="Times New Roman" w:cs="Times New Roman"/>
        </w:rPr>
        <w:t>is expected to encourage cli</w:t>
      </w:r>
      <w:r w:rsidR="00DE6CEB">
        <w:rPr>
          <w:rFonts w:ascii="Times New Roman" w:hAnsi="Times New Roman" w:cs="Times New Roman"/>
        </w:rPr>
        <w:t>e</w:t>
      </w:r>
      <w:r w:rsidR="00433936">
        <w:rPr>
          <w:rFonts w:ascii="Times New Roman" w:hAnsi="Times New Roman" w:cs="Times New Roman"/>
        </w:rPr>
        <w:t>nts to use and recommend the m-banking serv</w:t>
      </w:r>
      <w:r w:rsidR="001D154E">
        <w:rPr>
          <w:rFonts w:ascii="Times New Roman" w:hAnsi="Times New Roman" w:cs="Times New Roman"/>
        </w:rPr>
        <w:t>ices</w:t>
      </w:r>
      <w:r w:rsidR="00433936">
        <w:rPr>
          <w:rFonts w:ascii="Times New Roman" w:hAnsi="Times New Roman" w:cs="Times New Roman"/>
        </w:rPr>
        <w:t>.</w:t>
      </w:r>
      <w:r w:rsidR="001D154E">
        <w:rPr>
          <w:rFonts w:ascii="Times New Roman" w:hAnsi="Times New Roman" w:cs="Times New Roman"/>
        </w:rPr>
        <w:t xml:space="preserve"> The similar evidence regarding motivation to use m-banking have been identified previously, whereas points (game mechanics element) motivated ap</w:t>
      </w:r>
      <w:r w:rsidR="001D154E" w:rsidRPr="00C94C10">
        <w:rPr>
          <w:rFonts w:ascii="Times New Roman" w:hAnsi="Times New Roman" w:cs="Times New Roman"/>
        </w:rPr>
        <w:t>p usage</w:t>
      </w:r>
      <w:r w:rsidR="001D154E" w:rsidRPr="007F6E3C">
        <w:rPr>
          <w:rFonts w:ascii="Times New Roman" w:hAnsi="Times New Roman" w:cs="Times New Roman"/>
        </w:rPr>
        <w:t xml:space="preserve"> </w:t>
      </w:r>
      <w:r w:rsidR="00E50FFA" w:rsidRPr="007F6E3C">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{"citationItems":[{"id":"ITEM-1","itemData":{"DOI":"10.1016/J.JRETCONSER.2016.11.009","ISSN":"0969-6989","abstract":"Drawing upon the theory of trying, the present study goes a step further by including two important, but rarely addressed factors in the context of new technology adoption: general self-confidence and cynicism. Both of these variables are considered significant precursors of attitudes, particularly in the context of emerging and developing countries. The data were collected from 557 bank customers and then analyzed using Smart PLS. The findings reveal that intention of adopting mobile banking is determined by attitude toward mobile banking, which in turn is determined by attitude toward success, attitude toward failure, and attitude toward learning to use mobile banking. The last three attitudes are significantly influenced by general self-confidence and cynicism.","author":[{"dropping-particle":"","family":"Chaouali","given":"Walid","non-dropping-particle":"","parse-names":false,"suffix":""},{"dropping-particle":"","family":"Souiden","given":"Nizar","non-dropping-particle":"","parse-names":false,"suffix":""},{"dropping-particle":"","family":"Ladhari","given":"Riadh","non-dropping-particle":"","parse-names":false,"suffix":""}],"container-title":"Journal of Retailing and Consumer Services","id":"ITEM-1","issued":{"date-parts":[["2017","3","1"]]},"page":"57-67","publisher":"Pergamon","title":"Explaining adoption of mobile banking with the theory of trying, general self-confidence, and cynicism","type":"article-journal","volume":"35"},"uris":["http://www.mendeley.com/documents/?uuid=0a129301-4a42-3db2-8593-9754de9f9cc8"]}],"mendeley":{"formattedCitation":"(Chaouali et al., 2017)","plainTextFormattedCitation":"(Chaouali et al., 2017)","previouslyFormattedCitation":"(Chaouali et al., 2017)"},"properties":{"noteIndex":0},"schema":"https://github.com/citation-style-language/schema/raw/master/csl-citation.json"}</w:instrText>
      </w:r>
      <w:r w:rsidR="00E50FFA" w:rsidRPr="007F6E3C">
        <w:rPr>
          <w:rFonts w:ascii="Times New Roman" w:hAnsi="Times New Roman" w:cs="Times New Roman"/>
        </w:rPr>
        <w:fldChar w:fldCharType="separate"/>
      </w:r>
      <w:r w:rsidR="0056686A" w:rsidRPr="0056686A">
        <w:rPr>
          <w:rFonts w:ascii="Times New Roman" w:hAnsi="Times New Roman" w:cs="Times New Roman"/>
          <w:noProof/>
        </w:rPr>
        <w:t>(Chaouali et al., 2017)</w:t>
      </w:r>
      <w:r w:rsidR="00E50FFA" w:rsidRPr="007F6E3C">
        <w:rPr>
          <w:rFonts w:ascii="Times New Roman" w:hAnsi="Times New Roman" w:cs="Times New Roman"/>
        </w:rPr>
        <w:fldChar w:fldCharType="end"/>
      </w:r>
      <w:r w:rsidR="00E50FFA" w:rsidRPr="00C94C10">
        <w:rPr>
          <w:rFonts w:ascii="Times New Roman" w:hAnsi="Times New Roman" w:cs="Times New Roman"/>
        </w:rPr>
        <w:t>.</w:t>
      </w:r>
      <w:r w:rsidR="004622C5" w:rsidRPr="007F6E3C">
        <w:rPr>
          <w:rFonts w:ascii="Times New Roman" w:hAnsi="Times New Roman" w:cs="Times New Roman"/>
        </w:rPr>
        <w:t xml:space="preserve"> </w:t>
      </w:r>
      <w:r w:rsidR="001D154E" w:rsidRPr="001424A2">
        <w:rPr>
          <w:rFonts w:ascii="Times New Roman" w:hAnsi="Times New Roman" w:cs="Times New Roman"/>
        </w:rPr>
        <w:t xml:space="preserve">Furthermore, the results of current study </w:t>
      </w:r>
      <w:r w:rsidR="001D154E" w:rsidRPr="0068363D">
        <w:rPr>
          <w:rFonts w:ascii="Times New Roman" w:hAnsi="Times New Roman" w:cs="Times New Roman"/>
        </w:rPr>
        <w:t xml:space="preserve">assist banks concerning additional effort required </w:t>
      </w:r>
      <w:r w:rsidR="00797F23" w:rsidRPr="0068363D">
        <w:rPr>
          <w:rFonts w:ascii="Times New Roman" w:hAnsi="Times New Roman" w:cs="Times New Roman"/>
        </w:rPr>
        <w:t xml:space="preserve">to encourage individuals belonging to Gen </w:t>
      </w:r>
      <w:r w:rsidR="00AF5D18">
        <w:rPr>
          <w:rFonts w:ascii="Times New Roman" w:hAnsi="Times New Roman" w:cs="Times New Roman"/>
        </w:rPr>
        <w:t>Y</w:t>
      </w:r>
      <w:r w:rsidR="00797F23" w:rsidRPr="0068363D">
        <w:rPr>
          <w:rFonts w:ascii="Times New Roman" w:hAnsi="Times New Roman" w:cs="Times New Roman"/>
        </w:rPr>
        <w:t xml:space="preserve"> to use </w:t>
      </w:r>
      <w:r w:rsidR="003418EE" w:rsidRPr="0068363D">
        <w:rPr>
          <w:rFonts w:ascii="Times New Roman" w:hAnsi="Times New Roman" w:cs="Times New Roman"/>
        </w:rPr>
        <w:t>m-banking</w:t>
      </w:r>
      <w:r w:rsidR="00797F23" w:rsidRPr="0068363D">
        <w:rPr>
          <w:rFonts w:ascii="Times New Roman" w:hAnsi="Times New Roman" w:cs="Times New Roman"/>
        </w:rPr>
        <w:t xml:space="preserve"> services, </w:t>
      </w:r>
      <w:r w:rsidR="001D154E" w:rsidRPr="0068363D">
        <w:rPr>
          <w:rFonts w:ascii="Times New Roman" w:hAnsi="Times New Roman" w:cs="Times New Roman"/>
        </w:rPr>
        <w:t xml:space="preserve">rather than </w:t>
      </w:r>
      <w:r w:rsidR="00797F23" w:rsidRPr="0068363D">
        <w:rPr>
          <w:rFonts w:ascii="Times New Roman" w:hAnsi="Times New Roman" w:cs="Times New Roman"/>
        </w:rPr>
        <w:t xml:space="preserve">Gen </w:t>
      </w:r>
      <w:r w:rsidR="00AF5D18">
        <w:rPr>
          <w:rFonts w:ascii="Times New Roman" w:hAnsi="Times New Roman" w:cs="Times New Roman"/>
        </w:rPr>
        <w:t>Z</w:t>
      </w:r>
      <w:r w:rsidR="00797F23" w:rsidRPr="0068363D">
        <w:rPr>
          <w:rFonts w:ascii="Times New Roman" w:hAnsi="Times New Roman" w:cs="Times New Roman"/>
        </w:rPr>
        <w:t>.</w:t>
      </w:r>
    </w:p>
    <w:p w14:paraId="7F0AF8D5" w14:textId="2B481968" w:rsidR="007463C7" w:rsidRPr="000D44EC" w:rsidRDefault="001D154E" w:rsidP="00D6076E">
      <w:pPr>
        <w:rPr>
          <w:rFonts w:ascii="Times New Roman" w:hAnsi="Times New Roman" w:cs="Times New Roman"/>
        </w:rPr>
      </w:pPr>
      <w:r w:rsidRPr="0068363D">
        <w:rPr>
          <w:rFonts w:ascii="Times New Roman" w:hAnsi="Times New Roman" w:cs="Times New Roman"/>
        </w:rPr>
        <w:t xml:space="preserve">The current study has its limitations which may be consider as invitation for further research by academic and researchers. </w:t>
      </w:r>
      <w:r w:rsidR="00415EFF" w:rsidRPr="0068363D">
        <w:rPr>
          <w:rFonts w:ascii="Times New Roman" w:hAnsi="Times New Roman" w:cs="Times New Roman"/>
        </w:rPr>
        <w:t xml:space="preserve">Beginning with the sample, the study </w:t>
      </w:r>
      <w:r w:rsidR="00962939" w:rsidRPr="0068363D">
        <w:rPr>
          <w:rFonts w:ascii="Times New Roman" w:hAnsi="Times New Roman" w:cs="Times New Roman"/>
        </w:rPr>
        <w:t xml:space="preserve">is biased due to its lack of comparision with </w:t>
      </w:r>
      <w:r w:rsidR="00415EFF" w:rsidRPr="0068363D">
        <w:rPr>
          <w:rFonts w:ascii="Times New Roman" w:hAnsi="Times New Roman" w:cs="Times New Roman"/>
        </w:rPr>
        <w:t>nonusers.</w:t>
      </w:r>
      <w:r w:rsidR="004E6ABD" w:rsidRPr="0068363D">
        <w:rPr>
          <w:rFonts w:ascii="Times New Roman" w:hAnsi="Times New Roman" w:cs="Times New Roman"/>
        </w:rPr>
        <w:t xml:space="preserve"> Eventually, investigating the </w:t>
      </w:r>
      <w:r w:rsidR="00FE4CF5" w:rsidRPr="0068363D">
        <w:rPr>
          <w:rFonts w:ascii="Times New Roman" w:hAnsi="Times New Roman" w:cs="Times New Roman"/>
        </w:rPr>
        <w:t>obstacles</w:t>
      </w:r>
      <w:r w:rsidR="004E6ABD" w:rsidRPr="0068363D">
        <w:rPr>
          <w:rFonts w:ascii="Times New Roman" w:hAnsi="Times New Roman" w:cs="Times New Roman"/>
        </w:rPr>
        <w:t xml:space="preserve"> which prohibit nonusers to use </w:t>
      </w:r>
      <w:r w:rsidR="003418EE" w:rsidRPr="0068363D">
        <w:rPr>
          <w:rFonts w:ascii="Times New Roman" w:hAnsi="Times New Roman" w:cs="Times New Roman"/>
        </w:rPr>
        <w:t>m-banking</w:t>
      </w:r>
      <w:r w:rsidR="004E6ABD" w:rsidRPr="0068363D">
        <w:rPr>
          <w:rFonts w:ascii="Times New Roman" w:hAnsi="Times New Roman" w:cs="Times New Roman"/>
        </w:rPr>
        <w:t xml:space="preserve"> may assist banks to increase the</w:t>
      </w:r>
      <w:r w:rsidR="0068363D" w:rsidRPr="0068363D">
        <w:rPr>
          <w:rFonts w:ascii="Times New Roman" w:hAnsi="Times New Roman" w:cs="Times New Roman"/>
        </w:rPr>
        <w:t xml:space="preserve"> usage</w:t>
      </w:r>
      <w:r w:rsidR="004E6ABD" w:rsidRPr="0068363D">
        <w:rPr>
          <w:rFonts w:ascii="Times New Roman" w:hAnsi="Times New Roman" w:cs="Times New Roman"/>
        </w:rPr>
        <w:t xml:space="preserve"> of </w:t>
      </w:r>
      <w:r w:rsidR="003418EE" w:rsidRPr="0068363D">
        <w:rPr>
          <w:rFonts w:ascii="Times New Roman" w:hAnsi="Times New Roman" w:cs="Times New Roman"/>
        </w:rPr>
        <w:t>m-banking</w:t>
      </w:r>
      <w:r w:rsidR="004E6ABD" w:rsidRPr="0068363D">
        <w:rPr>
          <w:rFonts w:ascii="Times New Roman" w:hAnsi="Times New Roman" w:cs="Times New Roman"/>
        </w:rPr>
        <w:t>.</w:t>
      </w:r>
      <w:r w:rsidR="00415EFF" w:rsidRPr="0068363D">
        <w:rPr>
          <w:rFonts w:ascii="Times New Roman" w:hAnsi="Times New Roman" w:cs="Times New Roman"/>
        </w:rPr>
        <w:t xml:space="preserve"> </w:t>
      </w:r>
      <w:r w:rsidR="0078315F" w:rsidRPr="0068363D">
        <w:rPr>
          <w:rFonts w:ascii="Times New Roman" w:hAnsi="Times New Roman" w:cs="Times New Roman"/>
        </w:rPr>
        <w:t>Although the</w:t>
      </w:r>
      <w:r w:rsidR="00ED5A41" w:rsidRPr="0068363D">
        <w:rPr>
          <w:rFonts w:ascii="Times New Roman" w:hAnsi="Times New Roman" w:cs="Times New Roman"/>
        </w:rPr>
        <w:t xml:space="preserve"> majority</w:t>
      </w:r>
      <w:r w:rsidR="0078315F" w:rsidRPr="0068363D">
        <w:rPr>
          <w:rFonts w:ascii="Times New Roman" w:hAnsi="Times New Roman" w:cs="Times New Roman"/>
        </w:rPr>
        <w:t xml:space="preserve"> co</w:t>
      </w:r>
      <w:r w:rsidR="00ED5A41" w:rsidRPr="0068363D">
        <w:rPr>
          <w:rFonts w:ascii="Times New Roman" w:hAnsi="Times New Roman" w:cs="Times New Roman"/>
        </w:rPr>
        <w:t xml:space="preserve">nstructs </w:t>
      </w:r>
      <w:r w:rsidR="0078315F" w:rsidRPr="0068363D">
        <w:rPr>
          <w:rFonts w:ascii="Times New Roman" w:hAnsi="Times New Roman" w:cs="Times New Roman"/>
        </w:rPr>
        <w:t xml:space="preserve">appeared to be </w:t>
      </w:r>
      <w:r w:rsidR="00ED5A41" w:rsidRPr="0068363D">
        <w:rPr>
          <w:rFonts w:ascii="Times New Roman" w:hAnsi="Times New Roman" w:cs="Times New Roman"/>
        </w:rPr>
        <w:t>significant, further research may employ</w:t>
      </w:r>
      <w:r w:rsidR="000E491B" w:rsidRPr="0068363D">
        <w:rPr>
          <w:rFonts w:ascii="Times New Roman" w:hAnsi="Times New Roman" w:cs="Times New Roman"/>
        </w:rPr>
        <w:t xml:space="preserve"> trust</w:t>
      </w:r>
      <w:r w:rsidR="00ED5A41" w:rsidRPr="0068363D">
        <w:rPr>
          <w:rFonts w:ascii="Times New Roman" w:hAnsi="Times New Roman" w:cs="Times New Roman"/>
        </w:rPr>
        <w:t>, information asymmetry, perceived risk,</w:t>
      </w:r>
      <w:r w:rsidR="005A2AAF" w:rsidRPr="0068363D">
        <w:rPr>
          <w:rFonts w:ascii="Times New Roman" w:hAnsi="Times New Roman" w:cs="Times New Roman"/>
        </w:rPr>
        <w:t xml:space="preserve"> personal innovativeness</w:t>
      </w:r>
      <w:r w:rsidRPr="0068363D">
        <w:rPr>
          <w:rFonts w:ascii="Times New Roman" w:hAnsi="Times New Roman" w:cs="Times New Roman"/>
        </w:rPr>
        <w:t xml:space="preserve">. </w:t>
      </w:r>
      <w:r w:rsidR="00962939" w:rsidRPr="00DE2D7E">
        <w:rPr>
          <w:rFonts w:ascii="Times New Roman" w:hAnsi="Times New Roman" w:cs="Times New Roman"/>
        </w:rPr>
        <w:t>Furthermore, m</w:t>
      </w:r>
      <w:r w:rsidR="00FE4CF5" w:rsidRPr="00DE2D7E">
        <w:rPr>
          <w:rFonts w:ascii="Times New Roman" w:hAnsi="Times New Roman" w:cs="Times New Roman"/>
        </w:rPr>
        <w:t>odifying</w:t>
      </w:r>
      <w:r w:rsidR="004730B4" w:rsidRPr="00DE2D7E">
        <w:rPr>
          <w:rFonts w:ascii="Times New Roman" w:hAnsi="Times New Roman" w:cs="Times New Roman"/>
        </w:rPr>
        <w:t xml:space="preserve"> the model by adding different variables based on cultural and economic background might</w:t>
      </w:r>
      <w:r w:rsidR="00FE4CF5" w:rsidRPr="00DE2D7E">
        <w:rPr>
          <w:rFonts w:ascii="Times New Roman" w:hAnsi="Times New Roman" w:cs="Times New Roman"/>
        </w:rPr>
        <w:t xml:space="preserve"> provide attractive results. Als</w:t>
      </w:r>
      <w:r w:rsidR="004730B4" w:rsidRPr="00DE2D7E">
        <w:rPr>
          <w:rFonts w:ascii="Times New Roman" w:hAnsi="Times New Roman" w:cs="Times New Roman"/>
        </w:rPr>
        <w:t xml:space="preserve">o, modifying the gamification construct by incorporating other game elements to obtain additional information regarding game elements impact on </w:t>
      </w:r>
      <w:r w:rsidR="003418EE" w:rsidRPr="00DE2D7E">
        <w:rPr>
          <w:rFonts w:ascii="Times New Roman" w:hAnsi="Times New Roman" w:cs="Times New Roman"/>
        </w:rPr>
        <w:t>m-banking</w:t>
      </w:r>
      <w:r w:rsidR="004730B4" w:rsidRPr="00DE2D7E">
        <w:rPr>
          <w:rFonts w:ascii="Times New Roman" w:hAnsi="Times New Roman" w:cs="Times New Roman"/>
        </w:rPr>
        <w:t xml:space="preserve"> users could provide important insight. </w:t>
      </w:r>
      <w:r w:rsidR="00E5697B" w:rsidRPr="00DE2D7E">
        <w:rPr>
          <w:rFonts w:ascii="Times New Roman" w:hAnsi="Times New Roman" w:cs="Times New Roman"/>
        </w:rPr>
        <w:t xml:space="preserve">Nevertheless, Albania might share similarities with other countries in terms of </w:t>
      </w:r>
      <w:r w:rsidR="00D6076E" w:rsidRPr="00DE2D7E">
        <w:rPr>
          <w:rFonts w:ascii="Times New Roman" w:hAnsi="Times New Roman" w:cs="Times New Roman"/>
        </w:rPr>
        <w:t xml:space="preserve">economic progress and </w:t>
      </w:r>
      <w:r w:rsidR="00E5697B" w:rsidRPr="00DE2D7E">
        <w:rPr>
          <w:rFonts w:ascii="Times New Roman" w:hAnsi="Times New Roman" w:cs="Times New Roman"/>
        </w:rPr>
        <w:t xml:space="preserve">technology </w:t>
      </w:r>
      <w:r w:rsidR="00D6076E" w:rsidRPr="00DE2D7E">
        <w:rPr>
          <w:rFonts w:ascii="Times New Roman" w:hAnsi="Times New Roman" w:cs="Times New Roman"/>
        </w:rPr>
        <w:t xml:space="preserve">advancements </w:t>
      </w:r>
      <w:r w:rsidR="00E5697B" w:rsidRPr="00DE2D7E">
        <w:rPr>
          <w:rFonts w:ascii="Times New Roman" w:hAnsi="Times New Roman" w:cs="Times New Roman"/>
        </w:rPr>
        <w:t>in banking services sectors the results of this st</w:t>
      </w:r>
      <w:r w:rsidR="00CF40CB" w:rsidRPr="00DE2D7E">
        <w:rPr>
          <w:rFonts w:ascii="Times New Roman" w:hAnsi="Times New Roman" w:cs="Times New Roman"/>
        </w:rPr>
        <w:t>udy are limited to one country</w:t>
      </w:r>
      <w:r w:rsidR="00D6076E" w:rsidRPr="00DE2D7E">
        <w:rPr>
          <w:rFonts w:ascii="Times New Roman" w:hAnsi="Times New Roman" w:cs="Times New Roman"/>
        </w:rPr>
        <w:t xml:space="preserve">. </w:t>
      </w:r>
      <w:r w:rsidR="007463C7" w:rsidRPr="00DE2D7E">
        <w:rPr>
          <w:rFonts w:ascii="Times New Roman" w:hAnsi="Times New Roman" w:cs="Times New Roman"/>
        </w:rPr>
        <w:t xml:space="preserve">Limited research has been conducted </w:t>
      </w:r>
      <w:r w:rsidR="0044043D" w:rsidRPr="00DE2D7E">
        <w:rPr>
          <w:rFonts w:ascii="Times New Roman" w:hAnsi="Times New Roman" w:cs="Times New Roman"/>
        </w:rPr>
        <w:t xml:space="preserve">in Albania </w:t>
      </w:r>
      <w:r w:rsidR="007463C7" w:rsidRPr="00DE2D7E">
        <w:rPr>
          <w:rFonts w:ascii="Times New Roman" w:hAnsi="Times New Roman" w:cs="Times New Roman"/>
        </w:rPr>
        <w:t xml:space="preserve">regarding the reasons to continue </w:t>
      </w:r>
      <w:r w:rsidR="004E7CF1" w:rsidRPr="00DE2D7E">
        <w:rPr>
          <w:rFonts w:ascii="Times New Roman" w:hAnsi="Times New Roman" w:cs="Times New Roman"/>
        </w:rPr>
        <w:t xml:space="preserve">using </w:t>
      </w:r>
      <w:r w:rsidR="003418EE" w:rsidRPr="00DE2D7E">
        <w:rPr>
          <w:rFonts w:ascii="Times New Roman" w:hAnsi="Times New Roman" w:cs="Times New Roman"/>
        </w:rPr>
        <w:t>m-banking</w:t>
      </w:r>
      <w:r w:rsidR="007463C7" w:rsidRPr="00DE2D7E">
        <w:rPr>
          <w:rFonts w:ascii="Times New Roman" w:hAnsi="Times New Roman" w:cs="Times New Roman"/>
        </w:rPr>
        <w:t xml:space="preserve"> services as suggested by Shaikh</w:t>
      </w:r>
      <w:r w:rsidR="002D38CE" w:rsidRPr="00DE2D7E">
        <w:rPr>
          <w:rFonts w:ascii="Times New Roman" w:hAnsi="Times New Roman" w:cs="Times New Roman"/>
        </w:rPr>
        <w:t xml:space="preserve"> et al.</w:t>
      </w:r>
      <w:r w:rsidR="007463C7" w:rsidRPr="00DE2D7E">
        <w:rPr>
          <w:rFonts w:ascii="Times New Roman" w:hAnsi="Times New Roman" w:cs="Times New Roman"/>
        </w:rPr>
        <w:t xml:space="preserve"> </w:t>
      </w:r>
      <w:r w:rsidR="007463C7" w:rsidRPr="003E4A4F">
        <w:rPr>
          <w:rFonts w:ascii="Times New Roman" w:hAnsi="Times New Roman" w:cs="Times New Roman"/>
        </w:rPr>
        <w:fldChar w:fldCharType="begin" w:fldLock="1"/>
      </w:r>
      <w:r w:rsidR="008F28C8">
        <w:rPr>
          <w:rFonts w:ascii="Times New Roman" w:hAnsi="Times New Roman" w:cs="Times New Roman"/>
        </w:rPr>
        <w:instrText>ADDIN CSL_CITATION {"citationItems":[{"id":"ITEM-1","itemData":{"DOI":"10.1057/fsm.2015.14","abstract":"Although conducting banking transactions via mobile phones, smart phones and tablets has become popular in many countries, major gaps exist in our understanding of those who use this technology, particularly how experienced users perceive mobile banking. Drawing from the literature on mobile banking adoption, continuous usage behavior and post-adoption of technology behavior, the authors shed light on the nature of experienced mobile banking users’ relationship commitment (RC) with their bank and personal finances. The study reveals changes in commitment and shows that mobile banking offers substantial added value to users. Overall, this research will help managers better understand the importance of mobile banking services in the light of customer RC.","author":[{"dropping-particle":"","family":"Shaikh","given":"Aijaz A","non-dropping-particle":"","parse-names":false,"suffix":""},{"dropping-particle":"","family":"Karjaluoto","given":"Heikki","non-dropping-particle":"","parse-names":false,"suffix":""},{"dropping-particle":"","family":"Chinje","given":"Nathalie Beatrice","non-dropping-particle":"","parse-names":false,"suffix":""}],"container-title":"Journal of Financial Services Marketing","id":"ITEM-1","issue":"3","issued":{"date-parts":[["2015","9"]]},"page":"208-219","publisher":"Palgrave Macmillan UK","title":"Continuous mobile banking usage and relationship commitment – A multi-country assessment","type":"article-journal","volume":"20"},"suppress-author":1,"uris":["http://www.mendeley.com/documents/?uuid=b91bbdc7-0ebe-4970-be1a-c5b5e1d39ff2","http://www.mendeley.com/documents/?uuid=0ea9de84-f579-3ae0-b2b3-95d807b8393e"]}],"mendeley":{"formattedCitation":"(2015b)","plainTextFormattedCitation":"(2015b)","previouslyFormattedCitation":"(2015b)"},"properties":{"noteIndex":0},"schema":"https://github.com/citation-style-language/schema/raw/master/csl-citation.json"}</w:instrText>
      </w:r>
      <w:r w:rsidR="007463C7" w:rsidRPr="003E4A4F">
        <w:rPr>
          <w:rFonts w:ascii="Times New Roman" w:hAnsi="Times New Roman" w:cs="Times New Roman"/>
        </w:rPr>
        <w:fldChar w:fldCharType="separate"/>
      </w:r>
      <w:r w:rsidR="0056686A" w:rsidRPr="0056686A">
        <w:rPr>
          <w:rFonts w:ascii="Times New Roman" w:hAnsi="Times New Roman" w:cs="Times New Roman"/>
          <w:noProof/>
        </w:rPr>
        <w:t>(2015b)</w:t>
      </w:r>
      <w:r w:rsidR="007463C7" w:rsidRPr="003E4A4F">
        <w:rPr>
          <w:rFonts w:ascii="Times New Roman" w:hAnsi="Times New Roman" w:cs="Times New Roman"/>
        </w:rPr>
        <w:fldChar w:fldCharType="end"/>
      </w:r>
      <w:r w:rsidR="0044043D" w:rsidRPr="00DE2D7E">
        <w:rPr>
          <w:rFonts w:ascii="Times New Roman" w:hAnsi="Times New Roman" w:cs="Times New Roman"/>
        </w:rPr>
        <w:t xml:space="preserve"> which may be incorporated within the model.</w:t>
      </w:r>
      <w:r w:rsidR="00962939">
        <w:rPr>
          <w:rFonts w:ascii="Times New Roman" w:hAnsi="Times New Roman" w:cs="Times New Roman"/>
        </w:rPr>
        <w:t xml:space="preserve"> Lastly, additional d</w:t>
      </w:r>
      <w:r w:rsidR="00962939" w:rsidRPr="000D44EC">
        <w:rPr>
          <w:rFonts w:ascii="Times New Roman" w:hAnsi="Times New Roman" w:cs="Times New Roman"/>
        </w:rPr>
        <w:t xml:space="preserve">emographic variables as moderators </w:t>
      </w:r>
      <w:r w:rsidR="00962939">
        <w:rPr>
          <w:rFonts w:ascii="Times New Roman" w:hAnsi="Times New Roman" w:cs="Times New Roman"/>
        </w:rPr>
        <w:t>such as</w:t>
      </w:r>
      <w:r w:rsidR="00962939" w:rsidRPr="000D44EC">
        <w:rPr>
          <w:rFonts w:ascii="Times New Roman" w:hAnsi="Times New Roman" w:cs="Times New Roman"/>
        </w:rPr>
        <w:t xml:space="preserve"> gender, region, education, occupation and income level</w:t>
      </w:r>
      <w:r w:rsidR="00962939">
        <w:rPr>
          <w:rFonts w:ascii="Times New Roman" w:hAnsi="Times New Roman" w:cs="Times New Roman"/>
        </w:rPr>
        <w:t xml:space="preserve"> </w:t>
      </w:r>
      <w:r w:rsidR="0068363D">
        <w:rPr>
          <w:rFonts w:ascii="Times New Roman" w:hAnsi="Times New Roman" w:cs="Times New Roman"/>
        </w:rPr>
        <w:t xml:space="preserve">could be included within the model </w:t>
      </w:r>
      <w:r w:rsidR="00962939">
        <w:rPr>
          <w:rFonts w:ascii="Times New Roman" w:hAnsi="Times New Roman" w:cs="Times New Roman"/>
        </w:rPr>
        <w:t xml:space="preserve">to broaden </w:t>
      </w:r>
      <w:r w:rsidR="00962939" w:rsidRPr="00AF5D18">
        <w:rPr>
          <w:rFonts w:ascii="Times New Roman" w:hAnsi="Times New Roman" w:cs="Times New Roman"/>
        </w:rPr>
        <w:t>the</w:t>
      </w:r>
      <w:r w:rsidR="00AF5D18">
        <w:rPr>
          <w:rFonts w:ascii="Times New Roman" w:hAnsi="Times New Roman" w:cs="Times New Roman"/>
        </w:rPr>
        <w:t xml:space="preserve"> influenctial factors on</w:t>
      </w:r>
      <w:r w:rsidR="0068363D" w:rsidRPr="00AF5D18">
        <w:rPr>
          <w:rFonts w:ascii="Times New Roman" w:hAnsi="Times New Roman" w:cs="Times New Roman"/>
        </w:rPr>
        <w:t xml:space="preserve"> usage of m-banking services</w:t>
      </w:r>
      <w:r w:rsidR="00962939" w:rsidRPr="00AF5D18">
        <w:rPr>
          <w:rFonts w:ascii="Times New Roman" w:hAnsi="Times New Roman" w:cs="Times New Roman"/>
        </w:rPr>
        <w:t>.</w:t>
      </w:r>
    </w:p>
    <w:p w14:paraId="01ADB20E" w14:textId="77777777" w:rsidR="00077483" w:rsidRPr="000D44EC" w:rsidRDefault="00077483" w:rsidP="009A62E6">
      <w:pPr>
        <w:pStyle w:val="Nadpis1"/>
        <w:rPr>
          <w:rFonts w:cs="Times New Roman"/>
        </w:rPr>
      </w:pPr>
      <w:r w:rsidRPr="000D44EC">
        <w:rPr>
          <w:rFonts w:cs="Times New Roman"/>
        </w:rPr>
        <w:t>References</w:t>
      </w:r>
    </w:p>
    <w:p w14:paraId="05C54FD1" w14:textId="591D4D90" w:rsidR="0057408D" w:rsidRPr="0057408D" w:rsidRDefault="003728B5" w:rsidP="0057408D">
      <w:pPr>
        <w:widowControl w:val="0"/>
        <w:autoSpaceDE w:val="0"/>
        <w:autoSpaceDN w:val="0"/>
        <w:adjustRightInd w:val="0"/>
        <w:spacing w:before="140" w:after="140"/>
        <w:ind w:left="480" w:hanging="480"/>
        <w:rPr>
          <w:rFonts w:ascii="Times New Roman" w:hAnsi="Times New Roman" w:cs="Times New Roman"/>
          <w:noProof/>
          <w:szCs w:val="24"/>
        </w:rPr>
      </w:pPr>
      <w:r w:rsidRPr="000D44EC">
        <w:rPr>
          <w:rFonts w:ascii="Times New Roman" w:hAnsi="Times New Roman" w:cs="Times New Roman"/>
        </w:rPr>
        <w:fldChar w:fldCharType="begin" w:fldLock="1"/>
      </w:r>
      <w:r w:rsidRPr="000D44EC">
        <w:rPr>
          <w:rFonts w:ascii="Times New Roman" w:hAnsi="Times New Roman" w:cs="Times New Roman"/>
        </w:rPr>
        <w:instrText xml:space="preserve">ADDIN Mendeley Bibliography CSL_BIBLIOGRAPHY </w:instrText>
      </w:r>
      <w:r w:rsidRPr="000D44EC">
        <w:rPr>
          <w:rFonts w:ascii="Times New Roman" w:hAnsi="Times New Roman" w:cs="Times New Roman"/>
        </w:rPr>
        <w:fldChar w:fldCharType="separate"/>
      </w:r>
      <w:r w:rsidR="0057408D" w:rsidRPr="0057408D">
        <w:rPr>
          <w:rFonts w:ascii="Times New Roman" w:hAnsi="Times New Roman" w:cs="Times New Roman"/>
          <w:noProof/>
          <w:szCs w:val="24"/>
        </w:rPr>
        <w:t xml:space="preserve">Ajzen, I. (1991). The theory of planned behavior. </w:t>
      </w:r>
      <w:r w:rsidR="0057408D" w:rsidRPr="0057408D">
        <w:rPr>
          <w:rFonts w:ascii="Times New Roman" w:hAnsi="Times New Roman" w:cs="Times New Roman"/>
          <w:i/>
          <w:iCs/>
          <w:noProof/>
          <w:szCs w:val="24"/>
        </w:rPr>
        <w:t>Organizational Behavior and Human Decision Processes</w:t>
      </w:r>
      <w:r w:rsidR="0057408D" w:rsidRPr="0057408D">
        <w:rPr>
          <w:rFonts w:ascii="Times New Roman" w:hAnsi="Times New Roman" w:cs="Times New Roman"/>
          <w:noProof/>
          <w:szCs w:val="24"/>
        </w:rPr>
        <w:t xml:space="preserve">, </w:t>
      </w:r>
      <w:r w:rsidR="0057408D" w:rsidRPr="0057408D">
        <w:rPr>
          <w:rFonts w:ascii="Times New Roman" w:hAnsi="Times New Roman" w:cs="Times New Roman"/>
          <w:i/>
          <w:iCs/>
          <w:noProof/>
          <w:szCs w:val="24"/>
        </w:rPr>
        <w:t>50</w:t>
      </w:r>
      <w:r w:rsidR="0057408D" w:rsidRPr="0057408D">
        <w:rPr>
          <w:rFonts w:ascii="Times New Roman" w:hAnsi="Times New Roman" w:cs="Times New Roman"/>
          <w:noProof/>
          <w:szCs w:val="24"/>
        </w:rPr>
        <w:t>(2), 179–211. https://doi.org/10.1016/0749-5978(91)90020-T</w:t>
      </w:r>
    </w:p>
    <w:p w14:paraId="7D93CBBB"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Al-Jabri, B. M., &amp; Sohail, M. S. (2012). Mobile banking adoption: Application of diffusion of innovation theory. </w:t>
      </w:r>
      <w:r w:rsidRPr="0057408D">
        <w:rPr>
          <w:rFonts w:ascii="Times New Roman" w:hAnsi="Times New Roman" w:cs="Times New Roman"/>
          <w:i/>
          <w:iCs/>
          <w:noProof/>
          <w:szCs w:val="24"/>
        </w:rPr>
        <w:t>Journal of Electronic Commerce Research</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13</w:t>
      </w:r>
      <w:r w:rsidRPr="0057408D">
        <w:rPr>
          <w:rFonts w:ascii="Times New Roman" w:hAnsi="Times New Roman" w:cs="Times New Roman"/>
          <w:noProof/>
          <w:szCs w:val="24"/>
        </w:rPr>
        <w:t>(4), 379–391.</w:t>
      </w:r>
    </w:p>
    <w:p w14:paraId="29FBB7BA"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Alalwan, A. A., Dwivedi, Y. K., Rana, N. P., Lal, B., &amp; Williams, M. D. (2015). Consumer adoption of Internet banking in Jordan: Examining the role of hedonic motivation, habit, self-efficacy and trust. </w:t>
      </w:r>
      <w:r w:rsidRPr="0057408D">
        <w:rPr>
          <w:rFonts w:ascii="Times New Roman" w:hAnsi="Times New Roman" w:cs="Times New Roman"/>
          <w:i/>
          <w:iCs/>
          <w:noProof/>
          <w:szCs w:val="24"/>
        </w:rPr>
        <w:t>Journal of Financial Services Marketing</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20</w:t>
      </w:r>
      <w:r w:rsidRPr="0057408D">
        <w:rPr>
          <w:rFonts w:ascii="Times New Roman" w:hAnsi="Times New Roman" w:cs="Times New Roman"/>
          <w:noProof/>
          <w:szCs w:val="24"/>
        </w:rPr>
        <w:t>(2), 145–157. https://doi.org/10.1057/fsm.2015.5</w:t>
      </w:r>
    </w:p>
    <w:p w14:paraId="38C41889"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Ameen, N., Willis, R., &amp; Hussain Shah, M. (2018). An examination of the gender gap in smartphone adoption and use in Arab countries: A cross-national study. </w:t>
      </w:r>
      <w:r w:rsidRPr="0057408D">
        <w:rPr>
          <w:rFonts w:ascii="Times New Roman" w:hAnsi="Times New Roman" w:cs="Times New Roman"/>
          <w:i/>
          <w:iCs/>
          <w:noProof/>
          <w:szCs w:val="24"/>
        </w:rPr>
        <w:t>Computers in Human Behavior</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89</w:t>
      </w:r>
      <w:r w:rsidRPr="0057408D">
        <w:rPr>
          <w:rFonts w:ascii="Times New Roman" w:hAnsi="Times New Roman" w:cs="Times New Roman"/>
          <w:noProof/>
          <w:szCs w:val="24"/>
        </w:rPr>
        <w:t>, 148–162. https://doi.org/10.1016/j.chb.2018.07.045</w:t>
      </w:r>
    </w:p>
    <w:p w14:paraId="55EE21ED"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Baabdullah, A. M., Alalwan, A. A., Rana, N. P., Kizgin, H., &amp; Patil, P. (2019). Consumer use of mobile banking (M-Banking) in Saudi Arabia: Towards an integrated model. </w:t>
      </w:r>
      <w:r w:rsidRPr="0057408D">
        <w:rPr>
          <w:rFonts w:ascii="Times New Roman" w:hAnsi="Times New Roman" w:cs="Times New Roman"/>
          <w:i/>
          <w:iCs/>
          <w:noProof/>
          <w:szCs w:val="24"/>
        </w:rPr>
        <w:t>International Journal of Information Management</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44</w:t>
      </w:r>
      <w:r w:rsidRPr="0057408D">
        <w:rPr>
          <w:rFonts w:ascii="Times New Roman" w:hAnsi="Times New Roman" w:cs="Times New Roman"/>
          <w:noProof/>
          <w:szCs w:val="24"/>
        </w:rPr>
        <w:t>, 38–52. https://doi.org/10.1016/j.ijinfomgt.2018.09.002</w:t>
      </w:r>
    </w:p>
    <w:p w14:paraId="2B9858FD"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Bagozzi, R. P., &amp; Yi, Y. (2012). Specification, evaluation, and interpretation of structural equation models. </w:t>
      </w:r>
      <w:r w:rsidRPr="0057408D">
        <w:rPr>
          <w:rFonts w:ascii="Times New Roman" w:hAnsi="Times New Roman" w:cs="Times New Roman"/>
          <w:i/>
          <w:iCs/>
          <w:noProof/>
          <w:szCs w:val="24"/>
        </w:rPr>
        <w:t>Journal of the Academy of Marketing Science</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40</w:t>
      </w:r>
      <w:r w:rsidRPr="0057408D">
        <w:rPr>
          <w:rFonts w:ascii="Times New Roman" w:hAnsi="Times New Roman" w:cs="Times New Roman"/>
          <w:noProof/>
          <w:szCs w:val="24"/>
        </w:rPr>
        <w:t>(1), 8–34. https://doi.org/10.1007/s11747-011-0278-x</w:t>
      </w:r>
    </w:p>
    <w:p w14:paraId="0E9ABE3A"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Bank of Albania. (2018). </w:t>
      </w:r>
      <w:r w:rsidRPr="0057408D">
        <w:rPr>
          <w:rFonts w:ascii="Times New Roman" w:hAnsi="Times New Roman" w:cs="Times New Roman"/>
          <w:i/>
          <w:iCs/>
          <w:noProof/>
          <w:szCs w:val="24"/>
        </w:rPr>
        <w:t>The Retail Payment Costs and Savings in Albania</w:t>
      </w:r>
      <w:r w:rsidRPr="0057408D">
        <w:rPr>
          <w:rFonts w:ascii="Times New Roman" w:hAnsi="Times New Roman" w:cs="Times New Roman"/>
          <w:noProof/>
          <w:szCs w:val="24"/>
        </w:rPr>
        <w:t>. Tiranë.</w:t>
      </w:r>
    </w:p>
    <w:p w14:paraId="61806227"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Bank of Albania. (2019). </w:t>
      </w:r>
      <w:r w:rsidRPr="0057408D">
        <w:rPr>
          <w:rFonts w:ascii="Times New Roman" w:hAnsi="Times New Roman" w:cs="Times New Roman"/>
          <w:i/>
          <w:iCs/>
          <w:noProof/>
          <w:szCs w:val="24"/>
        </w:rPr>
        <w:t>Homebanking transactions 2005-2019</w:t>
      </w:r>
      <w:r w:rsidRPr="0057408D">
        <w:rPr>
          <w:rFonts w:ascii="Times New Roman" w:hAnsi="Times New Roman" w:cs="Times New Roman"/>
          <w:noProof/>
          <w:szCs w:val="24"/>
        </w:rPr>
        <w:t>. Tirana.</w:t>
      </w:r>
    </w:p>
    <w:p w14:paraId="15425D05"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Baptista, G., &amp; Oliveira, T. (2017). Why so serious? Gamification impact in the acceptance of mobile banking services. </w:t>
      </w:r>
      <w:r w:rsidRPr="0057408D">
        <w:rPr>
          <w:rFonts w:ascii="Times New Roman" w:hAnsi="Times New Roman" w:cs="Times New Roman"/>
          <w:i/>
          <w:iCs/>
          <w:noProof/>
          <w:szCs w:val="24"/>
        </w:rPr>
        <w:t>Internet Research</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27</w:t>
      </w:r>
      <w:r w:rsidRPr="0057408D">
        <w:rPr>
          <w:rFonts w:ascii="Times New Roman" w:hAnsi="Times New Roman" w:cs="Times New Roman"/>
          <w:noProof/>
          <w:szCs w:val="24"/>
        </w:rPr>
        <w:t>(1), 118–139. https://doi.org/10.1108/IntR-10-2015-0295</w:t>
      </w:r>
    </w:p>
    <w:p w14:paraId="2DF73D0B"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Barclay, D. W., Higgins, C. A., &amp; Thompson, R. (1995). The partial least squares (PLS) approach to causal modeling: Personal computer adoption and use as an illustration. </w:t>
      </w:r>
      <w:r w:rsidRPr="0057408D">
        <w:rPr>
          <w:rFonts w:ascii="Times New Roman" w:hAnsi="Times New Roman" w:cs="Times New Roman"/>
          <w:i/>
          <w:iCs/>
          <w:noProof/>
          <w:szCs w:val="24"/>
        </w:rPr>
        <w:t>Technology Studies: Special Issue on Research Methodology</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2</w:t>
      </w:r>
      <w:r w:rsidRPr="0057408D">
        <w:rPr>
          <w:rFonts w:ascii="Times New Roman" w:hAnsi="Times New Roman" w:cs="Times New Roman"/>
          <w:noProof/>
          <w:szCs w:val="24"/>
        </w:rPr>
        <w:t>(2), 284–324.</w:t>
      </w:r>
    </w:p>
    <w:p w14:paraId="00ED99A1"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Barnes, S. J., &amp; Corbitt, B. (2003). Mobile banking: concept and potential. </w:t>
      </w:r>
      <w:r w:rsidRPr="0057408D">
        <w:rPr>
          <w:rFonts w:ascii="Times New Roman" w:hAnsi="Times New Roman" w:cs="Times New Roman"/>
          <w:i/>
          <w:iCs/>
          <w:noProof/>
          <w:szCs w:val="24"/>
        </w:rPr>
        <w:t>International Journal of Mobile Communications</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1</w:t>
      </w:r>
      <w:r w:rsidRPr="0057408D">
        <w:rPr>
          <w:rFonts w:ascii="Times New Roman" w:hAnsi="Times New Roman" w:cs="Times New Roman"/>
          <w:noProof/>
          <w:szCs w:val="24"/>
        </w:rPr>
        <w:t>(3), 273–288. https://doi.org/10.1504/IJMC.2003.003494</w:t>
      </w:r>
    </w:p>
    <w:p w14:paraId="362B65AB"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Bhatiasevi, V. (2016). An extended UTAUT model to explain the adoption of mobile banking. </w:t>
      </w:r>
      <w:r w:rsidRPr="0057408D">
        <w:rPr>
          <w:rFonts w:ascii="Times New Roman" w:hAnsi="Times New Roman" w:cs="Times New Roman"/>
          <w:i/>
          <w:iCs/>
          <w:noProof/>
          <w:szCs w:val="24"/>
        </w:rPr>
        <w:t>Information Development</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32</w:t>
      </w:r>
      <w:r w:rsidRPr="0057408D">
        <w:rPr>
          <w:rFonts w:ascii="Times New Roman" w:hAnsi="Times New Roman" w:cs="Times New Roman"/>
          <w:noProof/>
          <w:szCs w:val="24"/>
        </w:rPr>
        <w:t>(4), 799–814. https://doi.org/10.1177/0266666915570764</w:t>
      </w:r>
    </w:p>
    <w:p w14:paraId="39E82318"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Brown, S. A., &amp; Venkatesh, V. (2005). Model of adoption of technology in households: A baseline model test and extension incorporating household life cycle. </w:t>
      </w:r>
      <w:r w:rsidRPr="0057408D">
        <w:rPr>
          <w:rFonts w:ascii="Times New Roman" w:hAnsi="Times New Roman" w:cs="Times New Roman"/>
          <w:i/>
          <w:iCs/>
          <w:noProof/>
          <w:szCs w:val="24"/>
        </w:rPr>
        <w:t>MIS Quarterly: Management Information Systems</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29</w:t>
      </w:r>
      <w:r w:rsidRPr="0057408D">
        <w:rPr>
          <w:rFonts w:ascii="Times New Roman" w:hAnsi="Times New Roman" w:cs="Times New Roman"/>
          <w:noProof/>
          <w:szCs w:val="24"/>
        </w:rPr>
        <w:t>(3), 399–426. https://doi.org/10.2307/25148690</w:t>
      </w:r>
    </w:p>
    <w:p w14:paraId="19972A16"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Carlsson, C., Carlsson, J., Hyvönen, K., Puhakainen, J., &amp; Walden, P. (2006). Adoption of mobile devices/services - Searching for answers with the UTAUT. In </w:t>
      </w:r>
      <w:r w:rsidRPr="0057408D">
        <w:rPr>
          <w:rFonts w:ascii="Times New Roman" w:hAnsi="Times New Roman" w:cs="Times New Roman"/>
          <w:i/>
          <w:iCs/>
          <w:noProof/>
          <w:szCs w:val="24"/>
        </w:rPr>
        <w:t>Proceedings of the Annual Hawaii International Conference on System Sciences</w:t>
      </w:r>
      <w:r w:rsidRPr="0057408D">
        <w:rPr>
          <w:rFonts w:ascii="Times New Roman" w:hAnsi="Times New Roman" w:cs="Times New Roman"/>
          <w:noProof/>
          <w:szCs w:val="24"/>
        </w:rPr>
        <w:t xml:space="preserve"> (Vol. 6, pp. 01–10). https://doi.org/10.1109/HICSS.2006.38</w:t>
      </w:r>
    </w:p>
    <w:p w14:paraId="573643B7"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Chaouali, W., Souiden, N., &amp; Ladhari, R. (2017). Explaining adoption of mobile banking with the theory of trying, general self-confidence, and cynicism. </w:t>
      </w:r>
      <w:r w:rsidRPr="0057408D">
        <w:rPr>
          <w:rFonts w:ascii="Times New Roman" w:hAnsi="Times New Roman" w:cs="Times New Roman"/>
          <w:i/>
          <w:iCs/>
          <w:noProof/>
          <w:szCs w:val="24"/>
        </w:rPr>
        <w:t>Journal of Retailing and Consumer Services</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35</w:t>
      </w:r>
      <w:r w:rsidRPr="0057408D">
        <w:rPr>
          <w:rFonts w:ascii="Times New Roman" w:hAnsi="Times New Roman" w:cs="Times New Roman"/>
          <w:noProof/>
          <w:szCs w:val="24"/>
        </w:rPr>
        <w:t>, 57–67. https://doi.org/10.1016/J.JRETCONSER.2016.11.009</w:t>
      </w:r>
    </w:p>
    <w:p w14:paraId="57D0A662"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Chung, C. H., Shen, C., &amp; Qiu, Y. Z. (2019). Students’ acceptance of gamification in higher education. </w:t>
      </w:r>
      <w:r w:rsidRPr="0057408D">
        <w:rPr>
          <w:rFonts w:ascii="Times New Roman" w:hAnsi="Times New Roman" w:cs="Times New Roman"/>
          <w:i/>
          <w:iCs/>
          <w:noProof/>
          <w:szCs w:val="24"/>
        </w:rPr>
        <w:t>International Journal of Game-Based Learning</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9</w:t>
      </w:r>
      <w:r w:rsidRPr="0057408D">
        <w:rPr>
          <w:rFonts w:ascii="Times New Roman" w:hAnsi="Times New Roman" w:cs="Times New Roman"/>
          <w:noProof/>
          <w:szCs w:val="24"/>
        </w:rPr>
        <w:t>(2), 1–19. https://doi.org/10.4018/IJGBL.2019040101</w:t>
      </w:r>
    </w:p>
    <w:p w14:paraId="7A8BF4CF"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Chung, K. H., &amp; Shin, J. I. (2010). The antecedents and consequents of relationship quality in internet shopping. </w:t>
      </w:r>
      <w:r w:rsidRPr="0057408D">
        <w:rPr>
          <w:rFonts w:ascii="Times New Roman" w:hAnsi="Times New Roman" w:cs="Times New Roman"/>
          <w:i/>
          <w:iCs/>
          <w:noProof/>
          <w:szCs w:val="24"/>
        </w:rPr>
        <w:t>Asia Pacific Journal of Marketing and Logistics</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22</w:t>
      </w:r>
      <w:r w:rsidRPr="0057408D">
        <w:rPr>
          <w:rFonts w:ascii="Times New Roman" w:hAnsi="Times New Roman" w:cs="Times New Roman"/>
          <w:noProof/>
          <w:szCs w:val="24"/>
        </w:rPr>
        <w:t>(4), 473–491. https://doi.org/10.1108/13555851011090510</w:t>
      </w:r>
    </w:p>
    <w:p w14:paraId="663BA906"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Compeau, D. R., &amp; Higgins, C. A. (1995). Computer Self-Efficacy: Development of a Measure and Initial Test. </w:t>
      </w:r>
      <w:r w:rsidRPr="0057408D">
        <w:rPr>
          <w:rFonts w:ascii="Times New Roman" w:hAnsi="Times New Roman" w:cs="Times New Roman"/>
          <w:i/>
          <w:iCs/>
          <w:noProof/>
          <w:szCs w:val="24"/>
        </w:rPr>
        <w:t>MIS Quarterly</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19</w:t>
      </w:r>
      <w:r w:rsidRPr="0057408D">
        <w:rPr>
          <w:rFonts w:ascii="Times New Roman" w:hAnsi="Times New Roman" w:cs="Times New Roman"/>
          <w:noProof/>
          <w:szCs w:val="24"/>
        </w:rPr>
        <w:t>(2), 189. https://doi.org/10.2307/249688</w:t>
      </w:r>
    </w:p>
    <w:p w14:paraId="19D046E4"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Davis, F. D. (1989). Perceived Usefulness, Perceived Ease of Use, and User Acceptance of Information Technology. </w:t>
      </w:r>
      <w:r w:rsidRPr="0057408D">
        <w:rPr>
          <w:rFonts w:ascii="Times New Roman" w:hAnsi="Times New Roman" w:cs="Times New Roman"/>
          <w:i/>
          <w:iCs/>
          <w:noProof/>
          <w:szCs w:val="24"/>
        </w:rPr>
        <w:t>MIS Quarterly</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13</w:t>
      </w:r>
      <w:r w:rsidRPr="0057408D">
        <w:rPr>
          <w:rFonts w:ascii="Times New Roman" w:hAnsi="Times New Roman" w:cs="Times New Roman"/>
          <w:noProof/>
          <w:szCs w:val="24"/>
        </w:rPr>
        <w:t>(3), 319. https://doi.org/10.2307/249008</w:t>
      </w:r>
    </w:p>
    <w:p w14:paraId="663C4808"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Davis, F. D., Bagozzi, R. P., &amp; Warshaw, P. R. (1992). Extrinsic and Intrinsic Motivation to Use Computers in the Workplace. </w:t>
      </w:r>
      <w:r w:rsidRPr="0057408D">
        <w:rPr>
          <w:rFonts w:ascii="Times New Roman" w:hAnsi="Times New Roman" w:cs="Times New Roman"/>
          <w:i/>
          <w:iCs/>
          <w:noProof/>
          <w:szCs w:val="24"/>
        </w:rPr>
        <w:t>Journal of Applied Social Psychology</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22</w:t>
      </w:r>
      <w:r w:rsidRPr="0057408D">
        <w:rPr>
          <w:rFonts w:ascii="Times New Roman" w:hAnsi="Times New Roman" w:cs="Times New Roman"/>
          <w:noProof/>
          <w:szCs w:val="24"/>
        </w:rPr>
        <w:t>(14), 1111–1132. https://doi.org/10.1111/j.1559-1816.1992.tb00945.x</w:t>
      </w:r>
    </w:p>
    <w:p w14:paraId="31A44561"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Desjardins, J. (2019). Meet Generation Z: The Newest Member to the Workforce. Retrieved July 27, 2019, from https://www.visualcapitalist.com/meet-generation-z-the-newest-member-to-the-workforce/</w:t>
      </w:r>
    </w:p>
    <w:p w14:paraId="0606785A"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Deterding, S., Dixon, D., Khaled, R., &amp; Nacke, L. (2011). From Game Design Elements to Gamefulness: Defining “Gamification.” In </w:t>
      </w:r>
      <w:r w:rsidRPr="0057408D">
        <w:rPr>
          <w:rFonts w:ascii="Times New Roman" w:hAnsi="Times New Roman" w:cs="Times New Roman"/>
          <w:i/>
          <w:iCs/>
          <w:noProof/>
          <w:szCs w:val="24"/>
        </w:rPr>
        <w:t>MindTrek ’11: Proceedings of the 15th International Academic MindTrek Conference: Envisioning Future Media Environments</w:t>
      </w:r>
      <w:r w:rsidRPr="0057408D">
        <w:rPr>
          <w:rFonts w:ascii="Times New Roman" w:hAnsi="Times New Roman" w:cs="Times New Roman"/>
          <w:noProof/>
          <w:szCs w:val="24"/>
        </w:rPr>
        <w:t xml:space="preserve"> (Vol. 185, pp. 09–15).</w:t>
      </w:r>
    </w:p>
    <w:p w14:paraId="4143CD91"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Deterding, S., Sicart, M., Nacke, L., O’Hara, K., &amp; Dixon, D. (2011). Gamification. using game-design elements in non-gaming contexts. In </w:t>
      </w:r>
      <w:r w:rsidRPr="0057408D">
        <w:rPr>
          <w:rFonts w:ascii="Times New Roman" w:hAnsi="Times New Roman" w:cs="Times New Roman"/>
          <w:i/>
          <w:iCs/>
          <w:noProof/>
          <w:szCs w:val="24"/>
        </w:rPr>
        <w:t>Proceedings of the 2011 annual conference extended abstracts on Human factors in computing systems - CHI EA ’11</w:t>
      </w:r>
      <w:r w:rsidRPr="0057408D">
        <w:rPr>
          <w:rFonts w:ascii="Times New Roman" w:hAnsi="Times New Roman" w:cs="Times New Roman"/>
          <w:noProof/>
          <w:szCs w:val="24"/>
        </w:rPr>
        <w:t>. https://doi.org/10.1145/1979742.1979575</w:t>
      </w:r>
    </w:p>
    <w:p w14:paraId="61320858"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Engotoit, B., Kituyi, G. M., &amp; Moya, M. B. (2016). Influence of performance expectancy on commercial farmers’ intention to use mobile-based communication technologies for agricultural market information dissemination in Uganda. </w:t>
      </w:r>
      <w:r w:rsidRPr="0057408D">
        <w:rPr>
          <w:rFonts w:ascii="Times New Roman" w:hAnsi="Times New Roman" w:cs="Times New Roman"/>
          <w:i/>
          <w:iCs/>
          <w:noProof/>
          <w:szCs w:val="24"/>
        </w:rPr>
        <w:t>Journal of Systems and Information Technology</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18</w:t>
      </w:r>
      <w:r w:rsidRPr="0057408D">
        <w:rPr>
          <w:rFonts w:ascii="Times New Roman" w:hAnsi="Times New Roman" w:cs="Times New Roman"/>
          <w:noProof/>
          <w:szCs w:val="24"/>
        </w:rPr>
        <w:t>(4), 346–363. https://doi.org/10.1108/JSIT-06-2016-0037</w:t>
      </w:r>
    </w:p>
    <w:p w14:paraId="5776FB8C"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Finn, A., Wang, L., &amp; Frank, T. (2009). Attribute Perceptions, Customer Satisfaction and Intention to Recommend E-Services. </w:t>
      </w:r>
      <w:r w:rsidRPr="0057408D">
        <w:rPr>
          <w:rFonts w:ascii="Times New Roman" w:hAnsi="Times New Roman" w:cs="Times New Roman"/>
          <w:i/>
          <w:iCs/>
          <w:noProof/>
          <w:szCs w:val="24"/>
        </w:rPr>
        <w:t>Journal of Interactive Marketing</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23</w:t>
      </w:r>
      <w:r w:rsidRPr="0057408D">
        <w:rPr>
          <w:rFonts w:ascii="Times New Roman" w:hAnsi="Times New Roman" w:cs="Times New Roman"/>
          <w:noProof/>
          <w:szCs w:val="24"/>
        </w:rPr>
        <w:t>(3), 209–220. https://doi.org/10.1016/j.intmar.2009.04.006</w:t>
      </w:r>
    </w:p>
    <w:p w14:paraId="0A9D1310"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Fishbein, M., &amp; Ajzen, I. (1975). </w:t>
      </w:r>
      <w:r w:rsidRPr="0057408D">
        <w:rPr>
          <w:rFonts w:ascii="Times New Roman" w:hAnsi="Times New Roman" w:cs="Times New Roman"/>
          <w:i/>
          <w:iCs/>
          <w:noProof/>
          <w:szCs w:val="24"/>
        </w:rPr>
        <w:t>Belief, attitude, intention, and behavior: An introduction to theory and research</w:t>
      </w:r>
      <w:r w:rsidRPr="0057408D">
        <w:rPr>
          <w:rFonts w:ascii="Times New Roman" w:hAnsi="Times New Roman" w:cs="Times New Roman"/>
          <w:noProof/>
          <w:szCs w:val="24"/>
        </w:rPr>
        <w:t>. Addison-Wesley.</w:t>
      </w:r>
    </w:p>
    <w:p w14:paraId="46F10130"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Fromm, J., &amp; Read, A. (2018). </w:t>
      </w:r>
      <w:r w:rsidRPr="0057408D">
        <w:rPr>
          <w:rFonts w:ascii="Times New Roman" w:hAnsi="Times New Roman" w:cs="Times New Roman"/>
          <w:i/>
          <w:iCs/>
          <w:noProof/>
          <w:szCs w:val="24"/>
        </w:rPr>
        <w:t>Marketing to Gen Z</w:t>
      </w:r>
      <w:r w:rsidRPr="0057408D">
        <w:rPr>
          <w:rFonts w:ascii="Times New Roman" w:hAnsi="Times New Roman" w:cs="Times New Roman"/>
          <w:noProof/>
          <w:szCs w:val="24"/>
        </w:rPr>
        <w:t>. New York: AMACOM.</w:t>
      </w:r>
    </w:p>
    <w:p w14:paraId="26C76701"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Galetta, G. (2013). The Gamification: Applications and Developments for Creativity and Education. In </w:t>
      </w:r>
      <w:r w:rsidRPr="0057408D">
        <w:rPr>
          <w:rFonts w:ascii="Times New Roman" w:hAnsi="Times New Roman" w:cs="Times New Roman"/>
          <w:i/>
          <w:iCs/>
          <w:noProof/>
          <w:szCs w:val="24"/>
        </w:rPr>
        <w:t>Creativity and Innovation in Education</w:t>
      </w:r>
      <w:r w:rsidRPr="0057408D">
        <w:rPr>
          <w:rFonts w:ascii="Times New Roman" w:hAnsi="Times New Roman" w:cs="Times New Roman"/>
          <w:noProof/>
          <w:szCs w:val="24"/>
        </w:rPr>
        <w:t xml:space="preserve"> (Vol. 2, pp. 1–10). https://doi.org/10.13140/RG</w:t>
      </w:r>
    </w:p>
    <w:p w14:paraId="4AC75FAA"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Gharaibeh, M. K., &amp; Mohd Arshad, M. R. (2018). Determinants of intention to use mobile banking in the North of Jordan: Extending UTAUT2 with mass media and trust. </w:t>
      </w:r>
      <w:r w:rsidRPr="0057408D">
        <w:rPr>
          <w:rFonts w:ascii="Times New Roman" w:hAnsi="Times New Roman" w:cs="Times New Roman"/>
          <w:i/>
          <w:iCs/>
          <w:noProof/>
          <w:szCs w:val="24"/>
        </w:rPr>
        <w:t>Journal of Engineering and Applied Sciences</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13</w:t>
      </w:r>
      <w:r w:rsidRPr="0057408D">
        <w:rPr>
          <w:rFonts w:ascii="Times New Roman" w:hAnsi="Times New Roman" w:cs="Times New Roman"/>
          <w:noProof/>
          <w:szCs w:val="24"/>
        </w:rPr>
        <w:t>(8), 2023–2033. https://doi.org/10.3923/jeasci.2018.2023.2033</w:t>
      </w:r>
    </w:p>
    <w:p w14:paraId="5DADCF7A"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Goularte, A. da C., &amp; Zilber, S. N. (2018). The moderating role of cultural factors in the adoption of mobile banking in Brazil. </w:t>
      </w:r>
      <w:r w:rsidRPr="0057408D">
        <w:rPr>
          <w:rFonts w:ascii="Times New Roman" w:hAnsi="Times New Roman" w:cs="Times New Roman"/>
          <w:i/>
          <w:iCs/>
          <w:noProof/>
          <w:szCs w:val="24"/>
        </w:rPr>
        <w:t>International Journal of Innovation Science</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11</w:t>
      </w:r>
      <w:r w:rsidRPr="0057408D">
        <w:rPr>
          <w:rFonts w:ascii="Times New Roman" w:hAnsi="Times New Roman" w:cs="Times New Roman"/>
          <w:noProof/>
          <w:szCs w:val="24"/>
        </w:rPr>
        <w:t>(1), 63–81. https://doi.org/10.1108/IJIS-11-2017-0119</w:t>
      </w:r>
    </w:p>
    <w:p w14:paraId="6FFD698A"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Hair, J. F., Black, W. C., Babin, B. J., &amp; Anderson, R. E. (2010). </w:t>
      </w:r>
      <w:r w:rsidRPr="0057408D">
        <w:rPr>
          <w:rFonts w:ascii="Times New Roman" w:hAnsi="Times New Roman" w:cs="Times New Roman"/>
          <w:i/>
          <w:iCs/>
          <w:noProof/>
          <w:szCs w:val="24"/>
        </w:rPr>
        <w:t>Multivariate Data Analysis</w:t>
      </w:r>
      <w:r w:rsidRPr="0057408D">
        <w:rPr>
          <w:rFonts w:ascii="Times New Roman" w:hAnsi="Times New Roman" w:cs="Times New Roman"/>
          <w:noProof/>
          <w:szCs w:val="24"/>
        </w:rPr>
        <w:t xml:space="preserve"> (7th Editio). Harlow: Pearson Education Limited.</w:t>
      </w:r>
    </w:p>
    <w:p w14:paraId="67C6B463"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Hair, J. F., Hult, G. T. M., Ringle, C. M., &amp; Sarstedt, M. (2017). </w:t>
      </w:r>
      <w:r w:rsidRPr="0057408D">
        <w:rPr>
          <w:rFonts w:ascii="Times New Roman" w:hAnsi="Times New Roman" w:cs="Times New Roman"/>
          <w:i/>
          <w:iCs/>
          <w:noProof/>
          <w:szCs w:val="24"/>
        </w:rPr>
        <w:t>A Primer on Partial Least Squares Structural Equation Modeling</w:t>
      </w:r>
      <w:r w:rsidRPr="0057408D">
        <w:rPr>
          <w:rFonts w:ascii="Times New Roman" w:hAnsi="Times New Roman" w:cs="Times New Roman"/>
          <w:noProof/>
          <w:szCs w:val="24"/>
        </w:rPr>
        <w:t xml:space="preserve"> (2nd ed.). Los Angelos: Sage.</w:t>
      </w:r>
    </w:p>
    <w:p w14:paraId="4D03317A"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Hair, J. F., Risher, J. J., Sarstedt, M., &amp; Ringle, C. M. (2019). When to use and how to report the results of PLS-SEM. </w:t>
      </w:r>
      <w:r w:rsidRPr="0057408D">
        <w:rPr>
          <w:rFonts w:ascii="Times New Roman" w:hAnsi="Times New Roman" w:cs="Times New Roman"/>
          <w:i/>
          <w:iCs/>
          <w:noProof/>
          <w:szCs w:val="24"/>
        </w:rPr>
        <w:t>European Business Review</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31</w:t>
      </w:r>
      <w:r w:rsidRPr="0057408D">
        <w:rPr>
          <w:rFonts w:ascii="Times New Roman" w:hAnsi="Times New Roman" w:cs="Times New Roman"/>
          <w:noProof/>
          <w:szCs w:val="24"/>
        </w:rPr>
        <w:t>(1), 2–24. https://doi.org/10.1108/EBR-11-2018-0203</w:t>
      </w:r>
    </w:p>
    <w:p w14:paraId="0E8DE44C"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Hamari, J., &amp; Koivisto, J. (2015). “Working out for likes”: An empirical study on social influence in exercise gamification. </w:t>
      </w:r>
      <w:r w:rsidRPr="0057408D">
        <w:rPr>
          <w:rFonts w:ascii="Times New Roman" w:hAnsi="Times New Roman" w:cs="Times New Roman"/>
          <w:i/>
          <w:iCs/>
          <w:noProof/>
          <w:szCs w:val="24"/>
        </w:rPr>
        <w:t>Computers in Human Behavior</w:t>
      </w:r>
      <w:r w:rsidRPr="0057408D">
        <w:rPr>
          <w:rFonts w:ascii="Times New Roman" w:hAnsi="Times New Roman" w:cs="Times New Roman"/>
          <w:noProof/>
          <w:szCs w:val="24"/>
        </w:rPr>
        <w:t>. https://doi.org/10.1016/j.chb.2015.04.018</w:t>
      </w:r>
    </w:p>
    <w:p w14:paraId="747BFC51"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Hanus, M. D., &amp; Fox, J. (2015). Assessing the effects of gamification in the classroom: A longitudinal study on intrinsic motivation, social comparison, satisfaction, effort, and academic performance. </w:t>
      </w:r>
      <w:r w:rsidRPr="0057408D">
        <w:rPr>
          <w:rFonts w:ascii="Times New Roman" w:hAnsi="Times New Roman" w:cs="Times New Roman"/>
          <w:i/>
          <w:iCs/>
          <w:noProof/>
          <w:szCs w:val="24"/>
        </w:rPr>
        <w:t>Computers and Education</w:t>
      </w:r>
      <w:r w:rsidRPr="0057408D">
        <w:rPr>
          <w:rFonts w:ascii="Times New Roman" w:hAnsi="Times New Roman" w:cs="Times New Roman"/>
          <w:noProof/>
          <w:szCs w:val="24"/>
        </w:rPr>
        <w:t>. https://doi.org/10.1016/j.compedu.2014.08.019</w:t>
      </w:r>
    </w:p>
    <w:p w14:paraId="538B9EEB"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Harris, M., Cox, K. C., Musgrove, C. F., &amp; Ernstberger, K. W. (2016). Consumer preferences for banking technologies by age groups. </w:t>
      </w:r>
      <w:r w:rsidRPr="0057408D">
        <w:rPr>
          <w:rFonts w:ascii="Times New Roman" w:hAnsi="Times New Roman" w:cs="Times New Roman"/>
          <w:i/>
          <w:iCs/>
          <w:noProof/>
          <w:szCs w:val="24"/>
        </w:rPr>
        <w:t>International Journal of Bank Marketing</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34</w:t>
      </w:r>
      <w:r w:rsidRPr="0057408D">
        <w:rPr>
          <w:rFonts w:ascii="Times New Roman" w:hAnsi="Times New Roman" w:cs="Times New Roman"/>
          <w:noProof/>
          <w:szCs w:val="24"/>
        </w:rPr>
        <w:t>(4), 587–602. https://doi.org/10.1108/IJBM-04-2015-0056</w:t>
      </w:r>
    </w:p>
    <w:p w14:paraId="2E5C8200"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Henseler, J., Ringle, C. M., &amp; Sarstedt, M. (2015). A new criterion for assessing discriminant validity in variance-based structural equation modeling. </w:t>
      </w:r>
      <w:r w:rsidRPr="0057408D">
        <w:rPr>
          <w:rFonts w:ascii="Times New Roman" w:hAnsi="Times New Roman" w:cs="Times New Roman"/>
          <w:i/>
          <w:iCs/>
          <w:noProof/>
          <w:szCs w:val="24"/>
        </w:rPr>
        <w:t>Journal of the Academy of Marketing Science</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43</w:t>
      </w:r>
      <w:r w:rsidRPr="0057408D">
        <w:rPr>
          <w:rFonts w:ascii="Times New Roman" w:hAnsi="Times New Roman" w:cs="Times New Roman"/>
          <w:noProof/>
          <w:szCs w:val="24"/>
        </w:rPr>
        <w:t>(1), 115–135. https://doi.org/10.1007/s11747-014-0403-8</w:t>
      </w:r>
    </w:p>
    <w:p w14:paraId="2DF411AB"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Huili, Y., &amp; Chunfang, Z. (2011). The analysis of influencing factors and promotion strategy for the use of mobile banking. </w:t>
      </w:r>
      <w:r w:rsidRPr="0057408D">
        <w:rPr>
          <w:rFonts w:ascii="Times New Roman" w:hAnsi="Times New Roman" w:cs="Times New Roman"/>
          <w:i/>
          <w:iCs/>
          <w:noProof/>
          <w:szCs w:val="24"/>
        </w:rPr>
        <w:t>Canadian Journal of Social Science</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7</w:t>
      </w:r>
      <w:r w:rsidRPr="0057408D">
        <w:rPr>
          <w:rFonts w:ascii="Times New Roman" w:hAnsi="Times New Roman" w:cs="Times New Roman"/>
          <w:noProof/>
          <w:szCs w:val="24"/>
        </w:rPr>
        <w:t>(2), 60–63.</w:t>
      </w:r>
    </w:p>
    <w:p w14:paraId="07569488"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Inglehart, R. (2015). </w:t>
      </w:r>
      <w:r w:rsidRPr="0057408D">
        <w:rPr>
          <w:rFonts w:ascii="Times New Roman" w:hAnsi="Times New Roman" w:cs="Times New Roman"/>
          <w:i/>
          <w:iCs/>
          <w:noProof/>
          <w:szCs w:val="24"/>
        </w:rPr>
        <w:t>The silent revolution: changing values and political styles among Western publics</w:t>
      </w:r>
      <w:r w:rsidRPr="0057408D">
        <w:rPr>
          <w:rFonts w:ascii="Times New Roman" w:hAnsi="Times New Roman" w:cs="Times New Roman"/>
          <w:noProof/>
          <w:szCs w:val="24"/>
        </w:rPr>
        <w:t>. Princeton: Princeton University Press.</w:t>
      </w:r>
    </w:p>
    <w:p w14:paraId="1F8CDCDB"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Jamshidi, D., Keshavarz, Y., Kazemi, F., &amp; Mohammadian, M. (2018). Mobile banking behavior and flow experience An integration of utilitarian features, hedonic features and trust. </w:t>
      </w:r>
      <w:r w:rsidRPr="0057408D">
        <w:rPr>
          <w:rFonts w:ascii="Times New Roman" w:hAnsi="Times New Roman" w:cs="Times New Roman"/>
          <w:i/>
          <w:iCs/>
          <w:noProof/>
          <w:szCs w:val="24"/>
        </w:rPr>
        <w:t>International Journal of Social Economics</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45</w:t>
      </w:r>
      <w:r w:rsidRPr="0057408D">
        <w:rPr>
          <w:rFonts w:ascii="Times New Roman" w:hAnsi="Times New Roman" w:cs="Times New Roman"/>
          <w:noProof/>
          <w:szCs w:val="24"/>
        </w:rPr>
        <w:t>(1), 57–81. https://doi.org/10.1108/IJSE-10-2016-0283</w:t>
      </w:r>
    </w:p>
    <w:p w14:paraId="7A0180EA"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Keiningham, T. L., Cooil, B., Aksoy, L., Andreassen, T. W., &amp; Weiner, J. (2007). The value of different customer satisfaction and loyalty metrics in predicting customer retention, recommendation, and share-of-wallet. </w:t>
      </w:r>
      <w:r w:rsidRPr="0057408D">
        <w:rPr>
          <w:rFonts w:ascii="Times New Roman" w:hAnsi="Times New Roman" w:cs="Times New Roman"/>
          <w:i/>
          <w:iCs/>
          <w:noProof/>
          <w:szCs w:val="24"/>
        </w:rPr>
        <w:t>Managing Service Quality: An International Journal</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17</w:t>
      </w:r>
      <w:r w:rsidRPr="0057408D">
        <w:rPr>
          <w:rFonts w:ascii="Times New Roman" w:hAnsi="Times New Roman" w:cs="Times New Roman"/>
          <w:noProof/>
          <w:szCs w:val="24"/>
        </w:rPr>
        <w:t>(4), 361–384. https://doi.org/10.1108/09604520710760526</w:t>
      </w:r>
    </w:p>
    <w:p w14:paraId="26BB9C87"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Kenny, D. (2018). Moderation. Retrieved from http://davidakenny.net/cm/moderation.htm</w:t>
      </w:r>
    </w:p>
    <w:p w14:paraId="0670A2EA"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Kim, J. T., &amp; Lee, W.-H. (2015). Dynamical model for gamification of learning (DMGL). </w:t>
      </w:r>
      <w:r w:rsidRPr="0057408D">
        <w:rPr>
          <w:rFonts w:ascii="Times New Roman" w:hAnsi="Times New Roman" w:cs="Times New Roman"/>
          <w:i/>
          <w:iCs/>
          <w:noProof/>
          <w:szCs w:val="24"/>
        </w:rPr>
        <w:t>Multimedia Tools and Applications</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74</w:t>
      </w:r>
      <w:r w:rsidRPr="0057408D">
        <w:rPr>
          <w:rFonts w:ascii="Times New Roman" w:hAnsi="Times New Roman" w:cs="Times New Roman"/>
          <w:noProof/>
          <w:szCs w:val="24"/>
        </w:rPr>
        <w:t>(19), 8483–8493. https://doi.org/10.1007/s11042-013-1612-8</w:t>
      </w:r>
    </w:p>
    <w:p w14:paraId="2A26A381"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King, R. A., Racherla, P., &amp; Bush, V. D. (2014). What we know and don’t know about online word-of-mouth: A review and synthesis of the literature. </w:t>
      </w:r>
      <w:r w:rsidRPr="0057408D">
        <w:rPr>
          <w:rFonts w:ascii="Times New Roman" w:hAnsi="Times New Roman" w:cs="Times New Roman"/>
          <w:i/>
          <w:iCs/>
          <w:noProof/>
          <w:szCs w:val="24"/>
        </w:rPr>
        <w:t>Journal of Interactive Marketing</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28</w:t>
      </w:r>
      <w:r w:rsidRPr="0057408D">
        <w:rPr>
          <w:rFonts w:ascii="Times New Roman" w:hAnsi="Times New Roman" w:cs="Times New Roman"/>
          <w:noProof/>
          <w:szCs w:val="24"/>
        </w:rPr>
        <w:t>(3), 167–183. https://doi.org/10.1016/j.intmar.2014.02.001</w:t>
      </w:r>
    </w:p>
    <w:p w14:paraId="275B640E"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Kumar, V. V. R., Lall, A., &amp; Mane, T. (2017). Extending the TAM Model: Intention of Management Students to Use Mobile Banking: Evidence from India. </w:t>
      </w:r>
      <w:r w:rsidRPr="0057408D">
        <w:rPr>
          <w:rFonts w:ascii="Times New Roman" w:hAnsi="Times New Roman" w:cs="Times New Roman"/>
          <w:i/>
          <w:iCs/>
          <w:noProof/>
          <w:szCs w:val="24"/>
        </w:rPr>
        <w:t>Global Business Review</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18</w:t>
      </w:r>
      <w:r w:rsidRPr="0057408D">
        <w:rPr>
          <w:rFonts w:ascii="Times New Roman" w:hAnsi="Times New Roman" w:cs="Times New Roman"/>
          <w:noProof/>
          <w:szCs w:val="24"/>
        </w:rPr>
        <w:t>(1), 238–249. https://doi.org/10.1177/0972150916666991</w:t>
      </w:r>
    </w:p>
    <w:p w14:paraId="781A3EE8"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Kwateng, K. O., Atiemo, K. A. O., &amp; Appiah, C. (2019). Acceptance and use of mobile banking: an application of UTAUT2. </w:t>
      </w:r>
      <w:r w:rsidRPr="0057408D">
        <w:rPr>
          <w:rFonts w:ascii="Times New Roman" w:hAnsi="Times New Roman" w:cs="Times New Roman"/>
          <w:i/>
          <w:iCs/>
          <w:noProof/>
          <w:szCs w:val="24"/>
        </w:rPr>
        <w:t>Journal of Enterprise Information Management</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32</w:t>
      </w:r>
      <w:r w:rsidRPr="0057408D">
        <w:rPr>
          <w:rFonts w:ascii="Times New Roman" w:hAnsi="Times New Roman" w:cs="Times New Roman"/>
          <w:noProof/>
          <w:szCs w:val="24"/>
        </w:rPr>
        <w:t>(1), 118–151. https://doi.org/10.1108/JEIM-03-2018-0055</w:t>
      </w:r>
    </w:p>
    <w:p w14:paraId="21EC319C"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Lancelot Miltgen, C., Popovič, A., &amp; Oliveira, T. (2013). Determinants of end-user acceptance of biometrics: Integrating the “Big 3” of technology acceptance with privacy context. </w:t>
      </w:r>
      <w:r w:rsidRPr="0057408D">
        <w:rPr>
          <w:rFonts w:ascii="Times New Roman" w:hAnsi="Times New Roman" w:cs="Times New Roman"/>
          <w:i/>
          <w:iCs/>
          <w:noProof/>
          <w:szCs w:val="24"/>
        </w:rPr>
        <w:t>Decision Support Systems</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56</w:t>
      </w:r>
      <w:r w:rsidRPr="0057408D">
        <w:rPr>
          <w:rFonts w:ascii="Times New Roman" w:hAnsi="Times New Roman" w:cs="Times New Roman"/>
          <w:noProof/>
          <w:szCs w:val="24"/>
        </w:rPr>
        <w:t>, 103–114. https://doi.org/10.1016/j.dss.2013.05.010</w:t>
      </w:r>
    </w:p>
    <w:p w14:paraId="7D37F3BA"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Langfield, S., &amp; Pagano, M. (2015). </w:t>
      </w:r>
      <w:r w:rsidRPr="0057408D">
        <w:rPr>
          <w:rFonts w:ascii="Times New Roman" w:hAnsi="Times New Roman" w:cs="Times New Roman"/>
          <w:i/>
          <w:iCs/>
          <w:noProof/>
          <w:szCs w:val="24"/>
        </w:rPr>
        <w:t>Bank bias in Europe: effects on systemic risk and growth</w:t>
      </w:r>
      <w:r w:rsidRPr="0057408D">
        <w:rPr>
          <w:rFonts w:ascii="Times New Roman" w:hAnsi="Times New Roman" w:cs="Times New Roman"/>
          <w:noProof/>
          <w:szCs w:val="24"/>
        </w:rPr>
        <w:t xml:space="preserve"> (No. 1797). </w:t>
      </w:r>
      <w:r w:rsidRPr="0057408D">
        <w:rPr>
          <w:rFonts w:ascii="Times New Roman" w:hAnsi="Times New Roman" w:cs="Times New Roman"/>
          <w:i/>
          <w:iCs/>
          <w:noProof/>
          <w:szCs w:val="24"/>
        </w:rPr>
        <w:t>ECB Working Paper Series</w:t>
      </w:r>
      <w:r w:rsidRPr="0057408D">
        <w:rPr>
          <w:rFonts w:ascii="Times New Roman" w:hAnsi="Times New Roman" w:cs="Times New Roman"/>
          <w:noProof/>
          <w:szCs w:val="24"/>
        </w:rPr>
        <w:t>. Frankfurt.</w:t>
      </w:r>
    </w:p>
    <w:p w14:paraId="668E2067"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Laukkanen, T., &amp; Pasanen, M. (2008). Mobile banking innovators and early adopters: How they differ from other online users? </w:t>
      </w:r>
      <w:r w:rsidRPr="0057408D">
        <w:rPr>
          <w:rFonts w:ascii="Times New Roman" w:hAnsi="Times New Roman" w:cs="Times New Roman"/>
          <w:i/>
          <w:iCs/>
          <w:noProof/>
          <w:szCs w:val="24"/>
        </w:rPr>
        <w:t>Journal of Financial Services Marketing</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13</w:t>
      </w:r>
      <w:r w:rsidRPr="0057408D">
        <w:rPr>
          <w:rFonts w:ascii="Times New Roman" w:hAnsi="Times New Roman" w:cs="Times New Roman"/>
          <w:noProof/>
          <w:szCs w:val="24"/>
        </w:rPr>
        <w:t>(2), 86–94. https://doi.org/10.1057/palgrave.fsm.4760077</w:t>
      </w:r>
    </w:p>
    <w:p w14:paraId="757DF6BE"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Limayem, M., Hirt, S. G., &amp; Cheung, C. M. K. (2007). How habit limits the predictive power of Intention. </w:t>
      </w:r>
      <w:r w:rsidRPr="0057408D">
        <w:rPr>
          <w:rFonts w:ascii="Times New Roman" w:hAnsi="Times New Roman" w:cs="Times New Roman"/>
          <w:i/>
          <w:iCs/>
          <w:noProof/>
          <w:szCs w:val="24"/>
        </w:rPr>
        <w:t>MIS Quarterly</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31</w:t>
      </w:r>
      <w:r w:rsidRPr="0057408D">
        <w:rPr>
          <w:rFonts w:ascii="Times New Roman" w:hAnsi="Times New Roman" w:cs="Times New Roman"/>
          <w:noProof/>
          <w:szCs w:val="24"/>
        </w:rPr>
        <w:t>(4), 705-737/. https://doi.org/10.1002/fut.10029</w:t>
      </w:r>
    </w:p>
    <w:p w14:paraId="7C6FC35E"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Lin, H.-H. (2011). Gender differences in the linkage of online patronage behavior with TV-and-online shopping values. </w:t>
      </w:r>
      <w:r w:rsidRPr="0057408D">
        <w:rPr>
          <w:rFonts w:ascii="Times New Roman" w:hAnsi="Times New Roman" w:cs="Times New Roman"/>
          <w:i/>
          <w:iCs/>
          <w:noProof/>
          <w:szCs w:val="24"/>
        </w:rPr>
        <w:t>Service Business</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5</w:t>
      </w:r>
      <w:r w:rsidRPr="0057408D">
        <w:rPr>
          <w:rFonts w:ascii="Times New Roman" w:hAnsi="Times New Roman" w:cs="Times New Roman"/>
          <w:noProof/>
          <w:szCs w:val="24"/>
        </w:rPr>
        <w:t>(4), 295–312. https://doi.org/10.1007/s11628-011-0115-9</w:t>
      </w:r>
    </w:p>
    <w:p w14:paraId="66A6E029"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Lissitsa, S., &amp; Kol, O. (2016). Generation X vs. Generation Y - A decade of online shopping. </w:t>
      </w:r>
      <w:r w:rsidRPr="0057408D">
        <w:rPr>
          <w:rFonts w:ascii="Times New Roman" w:hAnsi="Times New Roman" w:cs="Times New Roman"/>
          <w:i/>
          <w:iCs/>
          <w:noProof/>
          <w:szCs w:val="24"/>
        </w:rPr>
        <w:t>Journal of Retailing and Consumer Services</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31</w:t>
      </w:r>
      <w:r w:rsidRPr="0057408D">
        <w:rPr>
          <w:rFonts w:ascii="Times New Roman" w:hAnsi="Times New Roman" w:cs="Times New Roman"/>
          <w:noProof/>
          <w:szCs w:val="24"/>
        </w:rPr>
        <w:t>, 304–312. https://doi.org/10.1016/j.jretconser.2016.04.015</w:t>
      </w:r>
    </w:p>
    <w:p w14:paraId="2AF27E34"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Martins, C., Oliveira, T., &amp; Popovič, A. (2014). Understanding the Internet banking adoption: A unified theory of acceptance and use of technology and perceived risk application. </w:t>
      </w:r>
      <w:r w:rsidRPr="0057408D">
        <w:rPr>
          <w:rFonts w:ascii="Times New Roman" w:hAnsi="Times New Roman" w:cs="Times New Roman"/>
          <w:i/>
          <w:iCs/>
          <w:noProof/>
          <w:szCs w:val="24"/>
        </w:rPr>
        <w:t>International Journal of Information Management</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34</w:t>
      </w:r>
      <w:r w:rsidRPr="0057408D">
        <w:rPr>
          <w:rFonts w:ascii="Times New Roman" w:hAnsi="Times New Roman" w:cs="Times New Roman"/>
          <w:noProof/>
          <w:szCs w:val="24"/>
        </w:rPr>
        <w:t>(1), 1–13. https://doi.org/10.1016/J.IJINFOMGT.2013.06.002</w:t>
      </w:r>
    </w:p>
    <w:p w14:paraId="33E06DA7"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Mehrad, D., &amp; Mohammadi, S. (2017). Word of Mouth impact on the adoption of mobile banking in Iran. </w:t>
      </w:r>
      <w:r w:rsidRPr="0057408D">
        <w:rPr>
          <w:rFonts w:ascii="Times New Roman" w:hAnsi="Times New Roman" w:cs="Times New Roman"/>
          <w:i/>
          <w:iCs/>
          <w:noProof/>
          <w:szCs w:val="24"/>
        </w:rPr>
        <w:t>Telematics and Informatics</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34</w:t>
      </w:r>
      <w:r w:rsidRPr="0057408D">
        <w:rPr>
          <w:rFonts w:ascii="Times New Roman" w:hAnsi="Times New Roman" w:cs="Times New Roman"/>
          <w:noProof/>
          <w:szCs w:val="24"/>
        </w:rPr>
        <w:t>(7), 1351–1363. https://doi.org/10.1016/j.tele.2016.08.009</w:t>
      </w:r>
    </w:p>
    <w:p w14:paraId="43DB7490"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Meriac, J. P., Woehr, D. J., &amp; Banister, C. (2010). Generational differences in work ethic: An examination of measurement equivalence across three cohorts. </w:t>
      </w:r>
      <w:r w:rsidRPr="0057408D">
        <w:rPr>
          <w:rFonts w:ascii="Times New Roman" w:hAnsi="Times New Roman" w:cs="Times New Roman"/>
          <w:i/>
          <w:iCs/>
          <w:noProof/>
          <w:szCs w:val="24"/>
        </w:rPr>
        <w:t>Journal of Business and Psychology</w:t>
      </w:r>
      <w:r w:rsidRPr="0057408D">
        <w:rPr>
          <w:rFonts w:ascii="Times New Roman" w:hAnsi="Times New Roman" w:cs="Times New Roman"/>
          <w:noProof/>
          <w:szCs w:val="24"/>
        </w:rPr>
        <w:t>. https://doi.org/10.1007/s10869-010-9164-7</w:t>
      </w:r>
    </w:p>
    <w:p w14:paraId="55138A6F"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Moazenzadeh, D., &amp; Hamidi, H. (2018). Analysis and Development of Technology Acceptance Model in Mobile Bank Field. </w:t>
      </w:r>
      <w:r w:rsidRPr="0057408D">
        <w:rPr>
          <w:rFonts w:ascii="Times New Roman" w:hAnsi="Times New Roman" w:cs="Times New Roman"/>
          <w:i/>
          <w:iCs/>
          <w:noProof/>
          <w:szCs w:val="24"/>
        </w:rPr>
        <w:t>International Journal of Engineering</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31</w:t>
      </w:r>
      <w:r w:rsidRPr="0057408D">
        <w:rPr>
          <w:rFonts w:ascii="Times New Roman" w:hAnsi="Times New Roman" w:cs="Times New Roman"/>
          <w:noProof/>
          <w:szCs w:val="24"/>
        </w:rPr>
        <w:t>(9), 1521–1528. https://doi.org/10.5829/ije.2018.31.09c.07</w:t>
      </w:r>
    </w:p>
    <w:p w14:paraId="69B2A128"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Naicker, V., &amp; Van Der Merwe, D. B. (2018). Managers’ perception of mobile technology adoption in the Life Insurance industry. </w:t>
      </w:r>
      <w:r w:rsidRPr="0057408D">
        <w:rPr>
          <w:rFonts w:ascii="Times New Roman" w:hAnsi="Times New Roman" w:cs="Times New Roman"/>
          <w:i/>
          <w:iCs/>
          <w:noProof/>
          <w:szCs w:val="24"/>
        </w:rPr>
        <w:t>Information Technology and People</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31</w:t>
      </w:r>
      <w:r w:rsidRPr="0057408D">
        <w:rPr>
          <w:rFonts w:ascii="Times New Roman" w:hAnsi="Times New Roman" w:cs="Times New Roman"/>
          <w:noProof/>
          <w:szCs w:val="24"/>
        </w:rPr>
        <w:t>(2), 507–526. https://doi.org/10.1108/ITP-09-2016-0212</w:t>
      </w:r>
    </w:p>
    <w:p w14:paraId="04DD7DC3"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Oliveira, T., Thomas, M., Baptista, G., &amp; Campos, F. (2016). Mobile payment: Understanding the determinants of customer adoption and intention to recommend the technology. </w:t>
      </w:r>
      <w:r w:rsidRPr="0057408D">
        <w:rPr>
          <w:rFonts w:ascii="Times New Roman" w:hAnsi="Times New Roman" w:cs="Times New Roman"/>
          <w:i/>
          <w:iCs/>
          <w:noProof/>
          <w:szCs w:val="24"/>
        </w:rPr>
        <w:t>Computers in Human Behavior</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61</w:t>
      </w:r>
      <w:r w:rsidRPr="0057408D">
        <w:rPr>
          <w:rFonts w:ascii="Times New Roman" w:hAnsi="Times New Roman" w:cs="Times New Roman"/>
          <w:noProof/>
          <w:szCs w:val="24"/>
        </w:rPr>
        <w:t>, 404–414. https://doi.org/10.1016/J.CHB.2016.03.030</w:t>
      </w:r>
    </w:p>
    <w:p w14:paraId="402E497A"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Oluwajana, D., Idowu, A., Nat, M., Vanduhe, V., &amp; Fadiya, S. (2019). The adoption of students’ hedonic motivation system model to gamified learning environment. </w:t>
      </w:r>
      <w:r w:rsidRPr="0057408D">
        <w:rPr>
          <w:rFonts w:ascii="Times New Roman" w:hAnsi="Times New Roman" w:cs="Times New Roman"/>
          <w:i/>
          <w:iCs/>
          <w:noProof/>
          <w:szCs w:val="24"/>
        </w:rPr>
        <w:t>Journal of Theoretical and Applied Electronic Commerce Research</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14</w:t>
      </w:r>
      <w:r w:rsidRPr="0057408D">
        <w:rPr>
          <w:rFonts w:ascii="Times New Roman" w:hAnsi="Times New Roman" w:cs="Times New Roman"/>
          <w:noProof/>
          <w:szCs w:val="24"/>
        </w:rPr>
        <w:t>(3), 156–167. https://doi.org/10.4067/S0718-18762019000300109</w:t>
      </w:r>
    </w:p>
    <w:p w14:paraId="4AC5AA88"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Park, J., Yang, S., &amp; Lehto, X. (2007). Adoption of Mobile Technologies for Chinese Consumers. </w:t>
      </w:r>
      <w:r w:rsidRPr="0057408D">
        <w:rPr>
          <w:rFonts w:ascii="Times New Roman" w:hAnsi="Times New Roman" w:cs="Times New Roman"/>
          <w:i/>
          <w:iCs/>
          <w:noProof/>
          <w:szCs w:val="24"/>
        </w:rPr>
        <w:t>Journal of Electronic Commerce Research</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8</w:t>
      </w:r>
      <w:r w:rsidRPr="0057408D">
        <w:rPr>
          <w:rFonts w:ascii="Times New Roman" w:hAnsi="Times New Roman" w:cs="Times New Roman"/>
          <w:noProof/>
          <w:szCs w:val="24"/>
        </w:rPr>
        <w:t>(3), 196–206. https://doi.org/10.1.1.92.2520</w:t>
      </w:r>
    </w:p>
    <w:p w14:paraId="1C2BFBC0"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Parment, A. (2013). Generation Y vs. Baby Boomers: Shopping behavior, buyer involvement and implications for retailing. </w:t>
      </w:r>
      <w:r w:rsidRPr="0057408D">
        <w:rPr>
          <w:rFonts w:ascii="Times New Roman" w:hAnsi="Times New Roman" w:cs="Times New Roman"/>
          <w:i/>
          <w:iCs/>
          <w:noProof/>
          <w:szCs w:val="24"/>
        </w:rPr>
        <w:t>Journal of Retailing and Consumer Services</w:t>
      </w:r>
      <w:r w:rsidRPr="0057408D">
        <w:rPr>
          <w:rFonts w:ascii="Times New Roman" w:hAnsi="Times New Roman" w:cs="Times New Roman"/>
          <w:noProof/>
          <w:szCs w:val="24"/>
        </w:rPr>
        <w:t>. https://doi.org/10.1016/j.jretconser.2012.12.001</w:t>
      </w:r>
    </w:p>
    <w:p w14:paraId="5E65AE25"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Rahi, S., &amp; Abd. Ghani, M. (2019). Does gamified elements influence on user’s intention to adopt and intention to recommend internet banking? </w:t>
      </w:r>
      <w:r w:rsidRPr="0057408D">
        <w:rPr>
          <w:rFonts w:ascii="Times New Roman" w:hAnsi="Times New Roman" w:cs="Times New Roman"/>
          <w:i/>
          <w:iCs/>
          <w:noProof/>
          <w:szCs w:val="24"/>
        </w:rPr>
        <w:t>International Journal of Information and Learning Technology</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36</w:t>
      </w:r>
      <w:r w:rsidRPr="0057408D">
        <w:rPr>
          <w:rFonts w:ascii="Times New Roman" w:hAnsi="Times New Roman" w:cs="Times New Roman"/>
          <w:noProof/>
          <w:szCs w:val="24"/>
        </w:rPr>
        <w:t>(1), 2–20. https://doi.org/10.1108/IJILT-05-2018-0045</w:t>
      </w:r>
    </w:p>
    <w:p w14:paraId="7DD6A086"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Ringle, C. M., Wende, S., &amp; Becker, J.-M. (2015). SmartPLS. Boenningstedt: SmartPLS GmbH. Retrieved from http://www.smartpls.com</w:t>
      </w:r>
    </w:p>
    <w:p w14:paraId="2DD921C7"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Rodrigues, L. F., Costa, C. J., &amp; Oliveira, A. (2017). How does the web game design influence the behavior of e-banking users? </w:t>
      </w:r>
      <w:r w:rsidRPr="0057408D">
        <w:rPr>
          <w:rFonts w:ascii="Times New Roman" w:hAnsi="Times New Roman" w:cs="Times New Roman"/>
          <w:i/>
          <w:iCs/>
          <w:noProof/>
          <w:szCs w:val="24"/>
        </w:rPr>
        <w:t>Computers in Human Behavior</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74</w:t>
      </w:r>
      <w:r w:rsidRPr="0057408D">
        <w:rPr>
          <w:rFonts w:ascii="Times New Roman" w:hAnsi="Times New Roman" w:cs="Times New Roman"/>
          <w:noProof/>
          <w:szCs w:val="24"/>
        </w:rPr>
        <w:t>, 163–174. https://doi.org/10.1016/j.chb.2017.04.034</w:t>
      </w:r>
    </w:p>
    <w:p w14:paraId="7DF194BF"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Rogers, E. M. (1995). </w:t>
      </w:r>
      <w:r w:rsidRPr="0057408D">
        <w:rPr>
          <w:rFonts w:ascii="Times New Roman" w:hAnsi="Times New Roman" w:cs="Times New Roman"/>
          <w:i/>
          <w:iCs/>
          <w:noProof/>
          <w:szCs w:val="24"/>
        </w:rPr>
        <w:t>Diffusion of innovations</w:t>
      </w:r>
      <w:r w:rsidRPr="0057408D">
        <w:rPr>
          <w:rFonts w:ascii="Times New Roman" w:hAnsi="Times New Roman" w:cs="Times New Roman"/>
          <w:noProof/>
          <w:szCs w:val="24"/>
        </w:rPr>
        <w:t xml:space="preserve"> (3rd ed.). New York: The Free Press.</w:t>
      </w:r>
    </w:p>
    <w:p w14:paraId="37E47233"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Shaikh, A. A., Karjaluoto, H., &amp; Chinje, N. B. (2015a). Consumers’ perceptions of mobile banking continuous usage in Finland and South Africa. </w:t>
      </w:r>
      <w:r w:rsidRPr="0057408D">
        <w:rPr>
          <w:rFonts w:ascii="Times New Roman" w:hAnsi="Times New Roman" w:cs="Times New Roman"/>
          <w:i/>
          <w:iCs/>
          <w:noProof/>
          <w:szCs w:val="24"/>
        </w:rPr>
        <w:t>International Journal of Electronic Finance</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8</w:t>
      </w:r>
      <w:r w:rsidRPr="0057408D">
        <w:rPr>
          <w:rFonts w:ascii="Times New Roman" w:hAnsi="Times New Roman" w:cs="Times New Roman"/>
          <w:noProof/>
          <w:szCs w:val="24"/>
        </w:rPr>
        <w:t>(2–4), 149–168. https://doi.org/10.1504/IJEF.2015.070528</w:t>
      </w:r>
    </w:p>
    <w:p w14:paraId="51FDF075"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Shaikh, A. A., Karjaluoto, H., &amp; Chinje, N. B. (2015b). Continuous mobile banking usage and relationship commitment – A multi-country assessment. </w:t>
      </w:r>
      <w:r w:rsidRPr="0057408D">
        <w:rPr>
          <w:rFonts w:ascii="Times New Roman" w:hAnsi="Times New Roman" w:cs="Times New Roman"/>
          <w:i/>
          <w:iCs/>
          <w:noProof/>
          <w:szCs w:val="24"/>
        </w:rPr>
        <w:t>Journal of Financial Services Marketing</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20</w:t>
      </w:r>
      <w:r w:rsidRPr="0057408D">
        <w:rPr>
          <w:rFonts w:ascii="Times New Roman" w:hAnsi="Times New Roman" w:cs="Times New Roman"/>
          <w:noProof/>
          <w:szCs w:val="24"/>
        </w:rPr>
        <w:t>(3), 208–219. https://doi.org/10.1057/fsm.2015.14</w:t>
      </w:r>
    </w:p>
    <w:p w14:paraId="15FEA1DB"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Sigala, M. (2015). The application and impact of gamification funware on trip planning and experiences: the case of TripAdvisor’s funware. </w:t>
      </w:r>
      <w:r w:rsidRPr="0057408D">
        <w:rPr>
          <w:rFonts w:ascii="Times New Roman" w:hAnsi="Times New Roman" w:cs="Times New Roman"/>
          <w:i/>
          <w:iCs/>
          <w:noProof/>
          <w:szCs w:val="24"/>
        </w:rPr>
        <w:t>Electronic Markets</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25</w:t>
      </w:r>
      <w:r w:rsidRPr="0057408D">
        <w:rPr>
          <w:rFonts w:ascii="Times New Roman" w:hAnsi="Times New Roman" w:cs="Times New Roman"/>
          <w:noProof/>
          <w:szCs w:val="24"/>
        </w:rPr>
        <w:t>(3), 189–209. https://doi.org/10.1007/s12525-014-0179-1</w:t>
      </w:r>
    </w:p>
    <w:p w14:paraId="649410DE"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Tan, E., &amp; Leby Lau, J. (2016). Behavioural intention to adopt mobile banking among the millennial generation. </w:t>
      </w:r>
      <w:r w:rsidRPr="0057408D">
        <w:rPr>
          <w:rFonts w:ascii="Times New Roman" w:hAnsi="Times New Roman" w:cs="Times New Roman"/>
          <w:i/>
          <w:iCs/>
          <w:noProof/>
          <w:szCs w:val="24"/>
        </w:rPr>
        <w:t>Young Consumers</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17</w:t>
      </w:r>
      <w:r w:rsidRPr="0057408D">
        <w:rPr>
          <w:rFonts w:ascii="Times New Roman" w:hAnsi="Times New Roman" w:cs="Times New Roman"/>
          <w:noProof/>
          <w:szCs w:val="24"/>
        </w:rPr>
        <w:t>(1), 18–31. https://doi.org/10.1108/YC-07-2015-00537</w:t>
      </w:r>
    </w:p>
    <w:p w14:paraId="1F580B56"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Tan, W. K. (2018). Gamification in aquarium context: Intention to play game that imparts knowledge and promotes marine animal conservation. </w:t>
      </w:r>
      <w:r w:rsidRPr="0057408D">
        <w:rPr>
          <w:rFonts w:ascii="Times New Roman" w:hAnsi="Times New Roman" w:cs="Times New Roman"/>
          <w:i/>
          <w:iCs/>
          <w:noProof/>
          <w:szCs w:val="24"/>
        </w:rPr>
        <w:t>Information Technology and People</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31</w:t>
      </w:r>
      <w:r w:rsidRPr="0057408D">
        <w:rPr>
          <w:rFonts w:ascii="Times New Roman" w:hAnsi="Times New Roman" w:cs="Times New Roman"/>
          <w:noProof/>
          <w:szCs w:val="24"/>
        </w:rPr>
        <w:t>(6), 1070–1090. https://doi.org/10.1108/ITP-02-2017-0054</w:t>
      </w:r>
    </w:p>
    <w:p w14:paraId="0FB7B14B"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Taylor, S., &amp; Todd, P. A. (1995). Understanding information technology usage: A test of competing models. </w:t>
      </w:r>
      <w:r w:rsidRPr="0057408D">
        <w:rPr>
          <w:rFonts w:ascii="Times New Roman" w:hAnsi="Times New Roman" w:cs="Times New Roman"/>
          <w:i/>
          <w:iCs/>
          <w:noProof/>
          <w:szCs w:val="24"/>
        </w:rPr>
        <w:t>Information Systems Research</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6</w:t>
      </w:r>
      <w:r w:rsidRPr="0057408D">
        <w:rPr>
          <w:rFonts w:ascii="Times New Roman" w:hAnsi="Times New Roman" w:cs="Times New Roman"/>
          <w:noProof/>
          <w:szCs w:val="24"/>
        </w:rPr>
        <w:t>(2), 144–176. https://doi.org/10.1287/isre.6.2.144</w:t>
      </w:r>
    </w:p>
    <w:p w14:paraId="151955ED"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Thiebes, S., Lins, S., &amp; Basten, D. (2014). Gamifying information systems-a synthesis of gamification mechanics and dynamics. In </w:t>
      </w:r>
      <w:r w:rsidRPr="0057408D">
        <w:rPr>
          <w:rFonts w:ascii="Times New Roman" w:hAnsi="Times New Roman" w:cs="Times New Roman"/>
          <w:i/>
          <w:iCs/>
          <w:noProof/>
          <w:szCs w:val="24"/>
        </w:rPr>
        <w:t xml:space="preserve">Twenty Second European Conference on Information Systems, Tel Aviv 2014 </w:t>
      </w:r>
      <w:r w:rsidRPr="0057408D">
        <w:rPr>
          <w:rFonts w:ascii="Times New Roman" w:hAnsi="Times New Roman" w:cs="Times New Roman"/>
          <w:noProof/>
          <w:szCs w:val="24"/>
        </w:rPr>
        <w:t xml:space="preserve"> (pp. 1–17). Tel Aviv: The European Conferences of Information Systems.</w:t>
      </w:r>
    </w:p>
    <w:p w14:paraId="08022A1C"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Thompson, R. L., Higgins, C. A., &amp; Howell, J. M. (1991). Personal computing: toward a conceptual model of utilization. </w:t>
      </w:r>
      <w:r w:rsidRPr="0057408D">
        <w:rPr>
          <w:rFonts w:ascii="Times New Roman" w:hAnsi="Times New Roman" w:cs="Times New Roman"/>
          <w:i/>
          <w:iCs/>
          <w:noProof/>
          <w:szCs w:val="24"/>
        </w:rPr>
        <w:t>MIS Quarterly</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15</w:t>
      </w:r>
      <w:r w:rsidRPr="0057408D">
        <w:rPr>
          <w:rFonts w:ascii="Times New Roman" w:hAnsi="Times New Roman" w:cs="Times New Roman"/>
          <w:noProof/>
          <w:szCs w:val="24"/>
        </w:rPr>
        <w:t>(1), 125–143. https://doi.org/10.2307/249443</w:t>
      </w:r>
    </w:p>
    <w:p w14:paraId="561632D0"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Thongsri, N., Shen, L., Bao, Y., &amp; Alharbi, I. M. (2018). Integrating UTAUT and UGT to explain behavioural intention to use M-learning: A developing country’s perspective. </w:t>
      </w:r>
      <w:r w:rsidRPr="0057408D">
        <w:rPr>
          <w:rFonts w:ascii="Times New Roman" w:hAnsi="Times New Roman" w:cs="Times New Roman"/>
          <w:i/>
          <w:iCs/>
          <w:noProof/>
          <w:szCs w:val="24"/>
        </w:rPr>
        <w:t>Journal of Systems and Information Technology</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20</w:t>
      </w:r>
      <w:r w:rsidRPr="0057408D">
        <w:rPr>
          <w:rFonts w:ascii="Times New Roman" w:hAnsi="Times New Roman" w:cs="Times New Roman"/>
          <w:noProof/>
          <w:szCs w:val="24"/>
        </w:rPr>
        <w:t>(3), 278–297. https://doi.org/10.1108/JSIT-11-2017-0107</w:t>
      </w:r>
    </w:p>
    <w:p w14:paraId="2CA829B5"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Urbach, N., &amp; Ahlemann, F. (2010). Structural Equation Modeling in Information Systems Research Using Partial Least Squares. </w:t>
      </w:r>
      <w:r w:rsidRPr="0057408D">
        <w:rPr>
          <w:rFonts w:ascii="Times New Roman" w:hAnsi="Times New Roman" w:cs="Times New Roman"/>
          <w:i/>
          <w:iCs/>
          <w:noProof/>
          <w:szCs w:val="24"/>
        </w:rPr>
        <w:t>Journal of Information Technology Theory and Application</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11</w:t>
      </w:r>
      <w:r w:rsidRPr="0057408D">
        <w:rPr>
          <w:rFonts w:ascii="Times New Roman" w:hAnsi="Times New Roman" w:cs="Times New Roman"/>
          <w:noProof/>
          <w:szCs w:val="24"/>
        </w:rPr>
        <w:t>(2), 5–40.</w:t>
      </w:r>
    </w:p>
    <w:p w14:paraId="4A54DDEB"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Vella, J., Wallström, Å., &amp; Farshid, M. (2017). Financial services Apps: What makes the difference between a great and a ghastly review? </w:t>
      </w:r>
      <w:r w:rsidRPr="0057408D">
        <w:rPr>
          <w:rFonts w:ascii="Times New Roman" w:hAnsi="Times New Roman" w:cs="Times New Roman"/>
          <w:i/>
          <w:iCs/>
          <w:noProof/>
          <w:szCs w:val="24"/>
        </w:rPr>
        <w:t>Journal of Financial Services Marketing</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22</w:t>
      </w:r>
      <w:r w:rsidRPr="0057408D">
        <w:rPr>
          <w:rFonts w:ascii="Times New Roman" w:hAnsi="Times New Roman" w:cs="Times New Roman"/>
          <w:noProof/>
          <w:szCs w:val="24"/>
        </w:rPr>
        <w:t>(3), 132–138. https://doi.org/10.1057/s41264-017-0031-8</w:t>
      </w:r>
    </w:p>
    <w:p w14:paraId="34D2600E"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Venkatesh, V., Morris, M. G., Davis, G. B., &amp; Davis, F. D. (2003). User Acceptance of Information Technology: Toward a Unified View. </w:t>
      </w:r>
      <w:r w:rsidRPr="0057408D">
        <w:rPr>
          <w:rFonts w:ascii="Times New Roman" w:hAnsi="Times New Roman" w:cs="Times New Roman"/>
          <w:i/>
          <w:iCs/>
          <w:noProof/>
          <w:szCs w:val="24"/>
        </w:rPr>
        <w:t>MIS Quarterly</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27</w:t>
      </w:r>
      <w:r w:rsidRPr="0057408D">
        <w:rPr>
          <w:rFonts w:ascii="Times New Roman" w:hAnsi="Times New Roman" w:cs="Times New Roman"/>
          <w:noProof/>
          <w:szCs w:val="24"/>
        </w:rPr>
        <w:t>(3), 425. https://doi.org/10.2307/30036540</w:t>
      </w:r>
    </w:p>
    <w:p w14:paraId="05BBD135"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Venkatesh, V., Thong, J. Y. L., &amp; Xu, X. (2012). Consumer acceptance and use of information technology: Extending the unified theory of acceptance and use of technology. </w:t>
      </w:r>
      <w:r w:rsidRPr="0057408D">
        <w:rPr>
          <w:rFonts w:ascii="Times New Roman" w:hAnsi="Times New Roman" w:cs="Times New Roman"/>
          <w:i/>
          <w:iCs/>
          <w:noProof/>
          <w:szCs w:val="24"/>
        </w:rPr>
        <w:t>MIS Quarterly</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36</w:t>
      </w:r>
      <w:r w:rsidRPr="0057408D">
        <w:rPr>
          <w:rFonts w:ascii="Times New Roman" w:hAnsi="Times New Roman" w:cs="Times New Roman"/>
          <w:noProof/>
          <w:szCs w:val="24"/>
        </w:rPr>
        <w:t>, 157–178.</w:t>
      </w:r>
    </w:p>
    <w:p w14:paraId="115582BF"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szCs w:val="24"/>
        </w:rPr>
      </w:pPr>
      <w:r w:rsidRPr="0057408D">
        <w:rPr>
          <w:rFonts w:ascii="Times New Roman" w:hAnsi="Times New Roman" w:cs="Times New Roman"/>
          <w:noProof/>
          <w:szCs w:val="24"/>
        </w:rPr>
        <w:t xml:space="preserve">Zhou, T., Lu, Y., &amp; Wang, B. (2010). Integrating TTF and UTAUT to explain mobile banking user adoption. </w:t>
      </w:r>
      <w:r w:rsidRPr="0057408D">
        <w:rPr>
          <w:rFonts w:ascii="Times New Roman" w:hAnsi="Times New Roman" w:cs="Times New Roman"/>
          <w:i/>
          <w:iCs/>
          <w:noProof/>
          <w:szCs w:val="24"/>
        </w:rPr>
        <w:t>Computers in Human Behavior</w:t>
      </w:r>
      <w:r w:rsidRPr="0057408D">
        <w:rPr>
          <w:rFonts w:ascii="Times New Roman" w:hAnsi="Times New Roman" w:cs="Times New Roman"/>
          <w:noProof/>
          <w:szCs w:val="24"/>
        </w:rPr>
        <w:t xml:space="preserve">, </w:t>
      </w:r>
      <w:r w:rsidRPr="0057408D">
        <w:rPr>
          <w:rFonts w:ascii="Times New Roman" w:hAnsi="Times New Roman" w:cs="Times New Roman"/>
          <w:i/>
          <w:iCs/>
          <w:noProof/>
          <w:szCs w:val="24"/>
        </w:rPr>
        <w:t>26</w:t>
      </w:r>
      <w:r w:rsidRPr="0057408D">
        <w:rPr>
          <w:rFonts w:ascii="Times New Roman" w:hAnsi="Times New Roman" w:cs="Times New Roman"/>
          <w:noProof/>
          <w:szCs w:val="24"/>
        </w:rPr>
        <w:t>(4), 760–767. https://doi.org/10.1016/J.CHB.2010.01.013</w:t>
      </w:r>
    </w:p>
    <w:p w14:paraId="18859E79" w14:textId="77777777" w:rsidR="0057408D" w:rsidRPr="0057408D" w:rsidRDefault="0057408D" w:rsidP="0057408D">
      <w:pPr>
        <w:widowControl w:val="0"/>
        <w:autoSpaceDE w:val="0"/>
        <w:autoSpaceDN w:val="0"/>
        <w:adjustRightInd w:val="0"/>
        <w:spacing w:before="140" w:after="140"/>
        <w:ind w:left="480" w:hanging="480"/>
        <w:rPr>
          <w:rFonts w:ascii="Times New Roman" w:hAnsi="Times New Roman" w:cs="Times New Roman"/>
          <w:noProof/>
        </w:rPr>
      </w:pPr>
      <w:r w:rsidRPr="0057408D">
        <w:rPr>
          <w:rFonts w:ascii="Times New Roman" w:hAnsi="Times New Roman" w:cs="Times New Roman"/>
          <w:noProof/>
          <w:szCs w:val="24"/>
        </w:rPr>
        <w:t xml:space="preserve">Zichermann, G., &amp; Cunningham, C. (2011). </w:t>
      </w:r>
      <w:r w:rsidRPr="0057408D">
        <w:rPr>
          <w:rFonts w:ascii="Times New Roman" w:hAnsi="Times New Roman" w:cs="Times New Roman"/>
          <w:i/>
          <w:iCs/>
          <w:noProof/>
          <w:szCs w:val="24"/>
        </w:rPr>
        <w:t>Gamification by Design: Implementing Game Mechanics in Web and Mobile Apps</w:t>
      </w:r>
      <w:r w:rsidRPr="0057408D">
        <w:rPr>
          <w:rFonts w:ascii="Times New Roman" w:hAnsi="Times New Roman" w:cs="Times New Roman"/>
          <w:noProof/>
          <w:szCs w:val="24"/>
        </w:rPr>
        <w:t>. Sebastopol: O’Reilly Media.</w:t>
      </w:r>
    </w:p>
    <w:p w14:paraId="4771E33D" w14:textId="77777777" w:rsidR="00393F39" w:rsidRPr="000D44EC" w:rsidRDefault="003728B5" w:rsidP="0056686A">
      <w:pPr>
        <w:widowControl w:val="0"/>
        <w:autoSpaceDE w:val="0"/>
        <w:autoSpaceDN w:val="0"/>
        <w:adjustRightInd w:val="0"/>
        <w:spacing w:beforeLines="60" w:before="144" w:afterLines="60" w:after="144"/>
        <w:ind w:left="426" w:hanging="426"/>
        <w:contextualSpacing/>
        <w:rPr>
          <w:rFonts w:ascii="Times New Roman" w:hAnsi="Times New Roman" w:cs="Times New Roman"/>
        </w:rPr>
      </w:pPr>
      <w:r w:rsidRPr="000D44EC">
        <w:rPr>
          <w:rFonts w:ascii="Times New Roman" w:hAnsi="Times New Roman" w:cs="Times New Roman"/>
        </w:rPr>
        <w:fldChar w:fldCharType="end"/>
      </w:r>
    </w:p>
    <w:sectPr w:rsidR="00393F39" w:rsidRPr="000D44E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08162D" w14:textId="77777777" w:rsidR="002E4E40" w:rsidRDefault="002E4E40" w:rsidP="00F13A52">
      <w:pPr>
        <w:spacing w:after="0"/>
      </w:pPr>
      <w:r>
        <w:separator/>
      </w:r>
    </w:p>
  </w:endnote>
  <w:endnote w:type="continuationSeparator" w:id="0">
    <w:p w14:paraId="04A7F72C" w14:textId="77777777" w:rsidR="002E4E40" w:rsidRDefault="002E4E40" w:rsidP="00F13A5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FEC5E8" w14:textId="77777777" w:rsidR="002E4E40" w:rsidRDefault="002E4E40" w:rsidP="00F13A52">
      <w:pPr>
        <w:spacing w:after="0"/>
      </w:pPr>
      <w:r>
        <w:separator/>
      </w:r>
    </w:p>
  </w:footnote>
  <w:footnote w:type="continuationSeparator" w:id="0">
    <w:p w14:paraId="4A7A8CED" w14:textId="77777777" w:rsidR="002E4E40" w:rsidRDefault="002E4E40" w:rsidP="00F13A52">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54E490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hyphenationZone w:val="425"/>
  <w:characterSpacingControl w:val="doNotCompress"/>
  <w:hdrShapeDefaults>
    <o:shapedefaults v:ext="edit" spidmax="4097"/>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tDA2s7S0MLE0NzKxNDBS0lEKTi0uzszPAykwNa0FAD+Wn3UtAAAA"/>
  </w:docVars>
  <w:rsids>
    <w:rsidRoot w:val="00B96A79"/>
    <w:rsid w:val="00001526"/>
    <w:rsid w:val="00005074"/>
    <w:rsid w:val="00007F51"/>
    <w:rsid w:val="00010E01"/>
    <w:rsid w:val="00011387"/>
    <w:rsid w:val="00011BED"/>
    <w:rsid w:val="0001248F"/>
    <w:rsid w:val="000140EA"/>
    <w:rsid w:val="00015CCF"/>
    <w:rsid w:val="0002129D"/>
    <w:rsid w:val="00021897"/>
    <w:rsid w:val="000242DB"/>
    <w:rsid w:val="00024A29"/>
    <w:rsid w:val="00027D78"/>
    <w:rsid w:val="00027E3B"/>
    <w:rsid w:val="000312F7"/>
    <w:rsid w:val="0003272D"/>
    <w:rsid w:val="00032746"/>
    <w:rsid w:val="0003437E"/>
    <w:rsid w:val="00036CD9"/>
    <w:rsid w:val="0004618E"/>
    <w:rsid w:val="00047335"/>
    <w:rsid w:val="00050A23"/>
    <w:rsid w:val="0005236D"/>
    <w:rsid w:val="000534C4"/>
    <w:rsid w:val="0005422A"/>
    <w:rsid w:val="0005513F"/>
    <w:rsid w:val="00060F75"/>
    <w:rsid w:val="00063281"/>
    <w:rsid w:val="000649EE"/>
    <w:rsid w:val="00064BEE"/>
    <w:rsid w:val="00071F3E"/>
    <w:rsid w:val="00073F33"/>
    <w:rsid w:val="00074574"/>
    <w:rsid w:val="0007458B"/>
    <w:rsid w:val="00074A81"/>
    <w:rsid w:val="000758C5"/>
    <w:rsid w:val="00077483"/>
    <w:rsid w:val="000805C2"/>
    <w:rsid w:val="0008255C"/>
    <w:rsid w:val="00083C0E"/>
    <w:rsid w:val="00087E1B"/>
    <w:rsid w:val="000908A4"/>
    <w:rsid w:val="000912C5"/>
    <w:rsid w:val="00093481"/>
    <w:rsid w:val="0009435A"/>
    <w:rsid w:val="00095126"/>
    <w:rsid w:val="00096D8D"/>
    <w:rsid w:val="000A0C9A"/>
    <w:rsid w:val="000A2EEC"/>
    <w:rsid w:val="000A4340"/>
    <w:rsid w:val="000A4EB4"/>
    <w:rsid w:val="000A6084"/>
    <w:rsid w:val="000A6B0B"/>
    <w:rsid w:val="000A7D8E"/>
    <w:rsid w:val="000B0031"/>
    <w:rsid w:val="000B1CD1"/>
    <w:rsid w:val="000B2355"/>
    <w:rsid w:val="000B29B1"/>
    <w:rsid w:val="000B2C27"/>
    <w:rsid w:val="000B4287"/>
    <w:rsid w:val="000B514E"/>
    <w:rsid w:val="000B51FB"/>
    <w:rsid w:val="000C0178"/>
    <w:rsid w:val="000C6416"/>
    <w:rsid w:val="000C74A2"/>
    <w:rsid w:val="000D0088"/>
    <w:rsid w:val="000D1A3B"/>
    <w:rsid w:val="000D3589"/>
    <w:rsid w:val="000D44EC"/>
    <w:rsid w:val="000D4A66"/>
    <w:rsid w:val="000D5847"/>
    <w:rsid w:val="000E0831"/>
    <w:rsid w:val="000E3707"/>
    <w:rsid w:val="000E491B"/>
    <w:rsid w:val="000E5FC4"/>
    <w:rsid w:val="000F3164"/>
    <w:rsid w:val="000F6F7E"/>
    <w:rsid w:val="00100E5C"/>
    <w:rsid w:val="00101C2F"/>
    <w:rsid w:val="00102348"/>
    <w:rsid w:val="00104BA1"/>
    <w:rsid w:val="00105464"/>
    <w:rsid w:val="00105D9D"/>
    <w:rsid w:val="00106D1F"/>
    <w:rsid w:val="0011589B"/>
    <w:rsid w:val="00116FBA"/>
    <w:rsid w:val="00117BFC"/>
    <w:rsid w:val="00121814"/>
    <w:rsid w:val="001232DB"/>
    <w:rsid w:val="0012432F"/>
    <w:rsid w:val="00127495"/>
    <w:rsid w:val="001278CE"/>
    <w:rsid w:val="00132DC9"/>
    <w:rsid w:val="00132E3B"/>
    <w:rsid w:val="001353E9"/>
    <w:rsid w:val="0013632C"/>
    <w:rsid w:val="001366CF"/>
    <w:rsid w:val="00140A37"/>
    <w:rsid w:val="00141A19"/>
    <w:rsid w:val="00141C51"/>
    <w:rsid w:val="001424A2"/>
    <w:rsid w:val="001440E7"/>
    <w:rsid w:val="001447C2"/>
    <w:rsid w:val="0014493C"/>
    <w:rsid w:val="0014675C"/>
    <w:rsid w:val="001512E0"/>
    <w:rsid w:val="00151EE6"/>
    <w:rsid w:val="00153C53"/>
    <w:rsid w:val="001632EF"/>
    <w:rsid w:val="00163445"/>
    <w:rsid w:val="00164D82"/>
    <w:rsid w:val="00166D82"/>
    <w:rsid w:val="00170A83"/>
    <w:rsid w:val="001748C6"/>
    <w:rsid w:val="00175E21"/>
    <w:rsid w:val="00176017"/>
    <w:rsid w:val="00181299"/>
    <w:rsid w:val="00191140"/>
    <w:rsid w:val="0019257F"/>
    <w:rsid w:val="0019414B"/>
    <w:rsid w:val="0019728B"/>
    <w:rsid w:val="001A61A1"/>
    <w:rsid w:val="001A7C3D"/>
    <w:rsid w:val="001B5456"/>
    <w:rsid w:val="001B64EF"/>
    <w:rsid w:val="001B729C"/>
    <w:rsid w:val="001C1281"/>
    <w:rsid w:val="001C178D"/>
    <w:rsid w:val="001C20F8"/>
    <w:rsid w:val="001C2FF7"/>
    <w:rsid w:val="001C5B4C"/>
    <w:rsid w:val="001D07B4"/>
    <w:rsid w:val="001D0E76"/>
    <w:rsid w:val="001D154E"/>
    <w:rsid w:val="001D4E36"/>
    <w:rsid w:val="001D514E"/>
    <w:rsid w:val="001E2C5C"/>
    <w:rsid w:val="001F6C7A"/>
    <w:rsid w:val="001F7CAC"/>
    <w:rsid w:val="002051BF"/>
    <w:rsid w:val="0020677A"/>
    <w:rsid w:val="0020744E"/>
    <w:rsid w:val="002076A5"/>
    <w:rsid w:val="00211740"/>
    <w:rsid w:val="002142F9"/>
    <w:rsid w:val="00216A28"/>
    <w:rsid w:val="00217BA9"/>
    <w:rsid w:val="00221A7E"/>
    <w:rsid w:val="00222350"/>
    <w:rsid w:val="002224FE"/>
    <w:rsid w:val="00224FB2"/>
    <w:rsid w:val="00225609"/>
    <w:rsid w:val="002339C4"/>
    <w:rsid w:val="00235518"/>
    <w:rsid w:val="0023652E"/>
    <w:rsid w:val="00236D2A"/>
    <w:rsid w:val="002419A6"/>
    <w:rsid w:val="00242A8F"/>
    <w:rsid w:val="002434D0"/>
    <w:rsid w:val="002541B3"/>
    <w:rsid w:val="00261044"/>
    <w:rsid w:val="00267EA7"/>
    <w:rsid w:val="0027016E"/>
    <w:rsid w:val="0027129E"/>
    <w:rsid w:val="00271AAF"/>
    <w:rsid w:val="002722A6"/>
    <w:rsid w:val="00275318"/>
    <w:rsid w:val="00275FFB"/>
    <w:rsid w:val="0027684A"/>
    <w:rsid w:val="00277C59"/>
    <w:rsid w:val="0028070A"/>
    <w:rsid w:val="00282B51"/>
    <w:rsid w:val="002830D2"/>
    <w:rsid w:val="0029083B"/>
    <w:rsid w:val="00293531"/>
    <w:rsid w:val="002939C2"/>
    <w:rsid w:val="00294FF3"/>
    <w:rsid w:val="002A2F17"/>
    <w:rsid w:val="002A2FD1"/>
    <w:rsid w:val="002A6CE6"/>
    <w:rsid w:val="002B14B6"/>
    <w:rsid w:val="002B28D6"/>
    <w:rsid w:val="002B623A"/>
    <w:rsid w:val="002B677F"/>
    <w:rsid w:val="002B720A"/>
    <w:rsid w:val="002C04D7"/>
    <w:rsid w:val="002C2BD1"/>
    <w:rsid w:val="002C56C9"/>
    <w:rsid w:val="002C7B0D"/>
    <w:rsid w:val="002D2349"/>
    <w:rsid w:val="002D38CE"/>
    <w:rsid w:val="002E093B"/>
    <w:rsid w:val="002E399D"/>
    <w:rsid w:val="002E3CB3"/>
    <w:rsid w:val="002E4E40"/>
    <w:rsid w:val="002E5540"/>
    <w:rsid w:val="002E6FA6"/>
    <w:rsid w:val="002F118F"/>
    <w:rsid w:val="002F2F7E"/>
    <w:rsid w:val="002F395A"/>
    <w:rsid w:val="002F46B2"/>
    <w:rsid w:val="00301025"/>
    <w:rsid w:val="00301246"/>
    <w:rsid w:val="00301CE9"/>
    <w:rsid w:val="00303634"/>
    <w:rsid w:val="003041F3"/>
    <w:rsid w:val="00305AD2"/>
    <w:rsid w:val="00306B0C"/>
    <w:rsid w:val="00306EC6"/>
    <w:rsid w:val="00311E7F"/>
    <w:rsid w:val="00312E97"/>
    <w:rsid w:val="003167BD"/>
    <w:rsid w:val="00316CD3"/>
    <w:rsid w:val="003223D2"/>
    <w:rsid w:val="00322E13"/>
    <w:rsid w:val="00323270"/>
    <w:rsid w:val="00323EAD"/>
    <w:rsid w:val="0032468E"/>
    <w:rsid w:val="003253AE"/>
    <w:rsid w:val="00326402"/>
    <w:rsid w:val="003266B5"/>
    <w:rsid w:val="0033175F"/>
    <w:rsid w:val="00331C6C"/>
    <w:rsid w:val="00332F4B"/>
    <w:rsid w:val="003331A2"/>
    <w:rsid w:val="00337EA2"/>
    <w:rsid w:val="00340F4D"/>
    <w:rsid w:val="003418EE"/>
    <w:rsid w:val="003473C7"/>
    <w:rsid w:val="00352C7B"/>
    <w:rsid w:val="00352D1B"/>
    <w:rsid w:val="003549FA"/>
    <w:rsid w:val="003561B8"/>
    <w:rsid w:val="0035660A"/>
    <w:rsid w:val="00356F25"/>
    <w:rsid w:val="0035720C"/>
    <w:rsid w:val="00357345"/>
    <w:rsid w:val="003606D0"/>
    <w:rsid w:val="00360D22"/>
    <w:rsid w:val="00362115"/>
    <w:rsid w:val="0036289B"/>
    <w:rsid w:val="00364349"/>
    <w:rsid w:val="003708ED"/>
    <w:rsid w:val="003714BE"/>
    <w:rsid w:val="00372062"/>
    <w:rsid w:val="003728B5"/>
    <w:rsid w:val="00372FEF"/>
    <w:rsid w:val="00373C9E"/>
    <w:rsid w:val="00377109"/>
    <w:rsid w:val="00382EF2"/>
    <w:rsid w:val="00387074"/>
    <w:rsid w:val="0039155A"/>
    <w:rsid w:val="0039190A"/>
    <w:rsid w:val="00393F39"/>
    <w:rsid w:val="00394B00"/>
    <w:rsid w:val="00396502"/>
    <w:rsid w:val="003965D9"/>
    <w:rsid w:val="003A3586"/>
    <w:rsid w:val="003A3EA3"/>
    <w:rsid w:val="003A5D9C"/>
    <w:rsid w:val="003B149B"/>
    <w:rsid w:val="003B1C40"/>
    <w:rsid w:val="003B46D0"/>
    <w:rsid w:val="003B4933"/>
    <w:rsid w:val="003B7079"/>
    <w:rsid w:val="003C0E8E"/>
    <w:rsid w:val="003C3940"/>
    <w:rsid w:val="003C6917"/>
    <w:rsid w:val="003D4045"/>
    <w:rsid w:val="003D5C5C"/>
    <w:rsid w:val="003D7CCF"/>
    <w:rsid w:val="003E015C"/>
    <w:rsid w:val="003E1044"/>
    <w:rsid w:val="003E2205"/>
    <w:rsid w:val="003E4724"/>
    <w:rsid w:val="003E4959"/>
    <w:rsid w:val="003E4A4F"/>
    <w:rsid w:val="003E4EC9"/>
    <w:rsid w:val="003F1B7C"/>
    <w:rsid w:val="003F5ED3"/>
    <w:rsid w:val="004010ED"/>
    <w:rsid w:val="00406C56"/>
    <w:rsid w:val="004076C6"/>
    <w:rsid w:val="004104B6"/>
    <w:rsid w:val="00411AF1"/>
    <w:rsid w:val="00412349"/>
    <w:rsid w:val="00412F28"/>
    <w:rsid w:val="00413F07"/>
    <w:rsid w:val="00415DF4"/>
    <w:rsid w:val="00415EFF"/>
    <w:rsid w:val="00417777"/>
    <w:rsid w:val="00423205"/>
    <w:rsid w:val="00430379"/>
    <w:rsid w:val="0043115A"/>
    <w:rsid w:val="00433936"/>
    <w:rsid w:val="00437B50"/>
    <w:rsid w:val="0044043D"/>
    <w:rsid w:val="00440C5B"/>
    <w:rsid w:val="00441DDF"/>
    <w:rsid w:val="004452A1"/>
    <w:rsid w:val="00446463"/>
    <w:rsid w:val="00450074"/>
    <w:rsid w:val="0045089D"/>
    <w:rsid w:val="00457033"/>
    <w:rsid w:val="00457A1B"/>
    <w:rsid w:val="00460738"/>
    <w:rsid w:val="0046154A"/>
    <w:rsid w:val="00461564"/>
    <w:rsid w:val="004620CD"/>
    <w:rsid w:val="0046224D"/>
    <w:rsid w:val="004622C5"/>
    <w:rsid w:val="004628FD"/>
    <w:rsid w:val="00465BAF"/>
    <w:rsid w:val="00466551"/>
    <w:rsid w:val="0046721F"/>
    <w:rsid w:val="00471AA3"/>
    <w:rsid w:val="00472E1E"/>
    <w:rsid w:val="004730B4"/>
    <w:rsid w:val="00473474"/>
    <w:rsid w:val="00474911"/>
    <w:rsid w:val="0047688E"/>
    <w:rsid w:val="00476C7A"/>
    <w:rsid w:val="004826EC"/>
    <w:rsid w:val="00484A61"/>
    <w:rsid w:val="00486B94"/>
    <w:rsid w:val="0049233E"/>
    <w:rsid w:val="0049256C"/>
    <w:rsid w:val="004935AF"/>
    <w:rsid w:val="00496211"/>
    <w:rsid w:val="00496363"/>
    <w:rsid w:val="00496649"/>
    <w:rsid w:val="00497830"/>
    <w:rsid w:val="004A385D"/>
    <w:rsid w:val="004A3A96"/>
    <w:rsid w:val="004B0E8F"/>
    <w:rsid w:val="004B19AC"/>
    <w:rsid w:val="004B5787"/>
    <w:rsid w:val="004B77C4"/>
    <w:rsid w:val="004C10B1"/>
    <w:rsid w:val="004D19CE"/>
    <w:rsid w:val="004D36E4"/>
    <w:rsid w:val="004D397C"/>
    <w:rsid w:val="004E1673"/>
    <w:rsid w:val="004E6ABD"/>
    <w:rsid w:val="004E7CF1"/>
    <w:rsid w:val="004F12FC"/>
    <w:rsid w:val="004F1437"/>
    <w:rsid w:val="004F20F7"/>
    <w:rsid w:val="004F3CB7"/>
    <w:rsid w:val="004F4001"/>
    <w:rsid w:val="004F4188"/>
    <w:rsid w:val="004F747E"/>
    <w:rsid w:val="00500764"/>
    <w:rsid w:val="005105FF"/>
    <w:rsid w:val="00510820"/>
    <w:rsid w:val="005120CB"/>
    <w:rsid w:val="00513935"/>
    <w:rsid w:val="00513992"/>
    <w:rsid w:val="00521DB5"/>
    <w:rsid w:val="00523147"/>
    <w:rsid w:val="00523DE5"/>
    <w:rsid w:val="005259F8"/>
    <w:rsid w:val="00532516"/>
    <w:rsid w:val="005327B8"/>
    <w:rsid w:val="005336E1"/>
    <w:rsid w:val="00534DEB"/>
    <w:rsid w:val="00541387"/>
    <w:rsid w:val="005418A6"/>
    <w:rsid w:val="00541E6F"/>
    <w:rsid w:val="00542502"/>
    <w:rsid w:val="00542812"/>
    <w:rsid w:val="00543C1E"/>
    <w:rsid w:val="00545E86"/>
    <w:rsid w:val="005465F4"/>
    <w:rsid w:val="005474AC"/>
    <w:rsid w:val="00550851"/>
    <w:rsid w:val="00550AA4"/>
    <w:rsid w:val="00557285"/>
    <w:rsid w:val="0056043D"/>
    <w:rsid w:val="005612B9"/>
    <w:rsid w:val="005616E3"/>
    <w:rsid w:val="0056344D"/>
    <w:rsid w:val="00563E13"/>
    <w:rsid w:val="00566067"/>
    <w:rsid w:val="0056686A"/>
    <w:rsid w:val="00567755"/>
    <w:rsid w:val="005716EF"/>
    <w:rsid w:val="00572571"/>
    <w:rsid w:val="00572916"/>
    <w:rsid w:val="0057408D"/>
    <w:rsid w:val="0057454D"/>
    <w:rsid w:val="00580DE0"/>
    <w:rsid w:val="00584291"/>
    <w:rsid w:val="005842E0"/>
    <w:rsid w:val="005852EE"/>
    <w:rsid w:val="00592D82"/>
    <w:rsid w:val="00594AE6"/>
    <w:rsid w:val="005A0AF3"/>
    <w:rsid w:val="005A28A8"/>
    <w:rsid w:val="005A2AAF"/>
    <w:rsid w:val="005A3EBF"/>
    <w:rsid w:val="005B05C1"/>
    <w:rsid w:val="005B37D5"/>
    <w:rsid w:val="005B7290"/>
    <w:rsid w:val="005C14E0"/>
    <w:rsid w:val="005C470F"/>
    <w:rsid w:val="005C680D"/>
    <w:rsid w:val="005C6CCC"/>
    <w:rsid w:val="005D217C"/>
    <w:rsid w:val="005D328A"/>
    <w:rsid w:val="005D6230"/>
    <w:rsid w:val="005D6951"/>
    <w:rsid w:val="005D6A41"/>
    <w:rsid w:val="005E0DC0"/>
    <w:rsid w:val="005E173B"/>
    <w:rsid w:val="005E4482"/>
    <w:rsid w:val="005F0624"/>
    <w:rsid w:val="005F1559"/>
    <w:rsid w:val="005F15C7"/>
    <w:rsid w:val="005F5644"/>
    <w:rsid w:val="0060073B"/>
    <w:rsid w:val="00601774"/>
    <w:rsid w:val="00603FB8"/>
    <w:rsid w:val="00604090"/>
    <w:rsid w:val="00605069"/>
    <w:rsid w:val="00610B8B"/>
    <w:rsid w:val="00610E0F"/>
    <w:rsid w:val="00612CEA"/>
    <w:rsid w:val="006206E3"/>
    <w:rsid w:val="00621178"/>
    <w:rsid w:val="00623A60"/>
    <w:rsid w:val="0062618C"/>
    <w:rsid w:val="006265BA"/>
    <w:rsid w:val="00626739"/>
    <w:rsid w:val="00630543"/>
    <w:rsid w:val="006305BC"/>
    <w:rsid w:val="0063293F"/>
    <w:rsid w:val="006354A2"/>
    <w:rsid w:val="00635A70"/>
    <w:rsid w:val="00637729"/>
    <w:rsid w:val="00640E22"/>
    <w:rsid w:val="00641E09"/>
    <w:rsid w:val="00643D2D"/>
    <w:rsid w:val="00651C01"/>
    <w:rsid w:val="0065257B"/>
    <w:rsid w:val="0065306A"/>
    <w:rsid w:val="00660543"/>
    <w:rsid w:val="00660552"/>
    <w:rsid w:val="0066160C"/>
    <w:rsid w:val="0066175B"/>
    <w:rsid w:val="00662625"/>
    <w:rsid w:val="006675B3"/>
    <w:rsid w:val="00673064"/>
    <w:rsid w:val="0067354C"/>
    <w:rsid w:val="006759C5"/>
    <w:rsid w:val="0067669E"/>
    <w:rsid w:val="00676B60"/>
    <w:rsid w:val="0068363D"/>
    <w:rsid w:val="006845AF"/>
    <w:rsid w:val="006912B3"/>
    <w:rsid w:val="00691869"/>
    <w:rsid w:val="00692E8D"/>
    <w:rsid w:val="00697620"/>
    <w:rsid w:val="006A076A"/>
    <w:rsid w:val="006A28CE"/>
    <w:rsid w:val="006A28D7"/>
    <w:rsid w:val="006B0548"/>
    <w:rsid w:val="006B3CF0"/>
    <w:rsid w:val="006B7D79"/>
    <w:rsid w:val="006C0D33"/>
    <w:rsid w:val="006D5105"/>
    <w:rsid w:val="006D5598"/>
    <w:rsid w:val="006D5DBC"/>
    <w:rsid w:val="006D7221"/>
    <w:rsid w:val="006E259D"/>
    <w:rsid w:val="006E2A1C"/>
    <w:rsid w:val="006F1047"/>
    <w:rsid w:val="006F171B"/>
    <w:rsid w:val="006F427F"/>
    <w:rsid w:val="006F7071"/>
    <w:rsid w:val="00701712"/>
    <w:rsid w:val="007042DB"/>
    <w:rsid w:val="007058D4"/>
    <w:rsid w:val="00705B3B"/>
    <w:rsid w:val="00706721"/>
    <w:rsid w:val="00713F9D"/>
    <w:rsid w:val="007175ED"/>
    <w:rsid w:val="00717BDD"/>
    <w:rsid w:val="00717D7A"/>
    <w:rsid w:val="0072203A"/>
    <w:rsid w:val="007223C7"/>
    <w:rsid w:val="00725FB6"/>
    <w:rsid w:val="007260E9"/>
    <w:rsid w:val="00726D3F"/>
    <w:rsid w:val="0073162D"/>
    <w:rsid w:val="0073428E"/>
    <w:rsid w:val="0073505A"/>
    <w:rsid w:val="00736285"/>
    <w:rsid w:val="00740E89"/>
    <w:rsid w:val="00742DE1"/>
    <w:rsid w:val="007447BA"/>
    <w:rsid w:val="007463C7"/>
    <w:rsid w:val="007518E0"/>
    <w:rsid w:val="00752FB5"/>
    <w:rsid w:val="007567DB"/>
    <w:rsid w:val="00760EEE"/>
    <w:rsid w:val="0076153F"/>
    <w:rsid w:val="0076295C"/>
    <w:rsid w:val="00764259"/>
    <w:rsid w:val="0076433E"/>
    <w:rsid w:val="007701CB"/>
    <w:rsid w:val="007703E2"/>
    <w:rsid w:val="00771C6A"/>
    <w:rsid w:val="00776660"/>
    <w:rsid w:val="00780F0A"/>
    <w:rsid w:val="0078315F"/>
    <w:rsid w:val="0078363A"/>
    <w:rsid w:val="00790799"/>
    <w:rsid w:val="00793172"/>
    <w:rsid w:val="007960F1"/>
    <w:rsid w:val="007970F7"/>
    <w:rsid w:val="00797F23"/>
    <w:rsid w:val="007A34F6"/>
    <w:rsid w:val="007A6BD9"/>
    <w:rsid w:val="007B0A9F"/>
    <w:rsid w:val="007B19AB"/>
    <w:rsid w:val="007B2E4C"/>
    <w:rsid w:val="007B49C2"/>
    <w:rsid w:val="007C47F6"/>
    <w:rsid w:val="007C5145"/>
    <w:rsid w:val="007C7771"/>
    <w:rsid w:val="007D0F7C"/>
    <w:rsid w:val="007D13C3"/>
    <w:rsid w:val="007D3FD6"/>
    <w:rsid w:val="007D63DC"/>
    <w:rsid w:val="007E09A1"/>
    <w:rsid w:val="007E17BC"/>
    <w:rsid w:val="007E1BB0"/>
    <w:rsid w:val="007E1F3D"/>
    <w:rsid w:val="007E6D5D"/>
    <w:rsid w:val="007E6DCC"/>
    <w:rsid w:val="007F313E"/>
    <w:rsid w:val="007F4396"/>
    <w:rsid w:val="007F4826"/>
    <w:rsid w:val="007F5CF6"/>
    <w:rsid w:val="007F6E3C"/>
    <w:rsid w:val="007F716E"/>
    <w:rsid w:val="00800C48"/>
    <w:rsid w:val="00800C95"/>
    <w:rsid w:val="00802BEB"/>
    <w:rsid w:val="00803687"/>
    <w:rsid w:val="00803983"/>
    <w:rsid w:val="00804A56"/>
    <w:rsid w:val="00812412"/>
    <w:rsid w:val="0081549C"/>
    <w:rsid w:val="00815AB1"/>
    <w:rsid w:val="00816150"/>
    <w:rsid w:val="00820F88"/>
    <w:rsid w:val="00822F05"/>
    <w:rsid w:val="00823013"/>
    <w:rsid w:val="00823850"/>
    <w:rsid w:val="00825229"/>
    <w:rsid w:val="00825563"/>
    <w:rsid w:val="0083098A"/>
    <w:rsid w:val="0083122F"/>
    <w:rsid w:val="0083300E"/>
    <w:rsid w:val="008332A6"/>
    <w:rsid w:val="00834735"/>
    <w:rsid w:val="00837898"/>
    <w:rsid w:val="00841BB1"/>
    <w:rsid w:val="008466FF"/>
    <w:rsid w:val="00850EE0"/>
    <w:rsid w:val="008515FD"/>
    <w:rsid w:val="0085293B"/>
    <w:rsid w:val="00852C60"/>
    <w:rsid w:val="00857387"/>
    <w:rsid w:val="00861836"/>
    <w:rsid w:val="00863144"/>
    <w:rsid w:val="00863944"/>
    <w:rsid w:val="00866413"/>
    <w:rsid w:val="00866A35"/>
    <w:rsid w:val="00866B6B"/>
    <w:rsid w:val="008706A3"/>
    <w:rsid w:val="008710EF"/>
    <w:rsid w:val="00872751"/>
    <w:rsid w:val="00873DF4"/>
    <w:rsid w:val="00874356"/>
    <w:rsid w:val="008765D2"/>
    <w:rsid w:val="00882043"/>
    <w:rsid w:val="008821D2"/>
    <w:rsid w:val="0088670E"/>
    <w:rsid w:val="0088728E"/>
    <w:rsid w:val="00887A08"/>
    <w:rsid w:val="008910C6"/>
    <w:rsid w:val="00893A4B"/>
    <w:rsid w:val="0089634A"/>
    <w:rsid w:val="008A33AE"/>
    <w:rsid w:val="008B30FB"/>
    <w:rsid w:val="008B425B"/>
    <w:rsid w:val="008B53EE"/>
    <w:rsid w:val="008B6B87"/>
    <w:rsid w:val="008C0158"/>
    <w:rsid w:val="008C029C"/>
    <w:rsid w:val="008C1005"/>
    <w:rsid w:val="008C1416"/>
    <w:rsid w:val="008C1FA9"/>
    <w:rsid w:val="008C518A"/>
    <w:rsid w:val="008C695E"/>
    <w:rsid w:val="008C6B73"/>
    <w:rsid w:val="008D0448"/>
    <w:rsid w:val="008D1024"/>
    <w:rsid w:val="008D3E72"/>
    <w:rsid w:val="008D4AF1"/>
    <w:rsid w:val="008D660E"/>
    <w:rsid w:val="008D69AD"/>
    <w:rsid w:val="008E4A5C"/>
    <w:rsid w:val="008E5187"/>
    <w:rsid w:val="008E5ED3"/>
    <w:rsid w:val="008E6847"/>
    <w:rsid w:val="008F069A"/>
    <w:rsid w:val="008F105D"/>
    <w:rsid w:val="008F1B3E"/>
    <w:rsid w:val="008F28C8"/>
    <w:rsid w:val="008F5782"/>
    <w:rsid w:val="008F751E"/>
    <w:rsid w:val="008F771F"/>
    <w:rsid w:val="0090097F"/>
    <w:rsid w:val="00900EB6"/>
    <w:rsid w:val="009017B7"/>
    <w:rsid w:val="00901CEC"/>
    <w:rsid w:val="00901FBA"/>
    <w:rsid w:val="00902868"/>
    <w:rsid w:val="00905342"/>
    <w:rsid w:val="0091738E"/>
    <w:rsid w:val="00921611"/>
    <w:rsid w:val="00922AD0"/>
    <w:rsid w:val="00925698"/>
    <w:rsid w:val="00925F02"/>
    <w:rsid w:val="00926560"/>
    <w:rsid w:val="00926605"/>
    <w:rsid w:val="00934F54"/>
    <w:rsid w:val="00941C56"/>
    <w:rsid w:val="00941CD4"/>
    <w:rsid w:val="00944DD3"/>
    <w:rsid w:val="00956DCE"/>
    <w:rsid w:val="00960238"/>
    <w:rsid w:val="00962939"/>
    <w:rsid w:val="0097245D"/>
    <w:rsid w:val="009734B6"/>
    <w:rsid w:val="00973579"/>
    <w:rsid w:val="009765F5"/>
    <w:rsid w:val="009804EC"/>
    <w:rsid w:val="00984795"/>
    <w:rsid w:val="00984EB6"/>
    <w:rsid w:val="0098513E"/>
    <w:rsid w:val="0098666F"/>
    <w:rsid w:val="009873C8"/>
    <w:rsid w:val="009914EE"/>
    <w:rsid w:val="00993180"/>
    <w:rsid w:val="00993FE2"/>
    <w:rsid w:val="00995F71"/>
    <w:rsid w:val="009971C9"/>
    <w:rsid w:val="009A034D"/>
    <w:rsid w:val="009A176C"/>
    <w:rsid w:val="009A27F9"/>
    <w:rsid w:val="009A62E6"/>
    <w:rsid w:val="009A7D3D"/>
    <w:rsid w:val="009B38D1"/>
    <w:rsid w:val="009B5BB7"/>
    <w:rsid w:val="009B5FCE"/>
    <w:rsid w:val="009C0F12"/>
    <w:rsid w:val="009D3B87"/>
    <w:rsid w:val="009D57D6"/>
    <w:rsid w:val="009E452F"/>
    <w:rsid w:val="009E47BE"/>
    <w:rsid w:val="009F0C5A"/>
    <w:rsid w:val="009F13CC"/>
    <w:rsid w:val="009F219B"/>
    <w:rsid w:val="009F28E0"/>
    <w:rsid w:val="009F4F29"/>
    <w:rsid w:val="009F686F"/>
    <w:rsid w:val="00A0149F"/>
    <w:rsid w:val="00A055B7"/>
    <w:rsid w:val="00A12E9B"/>
    <w:rsid w:val="00A13878"/>
    <w:rsid w:val="00A14564"/>
    <w:rsid w:val="00A15E16"/>
    <w:rsid w:val="00A16000"/>
    <w:rsid w:val="00A16A37"/>
    <w:rsid w:val="00A177A1"/>
    <w:rsid w:val="00A200A1"/>
    <w:rsid w:val="00A216D3"/>
    <w:rsid w:val="00A21DD0"/>
    <w:rsid w:val="00A223B5"/>
    <w:rsid w:val="00A22572"/>
    <w:rsid w:val="00A31F64"/>
    <w:rsid w:val="00A32333"/>
    <w:rsid w:val="00A35E16"/>
    <w:rsid w:val="00A35EC2"/>
    <w:rsid w:val="00A36C1A"/>
    <w:rsid w:val="00A37FAA"/>
    <w:rsid w:val="00A41BDC"/>
    <w:rsid w:val="00A43FC4"/>
    <w:rsid w:val="00A44DBD"/>
    <w:rsid w:val="00A4757E"/>
    <w:rsid w:val="00A50172"/>
    <w:rsid w:val="00A50D52"/>
    <w:rsid w:val="00A54009"/>
    <w:rsid w:val="00A5650C"/>
    <w:rsid w:val="00A60889"/>
    <w:rsid w:val="00A61111"/>
    <w:rsid w:val="00A61D41"/>
    <w:rsid w:val="00A64388"/>
    <w:rsid w:val="00A66226"/>
    <w:rsid w:val="00A67CDF"/>
    <w:rsid w:val="00A67DA7"/>
    <w:rsid w:val="00A769FB"/>
    <w:rsid w:val="00A81A20"/>
    <w:rsid w:val="00A81D85"/>
    <w:rsid w:val="00A82673"/>
    <w:rsid w:val="00A834FF"/>
    <w:rsid w:val="00A8648D"/>
    <w:rsid w:val="00A90950"/>
    <w:rsid w:val="00A912B6"/>
    <w:rsid w:val="00A91742"/>
    <w:rsid w:val="00A91A88"/>
    <w:rsid w:val="00A92446"/>
    <w:rsid w:val="00A92EDA"/>
    <w:rsid w:val="00A941A9"/>
    <w:rsid w:val="00A94DAD"/>
    <w:rsid w:val="00A95A48"/>
    <w:rsid w:val="00A9691E"/>
    <w:rsid w:val="00AA0AEC"/>
    <w:rsid w:val="00AA6617"/>
    <w:rsid w:val="00AA6EDD"/>
    <w:rsid w:val="00AB5082"/>
    <w:rsid w:val="00AB74B1"/>
    <w:rsid w:val="00AC1E97"/>
    <w:rsid w:val="00AC3166"/>
    <w:rsid w:val="00AC5921"/>
    <w:rsid w:val="00AC5D07"/>
    <w:rsid w:val="00AC5D6D"/>
    <w:rsid w:val="00AC6956"/>
    <w:rsid w:val="00AC719A"/>
    <w:rsid w:val="00AC77AD"/>
    <w:rsid w:val="00AD162D"/>
    <w:rsid w:val="00AD17FE"/>
    <w:rsid w:val="00AD32BB"/>
    <w:rsid w:val="00AD3736"/>
    <w:rsid w:val="00AD6603"/>
    <w:rsid w:val="00AE0104"/>
    <w:rsid w:val="00AE34CA"/>
    <w:rsid w:val="00AE4677"/>
    <w:rsid w:val="00AE685C"/>
    <w:rsid w:val="00AE7582"/>
    <w:rsid w:val="00AE7924"/>
    <w:rsid w:val="00AF40F5"/>
    <w:rsid w:val="00AF5D18"/>
    <w:rsid w:val="00B00B7B"/>
    <w:rsid w:val="00B011FD"/>
    <w:rsid w:val="00B01BD3"/>
    <w:rsid w:val="00B0240F"/>
    <w:rsid w:val="00B02AC7"/>
    <w:rsid w:val="00B03CC4"/>
    <w:rsid w:val="00B07349"/>
    <w:rsid w:val="00B11758"/>
    <w:rsid w:val="00B154FE"/>
    <w:rsid w:val="00B17A12"/>
    <w:rsid w:val="00B21D5B"/>
    <w:rsid w:val="00B23848"/>
    <w:rsid w:val="00B24C39"/>
    <w:rsid w:val="00B2756E"/>
    <w:rsid w:val="00B2780C"/>
    <w:rsid w:val="00B27EBB"/>
    <w:rsid w:val="00B310E4"/>
    <w:rsid w:val="00B32B8E"/>
    <w:rsid w:val="00B34E8F"/>
    <w:rsid w:val="00B35262"/>
    <w:rsid w:val="00B37A58"/>
    <w:rsid w:val="00B417A8"/>
    <w:rsid w:val="00B421CB"/>
    <w:rsid w:val="00B4484E"/>
    <w:rsid w:val="00B511C5"/>
    <w:rsid w:val="00B520AA"/>
    <w:rsid w:val="00B6026D"/>
    <w:rsid w:val="00B61F96"/>
    <w:rsid w:val="00B62E2D"/>
    <w:rsid w:val="00B630A1"/>
    <w:rsid w:val="00B63A01"/>
    <w:rsid w:val="00B646AA"/>
    <w:rsid w:val="00B66058"/>
    <w:rsid w:val="00B67F69"/>
    <w:rsid w:val="00B72629"/>
    <w:rsid w:val="00B727AE"/>
    <w:rsid w:val="00B75315"/>
    <w:rsid w:val="00B7534A"/>
    <w:rsid w:val="00B80911"/>
    <w:rsid w:val="00B8363E"/>
    <w:rsid w:val="00B84533"/>
    <w:rsid w:val="00B84914"/>
    <w:rsid w:val="00B866ED"/>
    <w:rsid w:val="00B8690C"/>
    <w:rsid w:val="00B9056F"/>
    <w:rsid w:val="00B9227A"/>
    <w:rsid w:val="00B948E3"/>
    <w:rsid w:val="00B94E62"/>
    <w:rsid w:val="00B9567A"/>
    <w:rsid w:val="00B96923"/>
    <w:rsid w:val="00B96A79"/>
    <w:rsid w:val="00BA0546"/>
    <w:rsid w:val="00BA090E"/>
    <w:rsid w:val="00BA1866"/>
    <w:rsid w:val="00BA2729"/>
    <w:rsid w:val="00BA338F"/>
    <w:rsid w:val="00BA4E79"/>
    <w:rsid w:val="00BA56E6"/>
    <w:rsid w:val="00BB3830"/>
    <w:rsid w:val="00BB5599"/>
    <w:rsid w:val="00BB654B"/>
    <w:rsid w:val="00BB68F6"/>
    <w:rsid w:val="00BC029F"/>
    <w:rsid w:val="00BC24CB"/>
    <w:rsid w:val="00BC3199"/>
    <w:rsid w:val="00BC3C9F"/>
    <w:rsid w:val="00BC6E90"/>
    <w:rsid w:val="00BE0AB2"/>
    <w:rsid w:val="00BE108F"/>
    <w:rsid w:val="00BE1ACD"/>
    <w:rsid w:val="00BE3415"/>
    <w:rsid w:val="00BE6BC3"/>
    <w:rsid w:val="00BF0BE8"/>
    <w:rsid w:val="00BF1814"/>
    <w:rsid w:val="00BF1A80"/>
    <w:rsid w:val="00BF2144"/>
    <w:rsid w:val="00BF2CC2"/>
    <w:rsid w:val="00BF48E5"/>
    <w:rsid w:val="00BF5F1B"/>
    <w:rsid w:val="00C0135A"/>
    <w:rsid w:val="00C03615"/>
    <w:rsid w:val="00C03B0C"/>
    <w:rsid w:val="00C04D0E"/>
    <w:rsid w:val="00C0665C"/>
    <w:rsid w:val="00C06F2C"/>
    <w:rsid w:val="00C1053D"/>
    <w:rsid w:val="00C13635"/>
    <w:rsid w:val="00C13B50"/>
    <w:rsid w:val="00C15487"/>
    <w:rsid w:val="00C158BA"/>
    <w:rsid w:val="00C16998"/>
    <w:rsid w:val="00C17F2E"/>
    <w:rsid w:val="00C20728"/>
    <w:rsid w:val="00C25226"/>
    <w:rsid w:val="00C25958"/>
    <w:rsid w:val="00C306DE"/>
    <w:rsid w:val="00C32AE2"/>
    <w:rsid w:val="00C33331"/>
    <w:rsid w:val="00C335C3"/>
    <w:rsid w:val="00C371B6"/>
    <w:rsid w:val="00C37CF8"/>
    <w:rsid w:val="00C43D16"/>
    <w:rsid w:val="00C453EE"/>
    <w:rsid w:val="00C55771"/>
    <w:rsid w:val="00C55F95"/>
    <w:rsid w:val="00C56F58"/>
    <w:rsid w:val="00C61129"/>
    <w:rsid w:val="00C6139F"/>
    <w:rsid w:val="00C640E9"/>
    <w:rsid w:val="00C70195"/>
    <w:rsid w:val="00C71E7D"/>
    <w:rsid w:val="00C7553C"/>
    <w:rsid w:val="00C757C0"/>
    <w:rsid w:val="00C7758E"/>
    <w:rsid w:val="00C8027B"/>
    <w:rsid w:val="00C85856"/>
    <w:rsid w:val="00C86BA2"/>
    <w:rsid w:val="00C925CC"/>
    <w:rsid w:val="00C94C10"/>
    <w:rsid w:val="00C97018"/>
    <w:rsid w:val="00CA1C4C"/>
    <w:rsid w:val="00CA3253"/>
    <w:rsid w:val="00CB5580"/>
    <w:rsid w:val="00CB679F"/>
    <w:rsid w:val="00CB7520"/>
    <w:rsid w:val="00CC0A1F"/>
    <w:rsid w:val="00CD0946"/>
    <w:rsid w:val="00CD26D5"/>
    <w:rsid w:val="00CD3C23"/>
    <w:rsid w:val="00CD6151"/>
    <w:rsid w:val="00CD6661"/>
    <w:rsid w:val="00CD7FB3"/>
    <w:rsid w:val="00CE00AB"/>
    <w:rsid w:val="00CE1C32"/>
    <w:rsid w:val="00CE6D9A"/>
    <w:rsid w:val="00CE7AE3"/>
    <w:rsid w:val="00CF17DA"/>
    <w:rsid w:val="00CF2EAB"/>
    <w:rsid w:val="00CF40CB"/>
    <w:rsid w:val="00CF7F0E"/>
    <w:rsid w:val="00D003C2"/>
    <w:rsid w:val="00D00CE9"/>
    <w:rsid w:val="00D00EDE"/>
    <w:rsid w:val="00D04C4A"/>
    <w:rsid w:val="00D05F18"/>
    <w:rsid w:val="00D102E0"/>
    <w:rsid w:val="00D112AB"/>
    <w:rsid w:val="00D11D9C"/>
    <w:rsid w:val="00D12C6B"/>
    <w:rsid w:val="00D1669C"/>
    <w:rsid w:val="00D208DC"/>
    <w:rsid w:val="00D21246"/>
    <w:rsid w:val="00D21A21"/>
    <w:rsid w:val="00D226E8"/>
    <w:rsid w:val="00D233A1"/>
    <w:rsid w:val="00D2495D"/>
    <w:rsid w:val="00D401F9"/>
    <w:rsid w:val="00D40D1D"/>
    <w:rsid w:val="00D447EA"/>
    <w:rsid w:val="00D51E7E"/>
    <w:rsid w:val="00D559A2"/>
    <w:rsid w:val="00D56311"/>
    <w:rsid w:val="00D6076E"/>
    <w:rsid w:val="00D61AD4"/>
    <w:rsid w:val="00D61FDD"/>
    <w:rsid w:val="00D64119"/>
    <w:rsid w:val="00D727F8"/>
    <w:rsid w:val="00D72819"/>
    <w:rsid w:val="00D72AE2"/>
    <w:rsid w:val="00D75BB4"/>
    <w:rsid w:val="00D771E0"/>
    <w:rsid w:val="00DA0A26"/>
    <w:rsid w:val="00DA128E"/>
    <w:rsid w:val="00DA1530"/>
    <w:rsid w:val="00DA15CB"/>
    <w:rsid w:val="00DA182F"/>
    <w:rsid w:val="00DA3C42"/>
    <w:rsid w:val="00DA3F5E"/>
    <w:rsid w:val="00DA610B"/>
    <w:rsid w:val="00DA6D79"/>
    <w:rsid w:val="00DA7512"/>
    <w:rsid w:val="00DB19DA"/>
    <w:rsid w:val="00DB2831"/>
    <w:rsid w:val="00DC159C"/>
    <w:rsid w:val="00DC3893"/>
    <w:rsid w:val="00DC616D"/>
    <w:rsid w:val="00DC79AE"/>
    <w:rsid w:val="00DD09CD"/>
    <w:rsid w:val="00DD2343"/>
    <w:rsid w:val="00DD7C2B"/>
    <w:rsid w:val="00DE2282"/>
    <w:rsid w:val="00DE2D7E"/>
    <w:rsid w:val="00DE3E42"/>
    <w:rsid w:val="00DE3F16"/>
    <w:rsid w:val="00DE4F21"/>
    <w:rsid w:val="00DE60A0"/>
    <w:rsid w:val="00DE6CEB"/>
    <w:rsid w:val="00DF0299"/>
    <w:rsid w:val="00DF5A21"/>
    <w:rsid w:val="00DF6843"/>
    <w:rsid w:val="00E000BF"/>
    <w:rsid w:val="00E025E6"/>
    <w:rsid w:val="00E0320A"/>
    <w:rsid w:val="00E07676"/>
    <w:rsid w:val="00E142FD"/>
    <w:rsid w:val="00E1497E"/>
    <w:rsid w:val="00E212F1"/>
    <w:rsid w:val="00E227AF"/>
    <w:rsid w:val="00E23B06"/>
    <w:rsid w:val="00E27B41"/>
    <w:rsid w:val="00E31D8B"/>
    <w:rsid w:val="00E34C89"/>
    <w:rsid w:val="00E36E9A"/>
    <w:rsid w:val="00E37126"/>
    <w:rsid w:val="00E3712C"/>
    <w:rsid w:val="00E437E3"/>
    <w:rsid w:val="00E47BC3"/>
    <w:rsid w:val="00E5094B"/>
    <w:rsid w:val="00E50FFA"/>
    <w:rsid w:val="00E52BEA"/>
    <w:rsid w:val="00E54203"/>
    <w:rsid w:val="00E5697B"/>
    <w:rsid w:val="00E63D38"/>
    <w:rsid w:val="00E63D87"/>
    <w:rsid w:val="00E64885"/>
    <w:rsid w:val="00E66C54"/>
    <w:rsid w:val="00E709FC"/>
    <w:rsid w:val="00E7668D"/>
    <w:rsid w:val="00E77A76"/>
    <w:rsid w:val="00E81BB2"/>
    <w:rsid w:val="00E822A1"/>
    <w:rsid w:val="00E851FF"/>
    <w:rsid w:val="00E878F5"/>
    <w:rsid w:val="00E87E81"/>
    <w:rsid w:val="00E9158B"/>
    <w:rsid w:val="00E940FA"/>
    <w:rsid w:val="00EA0A49"/>
    <w:rsid w:val="00EA36AC"/>
    <w:rsid w:val="00EA3EA6"/>
    <w:rsid w:val="00EA402F"/>
    <w:rsid w:val="00EA760A"/>
    <w:rsid w:val="00EB618B"/>
    <w:rsid w:val="00EC2F6C"/>
    <w:rsid w:val="00EC31D6"/>
    <w:rsid w:val="00EC59E8"/>
    <w:rsid w:val="00EC70BD"/>
    <w:rsid w:val="00ED215E"/>
    <w:rsid w:val="00ED291D"/>
    <w:rsid w:val="00ED2D36"/>
    <w:rsid w:val="00ED4855"/>
    <w:rsid w:val="00ED5A41"/>
    <w:rsid w:val="00EE383C"/>
    <w:rsid w:val="00EE3F70"/>
    <w:rsid w:val="00EE5E48"/>
    <w:rsid w:val="00EE6209"/>
    <w:rsid w:val="00EE7741"/>
    <w:rsid w:val="00EF2C4D"/>
    <w:rsid w:val="00EF416A"/>
    <w:rsid w:val="00EF698B"/>
    <w:rsid w:val="00EF72DC"/>
    <w:rsid w:val="00F02180"/>
    <w:rsid w:val="00F0713D"/>
    <w:rsid w:val="00F07D42"/>
    <w:rsid w:val="00F11FAA"/>
    <w:rsid w:val="00F12448"/>
    <w:rsid w:val="00F13A52"/>
    <w:rsid w:val="00F21675"/>
    <w:rsid w:val="00F31C24"/>
    <w:rsid w:val="00F3281F"/>
    <w:rsid w:val="00F43B4F"/>
    <w:rsid w:val="00F46A82"/>
    <w:rsid w:val="00F517D8"/>
    <w:rsid w:val="00F53E55"/>
    <w:rsid w:val="00F54359"/>
    <w:rsid w:val="00F543DA"/>
    <w:rsid w:val="00F54A6D"/>
    <w:rsid w:val="00F56379"/>
    <w:rsid w:val="00F57006"/>
    <w:rsid w:val="00F57E15"/>
    <w:rsid w:val="00F63E79"/>
    <w:rsid w:val="00F63E85"/>
    <w:rsid w:val="00F64A7C"/>
    <w:rsid w:val="00F650BF"/>
    <w:rsid w:val="00F7192D"/>
    <w:rsid w:val="00F71A4F"/>
    <w:rsid w:val="00F733AC"/>
    <w:rsid w:val="00F74735"/>
    <w:rsid w:val="00F7712F"/>
    <w:rsid w:val="00F8006E"/>
    <w:rsid w:val="00F804F6"/>
    <w:rsid w:val="00F923E5"/>
    <w:rsid w:val="00F92CCA"/>
    <w:rsid w:val="00F930B3"/>
    <w:rsid w:val="00F93911"/>
    <w:rsid w:val="00F9406D"/>
    <w:rsid w:val="00F9491A"/>
    <w:rsid w:val="00F95353"/>
    <w:rsid w:val="00F95A12"/>
    <w:rsid w:val="00F95F9E"/>
    <w:rsid w:val="00FA1741"/>
    <w:rsid w:val="00FA454B"/>
    <w:rsid w:val="00FA485A"/>
    <w:rsid w:val="00FA4A4D"/>
    <w:rsid w:val="00FA54EB"/>
    <w:rsid w:val="00FA6852"/>
    <w:rsid w:val="00FB02D1"/>
    <w:rsid w:val="00FB24B0"/>
    <w:rsid w:val="00FB662B"/>
    <w:rsid w:val="00FC49CF"/>
    <w:rsid w:val="00FC58E2"/>
    <w:rsid w:val="00FD4BFF"/>
    <w:rsid w:val="00FD6BF6"/>
    <w:rsid w:val="00FE4CF5"/>
    <w:rsid w:val="00FE5819"/>
    <w:rsid w:val="00FE6774"/>
    <w:rsid w:val="00FE681B"/>
    <w:rsid w:val="00FF3EF2"/>
    <w:rsid w:val="00FF4AFF"/>
    <w:rsid w:val="00FF799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7E400FF"/>
  <w15:docId w15:val="{9EE0B6AE-9E40-47E4-9B21-C40DD43FDC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AC1E97"/>
    <w:pPr>
      <w:spacing w:after="120" w:line="240" w:lineRule="auto"/>
      <w:jc w:val="both"/>
    </w:pPr>
    <w:rPr>
      <w:lang w:val="en-GB"/>
    </w:rPr>
  </w:style>
  <w:style w:type="paragraph" w:styleId="Nadpis1">
    <w:name w:val="heading 1"/>
    <w:basedOn w:val="Normln"/>
    <w:next w:val="Normln"/>
    <w:link w:val="Nadpis1Char"/>
    <w:uiPriority w:val="9"/>
    <w:qFormat/>
    <w:rsid w:val="0098666F"/>
    <w:pPr>
      <w:keepNext/>
      <w:keepLines/>
      <w:spacing w:before="240"/>
      <w:outlineLvl w:val="0"/>
    </w:pPr>
    <w:rPr>
      <w:rFonts w:ascii="Times New Roman" w:eastAsiaTheme="majorEastAsia" w:hAnsi="Times New Roman" w:cstheme="majorBidi"/>
      <w:b/>
      <w:bCs/>
      <w:szCs w:val="24"/>
    </w:rPr>
  </w:style>
  <w:style w:type="paragraph" w:styleId="Nadpis2">
    <w:name w:val="heading 2"/>
    <w:basedOn w:val="Normln"/>
    <w:next w:val="Normln"/>
    <w:link w:val="Nadpis2Char"/>
    <w:uiPriority w:val="9"/>
    <w:unhideWhenUsed/>
    <w:qFormat/>
    <w:rsid w:val="00393F39"/>
    <w:pPr>
      <w:keepNext/>
      <w:keepLines/>
      <w:spacing w:before="200"/>
      <w:outlineLvl w:val="1"/>
    </w:pPr>
    <w:rPr>
      <w:rFonts w:ascii="Garamond" w:eastAsiaTheme="majorEastAsia" w:hAnsi="Garamond" w:cstheme="majorBidi"/>
      <w:b/>
      <w:bCs/>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98666F"/>
    <w:rPr>
      <w:rFonts w:ascii="Times New Roman" w:eastAsiaTheme="majorEastAsia" w:hAnsi="Times New Roman" w:cstheme="majorBidi"/>
      <w:b/>
      <w:bCs/>
      <w:szCs w:val="24"/>
      <w:lang w:val="en-GB"/>
    </w:rPr>
  </w:style>
  <w:style w:type="character" w:styleId="Hypertextovodkaz">
    <w:name w:val="Hyperlink"/>
    <w:basedOn w:val="Standardnpsmoodstavce"/>
    <w:uiPriority w:val="99"/>
    <w:unhideWhenUsed/>
    <w:rsid w:val="00077483"/>
    <w:rPr>
      <w:color w:val="0000FF" w:themeColor="hyperlink"/>
      <w:u w:val="single"/>
    </w:rPr>
  </w:style>
  <w:style w:type="paragraph" w:styleId="Titulek">
    <w:name w:val="caption"/>
    <w:basedOn w:val="Normln"/>
    <w:next w:val="Normln"/>
    <w:uiPriority w:val="35"/>
    <w:unhideWhenUsed/>
    <w:qFormat/>
    <w:rsid w:val="0008255C"/>
    <w:rPr>
      <w:b/>
      <w:bCs/>
      <w:color w:val="4F81BD" w:themeColor="accent1"/>
      <w:sz w:val="18"/>
      <w:szCs w:val="18"/>
    </w:rPr>
  </w:style>
  <w:style w:type="table" w:styleId="Svtlstnovn">
    <w:name w:val="Light Shading"/>
    <w:basedOn w:val="Normlntabulka"/>
    <w:uiPriority w:val="60"/>
    <w:rsid w:val="0062673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06HEADING2nd">
    <w:name w:val="06_HEADING_2nd"/>
    <w:basedOn w:val="Normln"/>
    <w:rsid w:val="00626739"/>
    <w:pPr>
      <w:keepNext/>
      <w:keepLines/>
      <w:spacing w:before="120"/>
    </w:pPr>
    <w:rPr>
      <w:rFonts w:ascii="Times New Roman" w:eastAsia="Times New Roman" w:hAnsi="Times New Roman" w:cs="Times New Roman"/>
      <w:b/>
      <w:sz w:val="21"/>
      <w:lang w:val="en-US" w:bidi="en-US"/>
    </w:rPr>
  </w:style>
  <w:style w:type="character" w:customStyle="1" w:styleId="Nadpis2Char">
    <w:name w:val="Nadpis 2 Char"/>
    <w:basedOn w:val="Standardnpsmoodstavce"/>
    <w:link w:val="Nadpis2"/>
    <w:uiPriority w:val="9"/>
    <w:rsid w:val="00393F39"/>
    <w:rPr>
      <w:rFonts w:ascii="Garamond" w:eastAsiaTheme="majorEastAsia" w:hAnsi="Garamond" w:cstheme="majorBidi"/>
      <w:b/>
      <w:bCs/>
      <w:sz w:val="24"/>
      <w:szCs w:val="24"/>
      <w:lang w:val="en-GB"/>
    </w:rPr>
  </w:style>
  <w:style w:type="paragraph" w:customStyle="1" w:styleId="07PARAGRAPH">
    <w:name w:val="07_PARAGRAPH"/>
    <w:basedOn w:val="Normln"/>
    <w:rsid w:val="003728B5"/>
    <w:pPr>
      <w:widowControl w:val="0"/>
      <w:autoSpaceDE w:val="0"/>
      <w:autoSpaceDN w:val="0"/>
      <w:adjustRightInd w:val="0"/>
      <w:spacing w:after="0"/>
      <w:ind w:firstLine="425"/>
      <w:textAlignment w:val="center"/>
    </w:pPr>
    <w:rPr>
      <w:rFonts w:ascii="Times New Roman" w:eastAsia="Times New Roman" w:hAnsi="Times New Roman" w:cs="Times New Roman"/>
      <w:sz w:val="20"/>
      <w:szCs w:val="21"/>
    </w:rPr>
  </w:style>
  <w:style w:type="paragraph" w:customStyle="1" w:styleId="07PARAGRAPH1st">
    <w:name w:val="07_PARAGRAPH_1st"/>
    <w:basedOn w:val="Normln"/>
    <w:link w:val="07PARAGRAPH1stChar"/>
    <w:rsid w:val="00415DF4"/>
    <w:pPr>
      <w:widowControl w:val="0"/>
      <w:autoSpaceDE w:val="0"/>
      <w:autoSpaceDN w:val="0"/>
      <w:adjustRightInd w:val="0"/>
      <w:spacing w:after="0"/>
      <w:textAlignment w:val="center"/>
    </w:pPr>
    <w:rPr>
      <w:rFonts w:ascii="Times New Roman" w:eastAsia="Times New Roman" w:hAnsi="Times New Roman" w:cs="Times New Roman"/>
      <w:color w:val="000000"/>
      <w:sz w:val="20"/>
      <w:szCs w:val="21"/>
    </w:rPr>
  </w:style>
  <w:style w:type="character" w:customStyle="1" w:styleId="07PARAGRAPH1stChar">
    <w:name w:val="07_PARAGRAPH_1st Char"/>
    <w:basedOn w:val="Standardnpsmoodstavce"/>
    <w:link w:val="07PARAGRAPH1st"/>
    <w:rsid w:val="00415DF4"/>
    <w:rPr>
      <w:rFonts w:ascii="Times New Roman" w:eastAsia="Times New Roman" w:hAnsi="Times New Roman" w:cs="Times New Roman"/>
      <w:color w:val="000000"/>
      <w:sz w:val="20"/>
      <w:szCs w:val="21"/>
      <w:lang w:val="en-GB"/>
    </w:rPr>
  </w:style>
  <w:style w:type="paragraph" w:styleId="Odstavecseseznamem">
    <w:name w:val="List Paragraph"/>
    <w:basedOn w:val="Normln"/>
    <w:uiPriority w:val="34"/>
    <w:qFormat/>
    <w:rsid w:val="00D003C2"/>
    <w:pPr>
      <w:ind w:left="720"/>
      <w:contextualSpacing/>
    </w:pPr>
  </w:style>
  <w:style w:type="paragraph" w:styleId="Textbubliny">
    <w:name w:val="Balloon Text"/>
    <w:basedOn w:val="Normln"/>
    <w:link w:val="TextbublinyChar"/>
    <w:uiPriority w:val="99"/>
    <w:semiHidden/>
    <w:unhideWhenUsed/>
    <w:rsid w:val="007F313E"/>
    <w:pPr>
      <w:spacing w:after="0"/>
    </w:pPr>
    <w:rPr>
      <w:rFonts w:ascii="Tahoma" w:hAnsi="Tahoma" w:cs="Tahoma"/>
      <w:sz w:val="16"/>
      <w:szCs w:val="16"/>
    </w:rPr>
  </w:style>
  <w:style w:type="character" w:customStyle="1" w:styleId="TextbublinyChar">
    <w:name w:val="Text bubliny Char"/>
    <w:basedOn w:val="Standardnpsmoodstavce"/>
    <w:link w:val="Textbubliny"/>
    <w:uiPriority w:val="99"/>
    <w:semiHidden/>
    <w:rsid w:val="007F313E"/>
    <w:rPr>
      <w:rFonts w:ascii="Tahoma" w:hAnsi="Tahoma" w:cs="Tahoma"/>
      <w:sz w:val="16"/>
      <w:szCs w:val="16"/>
      <w:lang w:val="en-GB"/>
    </w:rPr>
  </w:style>
  <w:style w:type="paragraph" w:styleId="Textpoznpodarou">
    <w:name w:val="footnote text"/>
    <w:basedOn w:val="Normln"/>
    <w:link w:val="TextpoznpodarouChar"/>
    <w:uiPriority w:val="99"/>
    <w:semiHidden/>
    <w:unhideWhenUsed/>
    <w:rsid w:val="00F13A52"/>
    <w:pPr>
      <w:spacing w:after="0"/>
    </w:pPr>
    <w:rPr>
      <w:sz w:val="20"/>
      <w:szCs w:val="20"/>
    </w:rPr>
  </w:style>
  <w:style w:type="character" w:customStyle="1" w:styleId="TextpoznpodarouChar">
    <w:name w:val="Text pozn. pod čarou Char"/>
    <w:basedOn w:val="Standardnpsmoodstavce"/>
    <w:link w:val="Textpoznpodarou"/>
    <w:uiPriority w:val="99"/>
    <w:semiHidden/>
    <w:rsid w:val="00F13A52"/>
    <w:rPr>
      <w:sz w:val="20"/>
      <w:szCs w:val="20"/>
      <w:lang w:val="en-GB"/>
    </w:rPr>
  </w:style>
  <w:style w:type="character" w:styleId="Znakapoznpodarou">
    <w:name w:val="footnote reference"/>
    <w:basedOn w:val="Standardnpsmoodstavce"/>
    <w:uiPriority w:val="99"/>
    <w:semiHidden/>
    <w:unhideWhenUsed/>
    <w:rsid w:val="00F13A52"/>
    <w:rPr>
      <w:vertAlign w:val="superscript"/>
    </w:rPr>
  </w:style>
  <w:style w:type="character" w:styleId="Odkaznavysvtlivky">
    <w:name w:val="endnote reference"/>
    <w:basedOn w:val="Standardnpsmoodstavce"/>
    <w:uiPriority w:val="99"/>
    <w:semiHidden/>
    <w:unhideWhenUsed/>
    <w:rsid w:val="00412F28"/>
    <w:rPr>
      <w:vertAlign w:val="superscript"/>
    </w:rPr>
  </w:style>
  <w:style w:type="character" w:styleId="Odkaznakoment">
    <w:name w:val="annotation reference"/>
    <w:basedOn w:val="Standardnpsmoodstavce"/>
    <w:uiPriority w:val="99"/>
    <w:semiHidden/>
    <w:unhideWhenUsed/>
    <w:rsid w:val="00393F39"/>
    <w:rPr>
      <w:sz w:val="16"/>
      <w:szCs w:val="16"/>
    </w:rPr>
  </w:style>
  <w:style w:type="paragraph" w:styleId="Textkomente">
    <w:name w:val="annotation text"/>
    <w:basedOn w:val="Normln"/>
    <w:link w:val="TextkomenteChar"/>
    <w:uiPriority w:val="99"/>
    <w:unhideWhenUsed/>
    <w:rsid w:val="00393F39"/>
    <w:rPr>
      <w:sz w:val="20"/>
      <w:szCs w:val="20"/>
    </w:rPr>
  </w:style>
  <w:style w:type="character" w:customStyle="1" w:styleId="TextkomenteChar">
    <w:name w:val="Text komentáře Char"/>
    <w:basedOn w:val="Standardnpsmoodstavce"/>
    <w:link w:val="Textkomente"/>
    <w:uiPriority w:val="99"/>
    <w:rsid w:val="00393F39"/>
    <w:rPr>
      <w:sz w:val="20"/>
      <w:szCs w:val="20"/>
      <w:lang w:val="en-GB"/>
    </w:rPr>
  </w:style>
  <w:style w:type="paragraph" w:styleId="Pedmtkomente">
    <w:name w:val="annotation subject"/>
    <w:basedOn w:val="Textkomente"/>
    <w:next w:val="Textkomente"/>
    <w:link w:val="PedmtkomenteChar"/>
    <w:uiPriority w:val="99"/>
    <w:semiHidden/>
    <w:unhideWhenUsed/>
    <w:rsid w:val="00393F39"/>
    <w:rPr>
      <w:b/>
      <w:bCs/>
    </w:rPr>
  </w:style>
  <w:style w:type="character" w:customStyle="1" w:styleId="PedmtkomenteChar">
    <w:name w:val="Předmět komentáře Char"/>
    <w:basedOn w:val="TextkomenteChar"/>
    <w:link w:val="Pedmtkomente"/>
    <w:uiPriority w:val="99"/>
    <w:semiHidden/>
    <w:rsid w:val="00393F39"/>
    <w:rPr>
      <w:b/>
      <w:bCs/>
      <w:sz w:val="20"/>
      <w:szCs w:val="20"/>
      <w:lang w:val="en-GB"/>
    </w:rPr>
  </w:style>
  <w:style w:type="table" w:styleId="Mkatabulky">
    <w:name w:val="Table Grid"/>
    <w:basedOn w:val="Normlntabulka"/>
    <w:uiPriority w:val="59"/>
    <w:rsid w:val="00ED2D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F12448"/>
    <w:pPr>
      <w:tabs>
        <w:tab w:val="center" w:pos="4513"/>
        <w:tab w:val="right" w:pos="9026"/>
      </w:tabs>
      <w:spacing w:after="0"/>
    </w:pPr>
  </w:style>
  <w:style w:type="character" w:customStyle="1" w:styleId="ZhlavChar">
    <w:name w:val="Záhlaví Char"/>
    <w:basedOn w:val="Standardnpsmoodstavce"/>
    <w:link w:val="Zhlav"/>
    <w:uiPriority w:val="99"/>
    <w:rsid w:val="00F12448"/>
    <w:rPr>
      <w:lang w:val="en-GB"/>
    </w:rPr>
  </w:style>
  <w:style w:type="paragraph" w:styleId="Zpat">
    <w:name w:val="footer"/>
    <w:basedOn w:val="Normln"/>
    <w:link w:val="ZpatChar"/>
    <w:uiPriority w:val="99"/>
    <w:unhideWhenUsed/>
    <w:rsid w:val="00F12448"/>
    <w:pPr>
      <w:tabs>
        <w:tab w:val="center" w:pos="4513"/>
        <w:tab w:val="right" w:pos="9026"/>
      </w:tabs>
      <w:spacing w:after="0"/>
    </w:pPr>
  </w:style>
  <w:style w:type="character" w:customStyle="1" w:styleId="ZpatChar">
    <w:name w:val="Zápatí Char"/>
    <w:basedOn w:val="Standardnpsmoodstavce"/>
    <w:link w:val="Zpat"/>
    <w:uiPriority w:val="99"/>
    <w:rsid w:val="00F12448"/>
    <w:rPr>
      <w:lang w:val="en-GB"/>
    </w:rPr>
  </w:style>
  <w:style w:type="character" w:styleId="Sledovanodkaz">
    <w:name w:val="FollowedHyperlink"/>
    <w:basedOn w:val="Standardnpsmoodstavce"/>
    <w:uiPriority w:val="99"/>
    <w:semiHidden/>
    <w:unhideWhenUsed/>
    <w:rsid w:val="00311E7F"/>
    <w:rPr>
      <w:color w:val="800080" w:themeColor="followedHyperlink"/>
      <w:u w:val="single"/>
    </w:rPr>
  </w:style>
  <w:style w:type="paragraph" w:styleId="Normlnweb">
    <w:name w:val="Normal (Web)"/>
    <w:basedOn w:val="Normln"/>
    <w:uiPriority w:val="99"/>
    <w:semiHidden/>
    <w:unhideWhenUsed/>
    <w:rsid w:val="00301246"/>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570">
      <w:bodyDiv w:val="1"/>
      <w:marLeft w:val="0"/>
      <w:marRight w:val="0"/>
      <w:marTop w:val="0"/>
      <w:marBottom w:val="0"/>
      <w:divBdr>
        <w:top w:val="none" w:sz="0" w:space="0" w:color="auto"/>
        <w:left w:val="none" w:sz="0" w:space="0" w:color="auto"/>
        <w:bottom w:val="none" w:sz="0" w:space="0" w:color="auto"/>
        <w:right w:val="none" w:sz="0" w:space="0" w:color="auto"/>
      </w:divBdr>
    </w:div>
    <w:div w:id="261423399">
      <w:bodyDiv w:val="1"/>
      <w:marLeft w:val="0"/>
      <w:marRight w:val="0"/>
      <w:marTop w:val="0"/>
      <w:marBottom w:val="0"/>
      <w:divBdr>
        <w:top w:val="none" w:sz="0" w:space="0" w:color="auto"/>
        <w:left w:val="none" w:sz="0" w:space="0" w:color="auto"/>
        <w:bottom w:val="none" w:sz="0" w:space="0" w:color="auto"/>
        <w:right w:val="none" w:sz="0" w:space="0" w:color="auto"/>
      </w:divBdr>
    </w:div>
    <w:div w:id="847601570">
      <w:bodyDiv w:val="1"/>
      <w:marLeft w:val="0"/>
      <w:marRight w:val="0"/>
      <w:marTop w:val="0"/>
      <w:marBottom w:val="0"/>
      <w:divBdr>
        <w:top w:val="none" w:sz="0" w:space="0" w:color="auto"/>
        <w:left w:val="none" w:sz="0" w:space="0" w:color="auto"/>
        <w:bottom w:val="none" w:sz="0" w:space="0" w:color="auto"/>
        <w:right w:val="none" w:sz="0" w:space="0" w:color="auto"/>
      </w:divBdr>
    </w:div>
    <w:div w:id="1018190973">
      <w:bodyDiv w:val="1"/>
      <w:marLeft w:val="0"/>
      <w:marRight w:val="0"/>
      <w:marTop w:val="0"/>
      <w:marBottom w:val="0"/>
      <w:divBdr>
        <w:top w:val="none" w:sz="0" w:space="0" w:color="auto"/>
        <w:left w:val="none" w:sz="0" w:space="0" w:color="auto"/>
        <w:bottom w:val="none" w:sz="0" w:space="0" w:color="auto"/>
        <w:right w:val="none" w:sz="0" w:space="0" w:color="auto"/>
      </w:divBdr>
      <w:divsChild>
        <w:div w:id="608313046">
          <w:marLeft w:val="0"/>
          <w:marRight w:val="0"/>
          <w:marTop w:val="0"/>
          <w:marBottom w:val="0"/>
          <w:divBdr>
            <w:top w:val="none" w:sz="0" w:space="0" w:color="auto"/>
            <w:left w:val="none" w:sz="0" w:space="0" w:color="auto"/>
            <w:bottom w:val="none" w:sz="0" w:space="0" w:color="auto"/>
            <w:right w:val="none" w:sz="0" w:space="0" w:color="auto"/>
          </w:divBdr>
        </w:div>
        <w:div w:id="86926728">
          <w:marLeft w:val="0"/>
          <w:marRight w:val="0"/>
          <w:marTop w:val="0"/>
          <w:marBottom w:val="0"/>
          <w:divBdr>
            <w:top w:val="none" w:sz="0" w:space="0" w:color="auto"/>
            <w:left w:val="none" w:sz="0" w:space="0" w:color="auto"/>
            <w:bottom w:val="none" w:sz="0" w:space="0" w:color="auto"/>
            <w:right w:val="none" w:sz="0" w:space="0" w:color="auto"/>
          </w:divBdr>
        </w:div>
      </w:divsChild>
    </w:div>
    <w:div w:id="1171917363">
      <w:bodyDiv w:val="1"/>
      <w:marLeft w:val="0"/>
      <w:marRight w:val="0"/>
      <w:marTop w:val="0"/>
      <w:marBottom w:val="0"/>
      <w:divBdr>
        <w:top w:val="none" w:sz="0" w:space="0" w:color="auto"/>
        <w:left w:val="none" w:sz="0" w:space="0" w:color="auto"/>
        <w:bottom w:val="none" w:sz="0" w:space="0" w:color="auto"/>
        <w:right w:val="none" w:sz="0" w:space="0" w:color="auto"/>
      </w:divBdr>
    </w:div>
    <w:div w:id="1177497956">
      <w:bodyDiv w:val="1"/>
      <w:marLeft w:val="0"/>
      <w:marRight w:val="0"/>
      <w:marTop w:val="0"/>
      <w:marBottom w:val="0"/>
      <w:divBdr>
        <w:top w:val="none" w:sz="0" w:space="0" w:color="auto"/>
        <w:left w:val="none" w:sz="0" w:space="0" w:color="auto"/>
        <w:bottom w:val="none" w:sz="0" w:space="0" w:color="auto"/>
        <w:right w:val="none" w:sz="0" w:space="0" w:color="auto"/>
      </w:divBdr>
    </w:div>
    <w:div w:id="1212375869">
      <w:bodyDiv w:val="1"/>
      <w:marLeft w:val="0"/>
      <w:marRight w:val="0"/>
      <w:marTop w:val="0"/>
      <w:marBottom w:val="0"/>
      <w:divBdr>
        <w:top w:val="none" w:sz="0" w:space="0" w:color="auto"/>
        <w:left w:val="none" w:sz="0" w:space="0" w:color="auto"/>
        <w:bottom w:val="none" w:sz="0" w:space="0" w:color="auto"/>
        <w:right w:val="none" w:sz="0" w:space="0" w:color="auto"/>
      </w:divBdr>
    </w:div>
    <w:div w:id="1441487894">
      <w:bodyDiv w:val="1"/>
      <w:marLeft w:val="0"/>
      <w:marRight w:val="0"/>
      <w:marTop w:val="0"/>
      <w:marBottom w:val="0"/>
      <w:divBdr>
        <w:top w:val="none" w:sz="0" w:space="0" w:color="auto"/>
        <w:left w:val="none" w:sz="0" w:space="0" w:color="auto"/>
        <w:bottom w:val="none" w:sz="0" w:space="0" w:color="auto"/>
        <w:right w:val="none" w:sz="0" w:space="0" w:color="auto"/>
      </w:divBdr>
    </w:div>
    <w:div w:id="1484545817">
      <w:bodyDiv w:val="1"/>
      <w:marLeft w:val="0"/>
      <w:marRight w:val="0"/>
      <w:marTop w:val="0"/>
      <w:marBottom w:val="0"/>
      <w:divBdr>
        <w:top w:val="none" w:sz="0" w:space="0" w:color="auto"/>
        <w:left w:val="none" w:sz="0" w:space="0" w:color="auto"/>
        <w:bottom w:val="none" w:sz="0" w:space="0" w:color="auto"/>
        <w:right w:val="none" w:sz="0" w:space="0" w:color="auto"/>
      </w:divBdr>
    </w:div>
    <w:div w:id="1598714105">
      <w:bodyDiv w:val="1"/>
      <w:marLeft w:val="0"/>
      <w:marRight w:val="0"/>
      <w:marTop w:val="0"/>
      <w:marBottom w:val="0"/>
      <w:divBdr>
        <w:top w:val="none" w:sz="0" w:space="0" w:color="auto"/>
        <w:left w:val="none" w:sz="0" w:space="0" w:color="auto"/>
        <w:bottom w:val="none" w:sz="0" w:space="0" w:color="auto"/>
        <w:right w:val="none" w:sz="0" w:space="0" w:color="auto"/>
      </w:divBdr>
    </w:div>
    <w:div w:id="1613243514">
      <w:bodyDiv w:val="1"/>
      <w:marLeft w:val="0"/>
      <w:marRight w:val="0"/>
      <w:marTop w:val="0"/>
      <w:marBottom w:val="0"/>
      <w:divBdr>
        <w:top w:val="none" w:sz="0" w:space="0" w:color="auto"/>
        <w:left w:val="none" w:sz="0" w:space="0" w:color="auto"/>
        <w:bottom w:val="none" w:sz="0" w:space="0" w:color="auto"/>
        <w:right w:val="none" w:sz="0" w:space="0" w:color="auto"/>
      </w:divBdr>
    </w:div>
    <w:div w:id="1731348782">
      <w:bodyDiv w:val="1"/>
      <w:marLeft w:val="0"/>
      <w:marRight w:val="0"/>
      <w:marTop w:val="0"/>
      <w:marBottom w:val="0"/>
      <w:divBdr>
        <w:top w:val="none" w:sz="0" w:space="0" w:color="auto"/>
        <w:left w:val="none" w:sz="0" w:space="0" w:color="auto"/>
        <w:bottom w:val="none" w:sz="0" w:space="0" w:color="auto"/>
        <w:right w:val="none" w:sz="0" w:space="0" w:color="auto"/>
      </w:divBdr>
    </w:div>
    <w:div w:id="1747258999">
      <w:bodyDiv w:val="1"/>
      <w:marLeft w:val="0"/>
      <w:marRight w:val="0"/>
      <w:marTop w:val="0"/>
      <w:marBottom w:val="0"/>
      <w:divBdr>
        <w:top w:val="none" w:sz="0" w:space="0" w:color="auto"/>
        <w:left w:val="none" w:sz="0" w:space="0" w:color="auto"/>
        <w:bottom w:val="none" w:sz="0" w:space="0" w:color="auto"/>
        <w:right w:val="none" w:sz="0" w:space="0" w:color="auto"/>
      </w:divBdr>
    </w:div>
    <w:div w:id="1765491805">
      <w:bodyDiv w:val="1"/>
      <w:marLeft w:val="0"/>
      <w:marRight w:val="0"/>
      <w:marTop w:val="0"/>
      <w:marBottom w:val="0"/>
      <w:divBdr>
        <w:top w:val="none" w:sz="0" w:space="0" w:color="auto"/>
        <w:left w:val="none" w:sz="0" w:space="0" w:color="auto"/>
        <w:bottom w:val="none" w:sz="0" w:space="0" w:color="auto"/>
        <w:right w:val="none" w:sz="0" w:space="0" w:color="auto"/>
      </w:divBdr>
    </w:div>
    <w:div w:id="1765957729">
      <w:bodyDiv w:val="1"/>
      <w:marLeft w:val="0"/>
      <w:marRight w:val="0"/>
      <w:marTop w:val="0"/>
      <w:marBottom w:val="0"/>
      <w:divBdr>
        <w:top w:val="none" w:sz="0" w:space="0" w:color="auto"/>
        <w:left w:val="none" w:sz="0" w:space="0" w:color="auto"/>
        <w:bottom w:val="none" w:sz="0" w:space="0" w:color="auto"/>
        <w:right w:val="none" w:sz="0" w:space="0" w:color="auto"/>
      </w:divBdr>
    </w:div>
    <w:div w:id="1796749003">
      <w:bodyDiv w:val="1"/>
      <w:marLeft w:val="0"/>
      <w:marRight w:val="0"/>
      <w:marTop w:val="0"/>
      <w:marBottom w:val="0"/>
      <w:divBdr>
        <w:top w:val="none" w:sz="0" w:space="0" w:color="auto"/>
        <w:left w:val="none" w:sz="0" w:space="0" w:color="auto"/>
        <w:bottom w:val="none" w:sz="0" w:space="0" w:color="auto"/>
        <w:right w:val="none" w:sz="0" w:space="0" w:color="auto"/>
      </w:divBdr>
    </w:div>
    <w:div w:id="1867597123">
      <w:bodyDiv w:val="1"/>
      <w:marLeft w:val="0"/>
      <w:marRight w:val="0"/>
      <w:marTop w:val="0"/>
      <w:marBottom w:val="0"/>
      <w:divBdr>
        <w:top w:val="none" w:sz="0" w:space="0" w:color="auto"/>
        <w:left w:val="none" w:sz="0" w:space="0" w:color="auto"/>
        <w:bottom w:val="none" w:sz="0" w:space="0" w:color="auto"/>
        <w:right w:val="none" w:sz="0" w:space="0" w:color="auto"/>
      </w:divBdr>
    </w:div>
    <w:div w:id="1923173630">
      <w:bodyDiv w:val="1"/>
      <w:marLeft w:val="0"/>
      <w:marRight w:val="0"/>
      <w:marTop w:val="0"/>
      <w:marBottom w:val="0"/>
      <w:divBdr>
        <w:top w:val="none" w:sz="0" w:space="0" w:color="auto"/>
        <w:left w:val="none" w:sz="0" w:space="0" w:color="auto"/>
        <w:bottom w:val="none" w:sz="0" w:space="0" w:color="auto"/>
        <w:right w:val="none" w:sz="0" w:space="0" w:color="auto"/>
      </w:divBdr>
    </w:div>
    <w:div w:id="2043700280">
      <w:bodyDiv w:val="1"/>
      <w:marLeft w:val="0"/>
      <w:marRight w:val="0"/>
      <w:marTop w:val="0"/>
      <w:marBottom w:val="0"/>
      <w:divBdr>
        <w:top w:val="none" w:sz="0" w:space="0" w:color="auto"/>
        <w:left w:val="none" w:sz="0" w:space="0" w:color="auto"/>
        <w:bottom w:val="none" w:sz="0" w:space="0" w:color="auto"/>
        <w:right w:val="none" w:sz="0" w:space="0" w:color="auto"/>
      </w:divBdr>
    </w:div>
    <w:div w:id="2081176952">
      <w:bodyDiv w:val="1"/>
      <w:marLeft w:val="0"/>
      <w:marRight w:val="0"/>
      <w:marTop w:val="0"/>
      <w:marBottom w:val="0"/>
      <w:divBdr>
        <w:top w:val="none" w:sz="0" w:space="0" w:color="auto"/>
        <w:left w:val="none" w:sz="0" w:space="0" w:color="auto"/>
        <w:bottom w:val="none" w:sz="0" w:space="0" w:color="auto"/>
        <w:right w:val="none" w:sz="0" w:space="0" w:color="auto"/>
      </w:divBdr>
    </w:div>
    <w:div w:id="2099787571">
      <w:bodyDiv w:val="1"/>
      <w:marLeft w:val="0"/>
      <w:marRight w:val="0"/>
      <w:marTop w:val="0"/>
      <w:marBottom w:val="0"/>
      <w:divBdr>
        <w:top w:val="none" w:sz="0" w:space="0" w:color="auto"/>
        <w:left w:val="none" w:sz="0" w:space="0" w:color="auto"/>
        <w:bottom w:val="none" w:sz="0" w:space="0" w:color="auto"/>
        <w:right w:val="none" w:sz="0" w:space="0" w:color="auto"/>
      </w:divBdr>
    </w:div>
    <w:div w:id="2105490470">
      <w:bodyDiv w:val="1"/>
      <w:marLeft w:val="0"/>
      <w:marRight w:val="0"/>
      <w:marTop w:val="0"/>
      <w:marBottom w:val="0"/>
      <w:divBdr>
        <w:top w:val="none" w:sz="0" w:space="0" w:color="auto"/>
        <w:left w:val="none" w:sz="0" w:space="0" w:color="auto"/>
        <w:bottom w:val="none" w:sz="0" w:space="0" w:color="auto"/>
        <w:right w:val="none" w:sz="0" w:space="0" w:color="auto"/>
      </w:divBdr>
    </w:div>
    <w:div w:id="2113822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qq\Downloads\2-way_with_binary_moderator.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4539917444015756E-2"/>
          <c:y val="2.4032692116017145E-2"/>
          <c:w val="0.88382991365087349"/>
          <c:h val="0.79727121246773625"/>
        </c:manualLayout>
      </c:layout>
      <c:lineChart>
        <c:grouping val="standard"/>
        <c:varyColors val="0"/>
        <c:ser>
          <c:idx val="0"/>
          <c:order val="0"/>
          <c:tx>
            <c:strRef>
              <c:f>'[2-way_with_binary_moderator.xls]2 way interactions'!$B$28</c:f>
              <c:strCache>
                <c:ptCount val="1"/>
                <c:pt idx="0">
                  <c:v>Gen Z</c:v>
                </c:pt>
              </c:strCache>
            </c:strRef>
          </c:tx>
          <c:spPr>
            <a:ln w="12700">
              <a:solidFill>
                <a:schemeClr val="tx1">
                  <a:lumMod val="75000"/>
                  <a:lumOff val="25000"/>
                </a:schemeClr>
              </a:solidFill>
              <a:prstDash val="solid"/>
            </a:ln>
          </c:spPr>
          <c:marker>
            <c:symbol val="diamond"/>
            <c:size val="5"/>
            <c:spPr>
              <a:solidFill>
                <a:srgbClr val="000000"/>
              </a:solidFill>
              <a:ln>
                <a:solidFill>
                  <a:schemeClr val="tx1">
                    <a:lumMod val="75000"/>
                    <a:lumOff val="25000"/>
                  </a:schemeClr>
                </a:solidFill>
                <a:prstDash val="solid"/>
              </a:ln>
            </c:spPr>
          </c:marker>
          <c:cat>
            <c:strRef>
              <c:f>'[2-way_with_binary_moderator.xls]2 way interactions'!$C$27:$D$27</c:f>
              <c:strCache>
                <c:ptCount val="2"/>
                <c:pt idx="0">
                  <c:v>Low GM</c:v>
                </c:pt>
                <c:pt idx="1">
                  <c:v>High GM</c:v>
                </c:pt>
              </c:strCache>
            </c:strRef>
          </c:cat>
          <c:val>
            <c:numRef>
              <c:f>'[2-way_with_binary_moderator.xls]2 way interactions'!$C$28:$D$28</c:f>
              <c:numCache>
                <c:formatCode>General</c:formatCode>
                <c:ptCount val="2"/>
                <c:pt idx="0">
                  <c:v>2.9535110549746935</c:v>
                </c:pt>
                <c:pt idx="1">
                  <c:v>3.0464889450253065</c:v>
                </c:pt>
              </c:numCache>
            </c:numRef>
          </c:val>
          <c:smooth val="0"/>
          <c:extLst>
            <c:ext xmlns:c16="http://schemas.microsoft.com/office/drawing/2014/chart" uri="{C3380CC4-5D6E-409C-BE32-E72D297353CC}">
              <c16:uniqueId val="{00000000-6A90-4906-8B98-CA1BCDE82DFC}"/>
            </c:ext>
          </c:extLst>
        </c:ser>
        <c:ser>
          <c:idx val="1"/>
          <c:order val="1"/>
          <c:tx>
            <c:strRef>
              <c:f>'[2-way_with_binary_moderator.xls]2 way interactions'!$B$29</c:f>
              <c:strCache>
                <c:ptCount val="1"/>
                <c:pt idx="0">
                  <c:v>Gen Y</c:v>
                </c:pt>
              </c:strCache>
            </c:strRef>
          </c:tx>
          <c:spPr>
            <a:ln w="12700">
              <a:solidFill>
                <a:schemeClr val="tx1">
                  <a:lumMod val="75000"/>
                  <a:lumOff val="25000"/>
                </a:schemeClr>
              </a:solidFill>
              <a:prstDash val="sysDash"/>
            </a:ln>
          </c:spPr>
          <c:marker>
            <c:symbol val="square"/>
            <c:size val="5"/>
            <c:spPr>
              <a:solidFill>
                <a:srgbClr val="000000"/>
              </a:solidFill>
              <a:ln>
                <a:solidFill>
                  <a:schemeClr val="tx1">
                    <a:lumMod val="75000"/>
                    <a:lumOff val="25000"/>
                  </a:schemeClr>
                </a:solidFill>
                <a:prstDash val="solid"/>
              </a:ln>
            </c:spPr>
          </c:marker>
          <c:cat>
            <c:strRef>
              <c:f>'[2-way_with_binary_moderator.xls]2 way interactions'!$C$27:$D$27</c:f>
              <c:strCache>
                <c:ptCount val="2"/>
                <c:pt idx="0">
                  <c:v>Low GM</c:v>
                </c:pt>
                <c:pt idx="1">
                  <c:v>High GM</c:v>
                </c:pt>
              </c:strCache>
            </c:strRef>
          </c:cat>
          <c:val>
            <c:numRef>
              <c:f>'[2-way_with_binary_moderator.xls]2 way interactions'!$C$29:$D$29</c:f>
              <c:numCache>
                <c:formatCode>General</c:formatCode>
                <c:ptCount val="2"/>
                <c:pt idx="0">
                  <c:v>2.8983176268702207</c:v>
                </c:pt>
                <c:pt idx="1">
                  <c:v>3.129662342461967</c:v>
                </c:pt>
              </c:numCache>
            </c:numRef>
          </c:val>
          <c:smooth val="0"/>
          <c:extLst>
            <c:ext xmlns:c16="http://schemas.microsoft.com/office/drawing/2014/chart" uri="{C3380CC4-5D6E-409C-BE32-E72D297353CC}">
              <c16:uniqueId val="{00000001-6A90-4906-8B98-CA1BCDE82DFC}"/>
            </c:ext>
          </c:extLst>
        </c:ser>
        <c:dLbls>
          <c:showLegendKey val="0"/>
          <c:showVal val="0"/>
          <c:showCatName val="0"/>
          <c:showSerName val="0"/>
          <c:showPercent val="0"/>
          <c:showBubbleSize val="0"/>
        </c:dLbls>
        <c:marker val="1"/>
        <c:smooth val="0"/>
        <c:axId val="-637064960"/>
        <c:axId val="-637042656"/>
      </c:lineChart>
      <c:catAx>
        <c:axId val="-637064960"/>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a:pPr>
            <a:endParaRPr lang="cs-CZ"/>
          </a:p>
        </c:txPr>
        <c:crossAx val="-637042656"/>
        <c:crosses val="autoZero"/>
        <c:auto val="1"/>
        <c:lblAlgn val="ctr"/>
        <c:lblOffset val="100"/>
        <c:tickLblSkip val="1"/>
        <c:tickMarkSkip val="1"/>
        <c:noMultiLvlLbl val="0"/>
      </c:catAx>
      <c:valAx>
        <c:axId val="-637042656"/>
        <c:scaling>
          <c:orientation val="minMax"/>
          <c:max val="3.5"/>
          <c:min val="2.5"/>
        </c:scaling>
        <c:delete val="0"/>
        <c:axPos val="l"/>
        <c:numFmt formatCode="General" sourceLinked="1"/>
        <c:majorTickMark val="out"/>
        <c:minorTickMark val="none"/>
        <c:tickLblPos val="nextTo"/>
        <c:spPr>
          <a:ln w="3175">
            <a:solidFill>
              <a:srgbClr val="000000"/>
            </a:solidFill>
            <a:prstDash val="solid"/>
          </a:ln>
        </c:spPr>
        <c:txPr>
          <a:bodyPr rot="0" vert="horz"/>
          <a:lstStyle/>
          <a:p>
            <a:pPr>
              <a:defRPr/>
            </a:pPr>
            <a:endParaRPr lang="cs-CZ"/>
          </a:p>
        </c:txPr>
        <c:crossAx val="-637064960"/>
        <c:crossesAt val="1"/>
        <c:crossBetween val="between"/>
      </c:valAx>
      <c:spPr>
        <a:solidFill>
          <a:srgbClr val="FFFFFF"/>
        </a:solidFill>
        <a:ln w="12700">
          <a:noFill/>
          <a:prstDash val="solid"/>
        </a:ln>
      </c:spPr>
    </c:plotArea>
    <c:legend>
      <c:legendPos val="r"/>
      <c:layout>
        <c:manualLayout>
          <c:xMode val="edge"/>
          <c:yMode val="edge"/>
          <c:x val="0.59232233375408228"/>
          <c:y val="0.59767496630488759"/>
          <c:w val="0.39287091022019188"/>
          <c:h val="0.18077378165567137"/>
        </c:manualLayout>
      </c:layout>
      <c:overlay val="1"/>
      <c:spPr>
        <a:solidFill>
          <a:srgbClr val="FFFFFF"/>
        </a:solidFill>
        <a:ln w="3175">
          <a:noFill/>
          <a:prstDash val="solid"/>
        </a:ln>
      </c:spPr>
    </c:legend>
    <c:plotVisOnly val="1"/>
    <c:dispBlanksAs val="gap"/>
    <c:showDLblsOverMax val="0"/>
  </c:chart>
  <c:spPr>
    <a:solidFill>
      <a:srgbClr val="FFFFFF"/>
    </a:solidFill>
    <a:ln w="3175">
      <a:noFill/>
      <a:prstDash val="solid"/>
    </a:ln>
  </c:spPr>
  <c:txPr>
    <a:bodyPr/>
    <a:lstStyle/>
    <a:p>
      <a:pPr>
        <a:defRPr sz="1050" b="0" i="0" u="none" strike="noStrike" baseline="0">
          <a:solidFill>
            <a:srgbClr val="000000"/>
          </a:solidFill>
          <a:latin typeface="Garamond" panose="02020404030301010803" pitchFamily="18" charset="0"/>
          <a:ea typeface="Arial"/>
          <a:cs typeface="Arial"/>
        </a:defRPr>
      </a:pPr>
      <a:endParaRPr lang="cs-CZ"/>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Garamond">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CF86E0-F1C3-4A57-9331-2EED69AC84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61581</Words>
  <Characters>363329</Characters>
  <Application>Microsoft Office Word</Application>
  <DocSecurity>0</DocSecurity>
  <Lines>3027</Lines>
  <Paragraphs>848</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424062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Fortesa</dc:creator>
  <cp:keywords/>
  <dc:description/>
  <cp:lastModifiedBy>Hana Janečková</cp:lastModifiedBy>
  <cp:revision>2</cp:revision>
  <cp:lastPrinted>2019-04-01T10:56:00Z</cp:lastPrinted>
  <dcterms:created xsi:type="dcterms:W3CDTF">2021-05-13T11:13:00Z</dcterms:created>
  <dcterms:modified xsi:type="dcterms:W3CDTF">2021-05-13T11:13:00Z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f773067d-962b-325a-8ff7-26de5955a3a5</vt:lpwstr>
  </property>
  <property fmtid="{D5CDD505-2E9C-101B-9397-08002B2CF9AE}" pid="4" name="Mendeley Citation Style_1">
    <vt:lpwstr>http://www.zotero.org/styles/apa</vt:lpwstr>
  </property>
  <property fmtid="{D5CDD505-2E9C-101B-9397-08002B2CF9AE}" pid="5" name="Mendeley Recent Style Id 0_1">
    <vt:lpwstr>http://csl.mendeley.com/styles/472377051/apa-3</vt:lpwstr>
  </property>
  <property fmtid="{D5CDD505-2E9C-101B-9397-08002B2CF9AE}" pid="6" name="Mendeley Recent Style Name 0_1">
    <vt:lpwstr>APA 6th - without DOI</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http://www.zotero.org/styles/harvard-anglia-ruskin-university</vt:lpwstr>
  </property>
  <property fmtid="{D5CDD505-2E9C-101B-9397-08002B2CF9AE}" pid="12" name="Mendeley Recent Style Name 3_1">
    <vt:lpwstr>Anglia Ruskin University - Harvard</vt:lpwstr>
  </property>
  <property fmtid="{D5CDD505-2E9C-101B-9397-08002B2CF9AE}" pid="13" name="Mendeley Recent Style Id 4_1">
    <vt:lpwstr>https://csl.mendeley.com/styles/472377051/cambridge-university-press-numeric</vt:lpwstr>
  </property>
  <property fmtid="{D5CDD505-2E9C-101B-9397-08002B2CF9AE}" pid="14" name="Mendeley Recent Style Name 4_1">
    <vt:lpwstr>Cambridge University Press (numeric) - JBNES</vt:lpwstr>
  </property>
  <property fmtid="{D5CDD505-2E9C-101B-9397-08002B2CF9AE}" pid="15" name="Mendeley Recent Style Id 5_1">
    <vt:lpwstr>http://www.zotero.org/styles/chicago-author-date</vt:lpwstr>
  </property>
  <property fmtid="{D5CDD505-2E9C-101B-9397-08002B2CF9AE}" pid="16" name="Mendeley Recent Style Name 5_1">
    <vt:lpwstr>Chicago Manual of Style 17th edition (author-date)</vt:lpwstr>
  </property>
  <property fmtid="{D5CDD505-2E9C-101B-9397-08002B2CF9AE}" pid="17" name="Mendeley Recent Style Id 6_1">
    <vt:lpwstr>http://www.zotero.org/styles/harvard-cite-them-right</vt:lpwstr>
  </property>
  <property fmtid="{D5CDD505-2E9C-101B-9397-08002B2CF9AE}" pid="18" name="Mendeley Recent Style Name 6_1">
    <vt:lpwstr>Cite Them Right 10th edition - Harvard</vt:lpwstr>
  </property>
  <property fmtid="{D5CDD505-2E9C-101B-9397-08002B2CF9AE}" pid="19" name="Mendeley Recent Style Id 7_1">
    <vt:lpwstr>http://www.zotero.org/styles/elsevier-harvard</vt:lpwstr>
  </property>
  <property fmtid="{D5CDD505-2E9C-101B-9397-08002B2CF9AE}" pid="20" name="Mendeley Recent Style Name 7_1">
    <vt:lpwstr>Elsevier - Harvard (with titles)</vt:lpwstr>
  </property>
  <property fmtid="{D5CDD505-2E9C-101B-9397-08002B2CF9AE}" pid="21" name="Mendeley Recent Style Id 8_1">
    <vt:lpwstr>http://www.zotero.org/styles/harvard-limerick</vt:lpwstr>
  </property>
  <property fmtid="{D5CDD505-2E9C-101B-9397-08002B2CF9AE}" pid="22" name="Mendeley Recent Style Name 8_1">
    <vt:lpwstr>University of Limerick (Cite it Right) - Harvard</vt:lpwstr>
  </property>
  <property fmtid="{D5CDD505-2E9C-101B-9397-08002B2CF9AE}" pid="23" name="Mendeley Recent Style Id 9_1">
    <vt:lpwstr>http://www.zotero.org/styles/wiley-vch-books</vt:lpwstr>
  </property>
  <property fmtid="{D5CDD505-2E9C-101B-9397-08002B2CF9AE}" pid="24" name="Mendeley Recent Style Name 9_1">
    <vt:lpwstr>Wiley-VCH books</vt:lpwstr>
  </property>
</Properties>
</file>