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FDDF58" w14:textId="018A3D89" w:rsidR="00AD09EB" w:rsidRPr="00170EDC" w:rsidRDefault="007861F6" w:rsidP="00DF3D12">
      <w:pPr>
        <w:jc w:val="center"/>
        <w:rPr>
          <w:sz w:val="34"/>
          <w:szCs w:val="34"/>
          <w:lang w:val="en-US"/>
        </w:rPr>
      </w:pPr>
      <w:bookmarkStart w:id="0" w:name="_GoBack"/>
      <w:r w:rsidRPr="00170EDC">
        <w:rPr>
          <w:sz w:val="34"/>
          <w:szCs w:val="34"/>
          <w:lang w:val="en-US"/>
        </w:rPr>
        <w:t>Linking individual</w:t>
      </w:r>
      <w:r w:rsidR="000F1F57" w:rsidRPr="00170EDC">
        <w:rPr>
          <w:sz w:val="34"/>
          <w:szCs w:val="34"/>
          <w:lang w:val="en-US"/>
        </w:rPr>
        <w:t xml:space="preserve"> </w:t>
      </w:r>
      <w:r w:rsidR="00120D99" w:rsidRPr="00170EDC">
        <w:rPr>
          <w:sz w:val="34"/>
          <w:szCs w:val="34"/>
          <w:lang w:val="en-US"/>
        </w:rPr>
        <w:t>demographics</w:t>
      </w:r>
      <w:r w:rsidR="000F1F57" w:rsidRPr="00170EDC">
        <w:rPr>
          <w:sz w:val="34"/>
          <w:szCs w:val="34"/>
          <w:lang w:val="en-US"/>
        </w:rPr>
        <w:t xml:space="preserve"> to </w:t>
      </w:r>
      <w:r w:rsidR="00AD09EB" w:rsidRPr="00170EDC">
        <w:rPr>
          <w:sz w:val="34"/>
          <w:szCs w:val="34"/>
          <w:lang w:val="en-US"/>
        </w:rPr>
        <w:t>antecedents of mobile banking usage</w:t>
      </w:r>
      <w:r w:rsidR="00285779" w:rsidRPr="00170EDC">
        <w:rPr>
          <w:sz w:val="34"/>
          <w:szCs w:val="34"/>
          <w:lang w:val="en-US"/>
        </w:rPr>
        <w:t xml:space="preserve">: </w:t>
      </w:r>
      <w:r w:rsidR="001A6D80" w:rsidRPr="00170EDC">
        <w:rPr>
          <w:sz w:val="34"/>
          <w:szCs w:val="34"/>
          <w:lang w:val="en-US"/>
        </w:rPr>
        <w:t xml:space="preserve">Evidence from </w:t>
      </w:r>
      <w:r w:rsidR="002A1D61" w:rsidRPr="00170EDC">
        <w:rPr>
          <w:sz w:val="34"/>
          <w:szCs w:val="34"/>
          <w:lang w:val="en-US"/>
        </w:rPr>
        <w:t xml:space="preserve">developing countries in </w:t>
      </w:r>
      <w:r w:rsidR="00836C7D">
        <w:rPr>
          <w:sz w:val="34"/>
          <w:szCs w:val="34"/>
          <w:lang w:val="en-US"/>
        </w:rPr>
        <w:t>S</w:t>
      </w:r>
      <w:r w:rsidR="00E6224D">
        <w:rPr>
          <w:sz w:val="34"/>
          <w:szCs w:val="34"/>
          <w:lang w:val="en-US"/>
        </w:rPr>
        <w:t>outh</w:t>
      </w:r>
      <w:r w:rsidR="00CE30AA">
        <w:rPr>
          <w:sz w:val="34"/>
          <w:szCs w:val="34"/>
          <w:lang w:val="en-US"/>
        </w:rPr>
        <w:t>-E</w:t>
      </w:r>
      <w:r w:rsidR="001A6D80" w:rsidRPr="00170EDC">
        <w:rPr>
          <w:sz w:val="34"/>
          <w:szCs w:val="34"/>
          <w:lang w:val="en-US"/>
        </w:rPr>
        <w:t>ast Europe</w:t>
      </w:r>
    </w:p>
    <w:bookmarkEnd w:id="0"/>
    <w:p w14:paraId="246DE685" w14:textId="77777777" w:rsidR="0069658F" w:rsidRPr="002D66A0" w:rsidRDefault="0069658F" w:rsidP="002D66A0">
      <w:pPr>
        <w:jc w:val="center"/>
      </w:pPr>
    </w:p>
    <w:p w14:paraId="273154F5" w14:textId="77777777" w:rsidR="00DF3D12" w:rsidRDefault="00DF3D12" w:rsidP="00DF3D12">
      <w:pPr>
        <w:pStyle w:val="Nadpis1"/>
        <w:rPr>
          <w:lang w:val="en-US"/>
        </w:rPr>
      </w:pPr>
      <w:bookmarkStart w:id="1" w:name="_Ref520203016"/>
      <w:r>
        <w:rPr>
          <w:lang w:val="en-US"/>
        </w:rPr>
        <w:t>Introduction</w:t>
      </w:r>
      <w:bookmarkEnd w:id="1"/>
    </w:p>
    <w:p w14:paraId="2A951046" w14:textId="76F72537" w:rsidR="00A47AEA" w:rsidRPr="00A47AEA" w:rsidRDefault="00A47AEA" w:rsidP="0020439A">
      <w:pPr>
        <w:rPr>
          <w:lang w:val="en-US"/>
        </w:rPr>
      </w:pPr>
      <w:r w:rsidRPr="00A47AEA">
        <w:rPr>
          <w:lang w:val="en-US"/>
        </w:rPr>
        <w:t>The rapid expansion of the internet and smartphones enabled individuals to become part of the financial digitalization and finan</w:t>
      </w:r>
      <w:r w:rsidR="00CA4E65">
        <w:rPr>
          <w:lang w:val="en-US"/>
        </w:rPr>
        <w:t xml:space="preserve">cial inclusion </w:t>
      </w:r>
      <w:r w:rsidR="00E6224D">
        <w:rPr>
          <w:lang w:val="en-US"/>
        </w:rPr>
        <w:t>worldwid</w:t>
      </w:r>
      <w:r w:rsidR="00CA4E65">
        <w:rPr>
          <w:lang w:val="en-US"/>
        </w:rPr>
        <w:t>e.</w:t>
      </w:r>
      <w:r w:rsidRPr="00A47AEA">
        <w:rPr>
          <w:lang w:val="en-US"/>
        </w:rPr>
        <w:t xml:space="preserve"> </w:t>
      </w:r>
      <w:r w:rsidR="00CA4E65">
        <w:rPr>
          <w:lang w:val="en-US"/>
        </w:rPr>
        <w:t>I</w:t>
      </w:r>
      <w:r w:rsidRPr="00A47AEA">
        <w:rPr>
          <w:lang w:val="en-US"/>
        </w:rPr>
        <w:t>n this regard</w:t>
      </w:r>
      <w:r w:rsidR="006201E0">
        <w:rPr>
          <w:lang w:val="en-US"/>
        </w:rPr>
        <w:t>,</w:t>
      </w:r>
      <w:r w:rsidRPr="00A47AEA">
        <w:rPr>
          <w:lang w:val="en-US"/>
        </w:rPr>
        <w:t xml:space="preserve"> mobile banking is playing an imperative role apart from its </w:t>
      </w:r>
      <w:r w:rsidR="00E6224D">
        <w:rPr>
          <w:lang w:val="en-US"/>
        </w:rPr>
        <w:t>primary</w:t>
      </w:r>
      <w:r w:rsidRPr="00A47AEA">
        <w:rPr>
          <w:lang w:val="en-US"/>
        </w:rPr>
        <w:t xml:space="preserve"> functions </w:t>
      </w:r>
      <w:r w:rsidRPr="00A47AEA">
        <w:rPr>
          <w:lang w:val="en-US"/>
        </w:rPr>
        <w:fldChar w:fldCharType="begin" w:fldLock="1"/>
      </w:r>
      <w:r w:rsidR="00B12E5D">
        <w:rPr>
          <w:lang w:val="en-US"/>
        </w:rPr>
        <w:instrText>ADDIN CSL_CITATION {"citationItems":[{"id":"ITEM-1","itemData":{"DOI":"10.1080/23322039.2019.1665432","ISSN":"23322039","abstract":"Like most of International Institutions, the Central Bank of West African States (BCEAO) considers universal access to finance as key to empowering disadvantaged people. Fitting into that context, this study aims to assess the accelerating role of digital technologies using mobile phone penetration and internet usage as broad indicators, on the dynamics of financial inclusion in WAEMU. Using data from the Central Bank of West African States (BCEAO) and the International Telecommunication Union (ITU) over the periods 2006–2017, we estimated first a random effect model and thereafter a system GMM devised by Arrelano-Bover/Bundell-Bond, to correct the endogeneity issue raised from the static model. Findings show that beyond the specific effects of mobile phone penetration and Internet usage, the joint use of these two technologies is very key to financial inclusion in the WAEMU countries. It urges then for policy makers to take steps toward the availability, accessibility, affordability and to design flexible legislation pertaining to mobile financial services providers in order to accelerate financial inclusion in that region.","author":[{"dropping-particle":"","family":"Senou","given":"Melain Modeste","non-dropping-particle":"","parse-names":false,"suffix":""},{"dropping-particle":"","family":"Ouattara","given":"Wautabouna","non-dropping-particle":"","parse-names":false,"suffix":""},{"dropping-particle":"","family":"Acclassato Houensou","given":"Denis","non-dropping-particle":"","parse-names":false,"suffix":""}],"container-title":"Cogent Economics and Finance","id":"ITEM-1","issue":"1","issued":{"date-parts":[["2019"]]},"page":"1-16","publisher":"Cogent","title":"Financial inclusion dynamics in WAEMU: Was digital technology the missing piece?","type":"article-journal","volume":"7"},"uris":["http://www.mendeley.com/documents/?uuid=81bc10e8-0bb9-4d05-9c17-a08f99c51169","http://www.mendeley.com/documents/?uuid=35f7c534-b5eb-49d5-9b8b-19c8a04e133d"]},{"id":"ITEM-2","itemData":{"DOI":"10.1016/j.telpol.2019.101856","ISSN":"03085961","abstract":"This paper examines the contribution of digitalization to economic growth of Sub Saharan Africa (SSA) in comparison with the Organization for Economic Cooperation and Development (OECD) economies. The main reason for comparing the most and the least developed countries to measure the effects of digitalization is to have an insight of whether such effects depend on the levels of development of the country. New technologies in Sub Saharan Africa are assumed to have played significant roles in economic activity, including accessibility of communications, which was impeded by poor infrastructure, accommodation of the poor majority who were initially financially excluded from mobile banking and participation of small and medium enterprises (SMEs) in e-commerce. On the other hand, due to the effects of digitalization, least developed countries in SSA have been facing a premature deindustrialization. This study employs a panel dataset consisting of 11 years from 2006 to 2016 for 41 SSA and 33 OECD economies and we use the generalized linear methods of moments (GMM) estimators. The results show that digitalization has a positive contribution to economic growth in both groups of countries. The effect of broadband internet is minimal for SSA compared to OECD countries, whereas the impact of mobile telecommunications is higher in SSA compared to the OECD counterpart. These results are particularly interesting as less advanced technologies create more opportunities in the least developed countries since there is more space for improvement. With respect to policy implications, this study recommends that SSA governments should invest more in ICT along with other infrastructures, so as to benefit from digitalization and to realize significant economic growth.","author":[{"dropping-particle":"","family":"Myovella","given":"Godwin","non-dropping-particle":"","parse-names":false,"suffix":""},{"dropping-particle":"","family":"Karacuka","given":"Mehmet","non-dropping-particle":"","parse-names":false,"suffix":""},{"dropping-particle":"","family":"Haucap","given":"Justus","non-dropping-particle":"","parse-names":false,"suffix":""}],"container-title":"Telecommunications Policy","id":"ITEM-2","issue":"2","issued":{"date-parts":[["2020","3","1"]]},"publisher":"Elsevier Ltd","title":"Digitalization and economic growth: A comparative analysis of Sub-Saharan Africa and OECD economies","type":"article-journal","volume":"44"},"uris":["http://www.mendeley.com/documents/?uuid=0cd1a026-0dc3-3540-a2d8-8bd643b3806a","http://www.mendeley.com/documents/?uuid=72f9540c-66d3-4923-8367-c8e96d2dcf43"]},{"id":"ITEM-3","itemData":{"DOI":"10.1177/0266666917744006","ISSN":"0266-6669","abstract":"The transition from Millennium Development Goals to Sustainable Development Goals has substantially shifted the policy debate from development to inclusive development. Using interactive quantile regressions, we examine the correlations between mobile banking and inclusive development (quality of growth, inequality and poverty) among individuals in 93 developing countries for the year 2011. Mobile banking entails: ‘mobile used to pay bills’ and ‘mobile used to receive/send money’. The findings broadly show that increasing mobile banking dynamics to certain thresholds would increase (decrease) quality of growth (inequality) in quantiles at the high-end of inclusive development distributions for the most part. The study is original in that it explores the relationship between mobile banking and inclusive development using three measurements of inclusive development, namely: quality of growth, inequality and poverty. As a main policy implication, encouraging mobile banking applications would play a substantial role in responding to the challenges of immiserizing growth, inequality and poverty in developing countries.","author":[{"dropping-particle":"","family":"Asongu","given":"Simplice A.","non-dropping-particle":"","parse-names":false,"suffix":""},{"dropping-particle":"","family":"Odhiambo","given":"Nicholas M.","non-dropping-particle":"","parse-names":false,"suffix":""}],"container-title":"Information Development","id":"ITEM-3","issue":"2","issued":{"date-parts":[["2019","3","30"]]},"page":"303-318","publisher":"SAGE Publications Ltd","title":"Mobile banking usage, quality of growth, inequality and poverty in developing countries","type":"article-journal","volume":"35"},"uris":["http://www.mendeley.com/documents/?uuid=0acb40d6-9cdb-3b18-b2e1-620dd9a2516a","http://www.mendeley.com/documents/?uuid=5869f7e3-97f9-477f-9d67-179bb1308df8"]},{"id":"ITEM-4","itemData":{"DOI":"10.1111/rode.12658","ISSN":"14679361","abstract":"The wide use of mobile phones increases low-income individuals’ access to a large range of services. One of these services is mobile banking (m-banking). Today, m-banking represents a key vector of financial inclusion in many countries in sub-Saharan Africa, especially Senegal. Based on technology adoption theories applied to households in developing countries, this paper studies the determinants of the adoption and use of m-banking. We distinguish between possession or adoption and actual use of m-banking and examine the interdependence between these two decisions by using the Heckman sample selection model, through a sample of 1,052 individuals in the suburbs of Dakar. Our main results are that the two decisions (adoption and use) are not independent of each other. Individual characteristics, such as education, possession of a bank account, and family network effects, are determinants of the adoption, and age, gender, and being a member of a tontine are determinants of the use. A major result of this study concerns women’s low propensity to adopt m-banking because of their low levels of education. However, compared with men, when women adopt m-banking, they have a stronger propensity to use it.","author":[{"dropping-particle":"","family":"Fall","given":"François Seck","non-dropping-particle":"","parse-names":false,"suffix":""},{"dropping-particle":"","family":"Orozco","given":"Luis","non-dropping-particle":"","parse-names":false,"suffix":""},{"dropping-particle":"","family":"Akim","given":"Al Mouksit","non-dropping-particle":"","parse-names":false,"suffix":""}],"container-title":"Review of Development Economics","id":"ITEM-4","issue":"2","issued":{"date-parts":[["2020","5","1"]]},"page":"569-588","publisher":"Blackwell Publishing Ltd","title":"Adoption and use of mobile banking by low-income individuals in Senegal","type":"article-journal","volume":"24"},"uris":["http://www.mendeley.com/documents/?uuid=ccfcc62b-3036-34ea-be93-561536398722"]}],"mendeley":{"formattedCitation":"(Asongu and Odhiambo, 2019; Fall et al., 2020; Myovella et al., 2020; Senou et al., 2019)","plainTextFormattedCitation":"(Asongu and Odhiambo, 2019; Fall et al., 2020; Myovella et al., 2020; Senou et al., 2019)","previouslyFormattedCitation":"(Asongu and Odhiambo, 2019; Fall et al., 2020; Myovella et al., 2020; Senou et al., 2019)"},"properties":{"noteIndex":0},"schema":"https://github.com/citation-style-language/schema/raw/master/csl-citation.json"}</w:instrText>
      </w:r>
      <w:r w:rsidRPr="00A47AEA">
        <w:rPr>
          <w:lang w:val="en-US"/>
        </w:rPr>
        <w:fldChar w:fldCharType="separate"/>
      </w:r>
      <w:r w:rsidR="00AF2B42" w:rsidRPr="00AF2B42">
        <w:rPr>
          <w:noProof/>
          <w:lang w:val="fr-FR"/>
        </w:rPr>
        <w:t>(Asongu and Odhiambo, 2019; Fall et al., 2020; Myovella et al., 2020; Senou et al., 2019)</w:t>
      </w:r>
      <w:r w:rsidRPr="00A47AEA">
        <w:rPr>
          <w:lang w:val="en-US"/>
        </w:rPr>
        <w:fldChar w:fldCharType="end"/>
      </w:r>
      <w:r w:rsidRPr="00AF2B42">
        <w:rPr>
          <w:lang w:val="fr-FR"/>
        </w:rPr>
        <w:t xml:space="preserve">. </w:t>
      </w:r>
      <w:r w:rsidRPr="00A47AEA">
        <w:rPr>
          <w:lang w:val="en-US"/>
        </w:rPr>
        <w:t>Earlier, to access banking services</w:t>
      </w:r>
      <w:r w:rsidR="0020439A">
        <w:rPr>
          <w:lang w:val="en-US"/>
        </w:rPr>
        <w:t>,</w:t>
      </w:r>
      <w:r w:rsidR="009C577A">
        <w:rPr>
          <w:lang w:val="en-US"/>
        </w:rPr>
        <w:t xml:space="preserve"> e.g.</w:t>
      </w:r>
      <w:r w:rsidR="00E6224D">
        <w:rPr>
          <w:lang w:val="en-US"/>
        </w:rPr>
        <w:t>,</w:t>
      </w:r>
      <w:r w:rsidRPr="00A47AEA">
        <w:rPr>
          <w:lang w:val="en-US"/>
        </w:rPr>
        <w:t xml:space="preserve"> to withdraw cash</w:t>
      </w:r>
      <w:r w:rsidR="0020439A">
        <w:rPr>
          <w:lang w:val="en-US"/>
        </w:rPr>
        <w:t>,</w:t>
      </w:r>
      <w:r w:rsidRPr="00A47AEA">
        <w:rPr>
          <w:lang w:val="en-US"/>
        </w:rPr>
        <w:t xml:space="preserve"> a customer has to reach its location</w:t>
      </w:r>
      <w:r w:rsidR="0020439A">
        <w:rPr>
          <w:lang w:val="en-US"/>
        </w:rPr>
        <w:t>,</w:t>
      </w:r>
      <w:r w:rsidRPr="00A47AEA">
        <w:rPr>
          <w:lang w:val="en-US"/>
        </w:rPr>
        <w:t xml:space="preserve"> and distance is a problem in typical traditional banking. The advent of </w:t>
      </w:r>
      <w:r w:rsidR="004974B5">
        <w:rPr>
          <w:lang w:val="en-US"/>
        </w:rPr>
        <w:t>i</w:t>
      </w:r>
      <w:r w:rsidRPr="00A47AEA">
        <w:rPr>
          <w:lang w:val="en-US"/>
        </w:rPr>
        <w:t>nformation communication technologies</w:t>
      </w:r>
      <w:r w:rsidR="004974B5">
        <w:rPr>
          <w:lang w:val="en-US"/>
        </w:rPr>
        <w:t xml:space="preserve"> (ICT, </w:t>
      </w:r>
      <w:r w:rsidRPr="00A47AEA">
        <w:rPr>
          <w:lang w:val="en-US"/>
        </w:rPr>
        <w:t xml:space="preserve">internet, applications, and smartphones) made </w:t>
      </w:r>
      <w:r w:rsidR="00E6224D">
        <w:rPr>
          <w:lang w:val="en-US"/>
        </w:rPr>
        <w:t>it</w:t>
      </w:r>
      <w:r w:rsidRPr="00A47AEA">
        <w:rPr>
          <w:lang w:val="en-US"/>
        </w:rPr>
        <w:t xml:space="preserve"> easy for individuals to use digital financial and non-financial transactions in their day to day life</w:t>
      </w:r>
      <w:r w:rsidR="001B05F5">
        <w:rPr>
          <w:lang w:val="en-US"/>
        </w:rPr>
        <w:t xml:space="preserve">, including developing countries </w:t>
      </w:r>
      <w:r w:rsidR="001B05F5">
        <w:rPr>
          <w:lang w:val="en-US"/>
        </w:rPr>
        <w:fldChar w:fldCharType="begin" w:fldLock="1"/>
      </w:r>
      <w:r w:rsidR="00CE30AA">
        <w:rPr>
          <w:lang w:val="en-US"/>
        </w:rPr>
        <w:instrText>ADDIN CSL_CITATION {"citationItems":[{"id":"ITEM-1","itemData":{"DOI":"10.1002/isd2.12060","ISSN":"16814835","abstract":"This systematic review of reviews aimed to explore the contribution of information and communication technologies (ICTs) for development in developing countries. This systematic review of reviews determines and summarizes ICTD research trends, and methodologies and conceptual frameworks used in ICTD research discuss the findings and evidence and then suggest approaches for further research. We reviewed existing systematic reviews published on ICT and development between January 1990 and July 2017. The review of reviews shows that a growing number of ICTD research works have used qualitative research approaches for data collection and analysis. We note several attempts to develop and apply models/frameworks over explanatory and predictive theories, most notably in the area of social, sociotechnical, and technical. Nevertheless, there is limited evidence on the long-term contribution of ICT use on livelihoods, patterns of economic inequality, human freedom, and well-being in developing countries. This review of reviews synthesizes existing systematic reviews on the contribution of ICT for development than was previously available for developing countries. This review has the potential for several stakeholders, including the public and private sector, intermediaries, and nonprofit organizations, to utilize the accumulated evidence from selected systematic reviews to enable/improve the appropriate and sustainable use of ICTs for development.","author":[{"dropping-particle":"","family":"Lwoga","given":"Edda Tandi","non-dropping-particle":"","parse-names":false,"suffix":""},{"dropping-particle":"","family":"Sangeda","given":"Raphael Zozimus","non-dropping-particle":"","parse-names":false,"suffix":""}],"container-title":"The Electronic Journal of Information Systems in Developing Countries","id":"ITEM-1","issue":"1","issued":{"date-parts":[["2019","1","1"]]},"page":"e12060","publisher":"Wiley-Blackwell","title":"ICTs and development in developing countries: A systematic review of reviews","type":"article-journal","volume":"85"},"uris":["http://www.mendeley.com/documents/?uuid=bf2ea4d8-49bd-3deb-ab01-bc39dd85af21","http://www.mendeley.com/documents/?uuid=456f3756-ff1b-4eed-9561-ef831c339b2b"]},{"id":"ITEM-2","itemData":{"DOI":"10.1177/0972150920908690","ISSN":"0972-1509","abstract":"Present study identifies Indian seniors’ intention to use the internet and actual usage along with influence of age, gender, education and experience as moderators. This study proposes modifications in unified theory of acceptance and use of technology (UTAUT) model while adding education as moderators and also studied relationship between facilitating conditions (FC) and behavioural intention. The proposed research model was empirically tested by data collected from 371 Indian seniors above the age of 50 years through offline survey. The collected data were analysed using structural equation modelling (SEM) and multiple moderation analysis. The result revealed that performance expectancy (PE), effort expectancy (EE), subjective norm (SN), technology anxiety (TA) significantly influence elders’ behavioural intention (BI) to use and adopt internet except FC. Further BI resulted in actual system use which is also determined by FC. Actual system use is predicted by three variables: learning, place of access and health conditions. In this study only age and gender were emerged as moderators. Findings of the study have important implications particularly to understand determinants of Indian seniors’ intention to use the internet and actual usage along with influence of moderators.","author":[{"dropping-particle":"","family":"Mukerjee","given":"Hory Sankar","non-dropping-particle":"","parse-names":false,"suffix":""},{"dropping-particle":"","family":"Deshmukh","given":"G. K.","non-dropping-particle":"","parse-names":false,"suffix":""},{"dropping-particle":"","family":"Mukherjee","given":"Dewashish","non-dropping-particle":"","parse-names":false,"suffix":""},{"dropping-particle":"","family":"Chawla","given":"Nidhi","non-dropping-particle":"","parse-names":false,"suffix":""}],"container-title":"Global Business Review","id":"ITEM-2","issued":{"date-parts":[["2020","3","23"]]},"page":"in press","title":"Investigating Influence of Moderators in Adopting Internet: Indian Seniors Perspective","type":"article-journal"},"uris":["http://www.mendeley.com/documents/?uuid=4c86602d-1d01-4c26-b55a-8026a5144807"]}],"mendeley":{"formattedCitation":"(Lwoga and Sangeda, 2019; Mukerjee et al., 2020)","plainTextFormattedCitation":"(Lwoga and Sangeda, 2019; Mukerjee et al., 2020)","previouslyFormattedCitation":"(Lwoga and Sangeda, 2019)"},"properties":{"noteIndex":0},"schema":"https://github.com/citation-style-language/schema/raw/master/csl-citation.json"}</w:instrText>
      </w:r>
      <w:r w:rsidR="001B05F5">
        <w:rPr>
          <w:lang w:val="en-US"/>
        </w:rPr>
        <w:fldChar w:fldCharType="separate"/>
      </w:r>
      <w:r w:rsidR="00CE30AA" w:rsidRPr="00CE30AA">
        <w:rPr>
          <w:noProof/>
          <w:lang w:val="en-US"/>
        </w:rPr>
        <w:t>(Lwoga and Sangeda, 2019; Mukerjee et al., 2020)</w:t>
      </w:r>
      <w:r w:rsidR="001B05F5">
        <w:rPr>
          <w:lang w:val="en-US"/>
        </w:rPr>
        <w:fldChar w:fldCharType="end"/>
      </w:r>
      <w:r w:rsidRPr="00A47AEA">
        <w:rPr>
          <w:lang w:val="en-US"/>
        </w:rPr>
        <w:t xml:space="preserve">. Mobile banking provides fast, smooth, and cost-effective services from the service provider. </w:t>
      </w:r>
      <w:r w:rsidR="00E6224D">
        <w:rPr>
          <w:lang w:val="en-US"/>
        </w:rPr>
        <w:t>I</w:t>
      </w:r>
      <w:r w:rsidRPr="00A47AEA">
        <w:rPr>
          <w:lang w:val="en-US"/>
        </w:rPr>
        <w:t>t is easy to reach the remotest customer</w:t>
      </w:r>
      <w:r w:rsidR="0020439A">
        <w:rPr>
          <w:lang w:val="en-US"/>
        </w:rPr>
        <w:t>,</w:t>
      </w:r>
      <w:r w:rsidRPr="00A47AEA">
        <w:rPr>
          <w:lang w:val="en-US"/>
        </w:rPr>
        <w:t xml:space="preserve"> and bankers can use it as a competitive edge over competitors </w:t>
      </w:r>
      <w:r w:rsidRPr="00A47AEA">
        <w:rPr>
          <w:lang w:val="en-US"/>
        </w:rPr>
        <w:fldChar w:fldCharType="begin" w:fldLock="1"/>
      </w:r>
      <w:r w:rsidR="00B12E5D">
        <w:rPr>
          <w:lang w:val="en-US"/>
        </w:rPr>
        <w:instrText>ADDIN CSL_CITATION {"citationItems":[{"id":"ITEM-1","itemData":{"DOI":"10.5923/j.mm.20120205.09","ISSN":"2162-9374","abstract":"In the current knowledge-based era, the role of ICT in boosting productivity and economic gro wth cannot be over-emphasised. In this era, the Banking system constitutes a very important lin k between savings (capitalist) and investment (entrepreneurs). The banking system contributes significantly to economic develop ment through venture financing in key sectors of the economy. Over the years, the operations of Nigeria banking sector were manual in nature. The advent of technology explosion however, had made the services faster and efficient. Th is paper therefore examines the roles of ICT on service delivery in a Nigeria banking firm. This is with a view to making suggestions that can improve the productivity of the banking industry in Nigeria. A survey technique was adopted using structured questionnaire with random samplingon 100 respondents of the bank. The result of the study reveals that ICT had made impacts on the productivity of the bank. However, factors such as affordability of the ICT equip ment, high installation and maintenance cost, cultural factors, capability factors, inadequate skilled manpower, network connectivity, cybercrime and response to ICT dynamism among others pose challenges to the applications of ICT in the bank. So me strategies for mit igation of these challenges are suggested.","author":[{"dropping-particle":"","family":"Omotoso","given":"K. O.","non-dropping-particle":"","parse-names":false,"suffix":""},{"dropping-particle":"","family":"Dada","given":"A. D.","non-dropping-particle":"","parse-names":false,"suffix":""},{"dropping-particle":"","family":"Adelowo","given":"C. M.","non-dropping-particle":"","parse-names":false,"suffix":""},{"dropping-particle":"","family":"Siyanbola","given":"W. O.","non-dropping-particle":"","parse-names":false,"suffix":""}],"container-title":"Management","id":"ITEM-1","issue":"5","issued":{"date-parts":[["2012","12","1"]]},"page":"204-213","title":"Linking Innovations with Productivity in a Nigeria Banking Firm: What roles for ICT?","type":"article-journal","volume":"2"},"uris":["http://www.mendeley.com/documents/?uuid=64ced19f-1659-45ac-9d60-7479157eec77","http://www.mendeley.com/documents/?uuid=e329e29c-28a0-4e92-88de-ecfffd68aa73"]}],"mendeley":{"formattedCitation":"(Omotoso et al., 2012)","plainTextFormattedCitation":"(Omotoso et al., 2012)","previouslyFormattedCitation":"(Omotoso et al., 2012)"},"properties":{"noteIndex":0},"schema":"https://github.com/citation-style-language/schema/raw/master/csl-citation.json"}</w:instrText>
      </w:r>
      <w:r w:rsidRPr="00A47AEA">
        <w:rPr>
          <w:lang w:val="en-US"/>
        </w:rPr>
        <w:fldChar w:fldCharType="separate"/>
      </w:r>
      <w:r w:rsidR="00AF2B42" w:rsidRPr="00AF2B42">
        <w:rPr>
          <w:noProof/>
          <w:lang w:val="en-US"/>
        </w:rPr>
        <w:t>(Omotoso et al., 2012)</w:t>
      </w:r>
      <w:r w:rsidRPr="00A47AEA">
        <w:rPr>
          <w:lang w:val="en-US"/>
        </w:rPr>
        <w:fldChar w:fldCharType="end"/>
      </w:r>
      <w:r w:rsidRPr="00A47AEA">
        <w:rPr>
          <w:lang w:val="en-US"/>
        </w:rPr>
        <w:t xml:space="preserve">. It </w:t>
      </w:r>
      <w:r w:rsidR="00E6224D">
        <w:rPr>
          <w:lang w:val="en-US"/>
        </w:rPr>
        <w:t>supports</w:t>
      </w:r>
      <w:r w:rsidRPr="00A47AEA">
        <w:rPr>
          <w:lang w:val="en-US"/>
        </w:rPr>
        <w:t xml:space="preserve"> the government to include every individual under </w:t>
      </w:r>
      <w:r w:rsidR="00E6224D">
        <w:rPr>
          <w:lang w:val="en-US"/>
        </w:rPr>
        <w:t xml:space="preserve">the </w:t>
      </w:r>
      <w:r w:rsidRPr="00A47AEA">
        <w:rPr>
          <w:lang w:val="en-US"/>
        </w:rPr>
        <w:t xml:space="preserve">financial inclusion ambit to </w:t>
      </w:r>
      <w:r w:rsidR="00A51B6C">
        <w:rPr>
          <w:lang w:val="en-US"/>
        </w:rPr>
        <w:t>include them</w:t>
      </w:r>
      <w:r w:rsidRPr="00A47AEA">
        <w:rPr>
          <w:lang w:val="en-US"/>
        </w:rPr>
        <w:t xml:space="preserve"> in </w:t>
      </w:r>
      <w:r w:rsidR="00BA78C8">
        <w:rPr>
          <w:lang w:val="en-US"/>
        </w:rPr>
        <w:t>it</w:t>
      </w:r>
      <w:r w:rsidRPr="00A47AEA">
        <w:rPr>
          <w:lang w:val="en-US"/>
        </w:rPr>
        <w:t xml:space="preserve">s financial system </w:t>
      </w:r>
      <w:r w:rsidRPr="00A47AEA">
        <w:rPr>
          <w:lang w:val="en-US"/>
        </w:rPr>
        <w:fldChar w:fldCharType="begin" w:fldLock="1"/>
      </w:r>
      <w:r w:rsidR="00B12E5D">
        <w:rPr>
          <w:lang w:val="en-US"/>
        </w:rPr>
        <w:instrText>ADDIN CSL_CITATION {"citationItems":[{"id":"ITEM-1","itemData":{"DOI":"10.5901/mjss.2014.v5n9p221","ISSN":"20399340","abstract":"The purpose of this article is to examine the impact of mobile banking on financial inclusion in Zimbabwe. Financial inclusion is an urgent issue because of great numbers of 'unbanked' people in developing countries. The unemployed and low income people find themselves excluded from financial services offered by financial institutions due to access barriers. The paper adopts a qualitative research methodology and a survey design. The survey covered Masvingo district in Zimbabwe. Literature sources were also used to strengthen the field survey findings. The results revealed that the low income people are willing to adopt mobile banking and the reasons are that it is easily accessible, convenient, cheaper, easy to use and secure. Recommendations made are that there is need for the Central bank to supervise non-bank led mobile banking models and manage their cash holding limits and cost structures. The poor people have been traditionally located in the informal sector where they hardly enjoy banking services. With mobile banking, they can now enjoy the same basket of financial services through mobile banking. The mobile banking system is definitely ideal for the remote areas given that it is an easily accessible, cheaper, more convenient and faster means of sending and receiving money. Financial activity is increased in the rural areas and therefore economic growth is boosted.","author":[{"dropping-particle":"","family":"Mago","given":"Stephen","non-dropping-particle":"","parse-names":false,"suffix":""},{"dropping-particle":"","family":"Chitokwindo","given":"Sibert","non-dropping-particle":"","parse-names":false,"suffix":""}],"container-title":"Mediterranean Journal of Social Sciences","id":"ITEM-1","issue":"9","issued":{"date-parts":[["2014","5","1"]]},"page":"221-230","title":"The Impact of Mobile Banking on Financial Inclusion In Zimbabwe: A Case for Masvingo Province","type":"article-journal","volume":"5"},"uris":["http://www.mendeley.com/documents/?uuid=ed7d50d5-3aef-464f-aaa7-307da4460fb1","http://www.mendeley.com/documents/?uuid=ed3986b2-72c8-423c-b88a-a93e290a548c"]}],"mendeley":{"formattedCitation":"(Mago and Chitokwindo, 2014)","plainTextFormattedCitation":"(Mago and Chitokwindo, 2014)","previouslyFormattedCitation":"(Mago and Chitokwindo, 2014)"},"properties":{"noteIndex":0},"schema":"https://github.com/citation-style-language/schema/raw/master/csl-citation.json"}</w:instrText>
      </w:r>
      <w:r w:rsidRPr="00A47AEA">
        <w:rPr>
          <w:lang w:val="en-US"/>
        </w:rPr>
        <w:fldChar w:fldCharType="separate"/>
      </w:r>
      <w:r w:rsidR="00AF2B42" w:rsidRPr="00AF2B42">
        <w:rPr>
          <w:noProof/>
          <w:lang w:val="en-US"/>
        </w:rPr>
        <w:t>(Mago and Chitokwindo, 2014)</w:t>
      </w:r>
      <w:r w:rsidRPr="00A47AEA">
        <w:rPr>
          <w:lang w:val="en-US"/>
        </w:rPr>
        <w:fldChar w:fldCharType="end"/>
      </w:r>
      <w:r w:rsidRPr="00A47AEA">
        <w:rPr>
          <w:lang w:val="en-US"/>
        </w:rPr>
        <w:t xml:space="preserve">. Therefore, </w:t>
      </w:r>
      <w:r w:rsidR="003E7102" w:rsidRPr="00A47AEA">
        <w:rPr>
          <w:lang w:val="en-US"/>
        </w:rPr>
        <w:t>one</w:t>
      </w:r>
      <w:r w:rsidR="003E7102">
        <w:rPr>
          <w:lang w:val="en-US"/>
        </w:rPr>
        <w:t>-way</w:t>
      </w:r>
      <w:r w:rsidRPr="00A47AEA">
        <w:rPr>
          <w:lang w:val="en-US"/>
        </w:rPr>
        <w:t xml:space="preserve"> mobile banking </w:t>
      </w:r>
      <w:r w:rsidR="00BA78C8">
        <w:rPr>
          <w:lang w:val="en-US"/>
        </w:rPr>
        <w:t>plays</w:t>
      </w:r>
      <w:r w:rsidRPr="00A47AEA">
        <w:rPr>
          <w:lang w:val="en-US"/>
        </w:rPr>
        <w:t xml:space="preserve"> a significant role </w:t>
      </w:r>
      <w:r w:rsidR="0020439A">
        <w:rPr>
          <w:lang w:val="en-US"/>
        </w:rPr>
        <w:t>in reaching</w:t>
      </w:r>
      <w:r w:rsidRPr="00A47AEA">
        <w:rPr>
          <w:lang w:val="en-US"/>
        </w:rPr>
        <w:t xml:space="preserve"> the remotest customer through mobile banking and indirectly helping the government towards financial inclusion. Bankers are also utilizing game dynamic</w:t>
      </w:r>
      <w:r w:rsidR="00E6224D">
        <w:rPr>
          <w:lang w:val="en-US"/>
        </w:rPr>
        <w:t>s</w:t>
      </w:r>
      <w:r w:rsidRPr="00A47AEA">
        <w:rPr>
          <w:lang w:val="en-US"/>
        </w:rPr>
        <w:t xml:space="preserve"> and game machines to make the application attractive, fun</w:t>
      </w:r>
      <w:r w:rsidR="007861F6">
        <w:rPr>
          <w:lang w:val="en-US"/>
        </w:rPr>
        <w:t>-</w:t>
      </w:r>
      <w:r w:rsidRPr="00A47AEA">
        <w:rPr>
          <w:lang w:val="en-US"/>
        </w:rPr>
        <w:t>fi</w:t>
      </w:r>
      <w:r w:rsidR="007861F6">
        <w:rPr>
          <w:lang w:val="en-US"/>
        </w:rPr>
        <w:t>l</w:t>
      </w:r>
      <w:r w:rsidRPr="00A47AEA">
        <w:rPr>
          <w:lang w:val="en-US"/>
        </w:rPr>
        <w:t>led, and engaging</w:t>
      </w:r>
      <w:r w:rsidR="00E6224D">
        <w:rPr>
          <w:lang w:val="en-US"/>
        </w:rPr>
        <w:t>. It</w:t>
      </w:r>
      <w:r w:rsidRPr="00A47AEA">
        <w:rPr>
          <w:lang w:val="en-US"/>
        </w:rPr>
        <w:t xml:space="preserve"> eventually makes usage attractive and easy for consumers to accept mobile banking and can position it as a</w:t>
      </w:r>
      <w:r w:rsidR="00E6224D">
        <w:rPr>
          <w:lang w:val="en-US"/>
        </w:rPr>
        <w:t xml:space="preserve"> more comfortable</w:t>
      </w:r>
      <w:r w:rsidRPr="00A47AEA">
        <w:rPr>
          <w:lang w:val="en-US"/>
        </w:rPr>
        <w:t xml:space="preserve"> option to execute their daily financial transactions. The </w:t>
      </w:r>
      <w:r w:rsidR="00E6224D">
        <w:rPr>
          <w:lang w:val="en-US"/>
        </w:rPr>
        <w:t>mobile banking system</w:t>
      </w:r>
      <w:r w:rsidRPr="00A47AEA">
        <w:rPr>
          <w:lang w:val="en-US"/>
        </w:rPr>
        <w:t xml:space="preserve"> is based on four key components</w:t>
      </w:r>
      <w:r w:rsidR="00E6224D">
        <w:rPr>
          <w:lang w:val="en-US"/>
        </w:rPr>
        <w:t>: smartphones, wireless internet, banking applications</w:t>
      </w:r>
      <w:r w:rsidRPr="00A47AEA">
        <w:rPr>
          <w:lang w:val="en-US"/>
        </w:rPr>
        <w:t>, and human behavior. On one side</w:t>
      </w:r>
      <w:r w:rsidR="0020439A">
        <w:rPr>
          <w:lang w:val="en-US"/>
        </w:rPr>
        <w:t>,</w:t>
      </w:r>
      <w:r w:rsidRPr="00A47AEA">
        <w:rPr>
          <w:lang w:val="en-US"/>
        </w:rPr>
        <w:t xml:space="preserve"> ICT innovations are con</w:t>
      </w:r>
      <w:r w:rsidR="0020439A">
        <w:rPr>
          <w:lang w:val="en-US"/>
        </w:rPr>
        <w:t>tinual</w:t>
      </w:r>
      <w:r w:rsidRPr="00A47AEA">
        <w:rPr>
          <w:lang w:val="en-US"/>
        </w:rPr>
        <w:t xml:space="preserve">ly improving internet speed and security, smart and efficient devices, and bankers are continuously </w:t>
      </w:r>
      <w:r w:rsidR="00E6224D">
        <w:rPr>
          <w:lang w:val="en-US"/>
        </w:rPr>
        <w:t>enhanc</w:t>
      </w:r>
      <w:r w:rsidRPr="00A47AEA">
        <w:rPr>
          <w:lang w:val="en-US"/>
        </w:rPr>
        <w:t xml:space="preserve">ing their banking applications to provide a wide range of banking services through the mobile interface </w:t>
      </w:r>
      <w:r w:rsidRPr="00A47AEA">
        <w:rPr>
          <w:lang w:val="en-US"/>
        </w:rPr>
        <w:fldChar w:fldCharType="begin" w:fldLock="1"/>
      </w:r>
      <w:r w:rsidR="00B12E5D">
        <w:rPr>
          <w:lang w:val="en-US"/>
        </w:rPr>
        <w:instrText>ADDIN CSL_CITATION {"citationItems":[{"id":"ITEM-1","itemData":{"DOI":"10.1016/j.sjme.2016.12.001","ISSN":"24449695","abstract":"For financial institutions mobile banking has represented a breakthrough in terms of remote banking services. However, many customers remain uncertain due to its security. This study develops a technology acceptance model that integrates the innovation diffusion theory, perceived risk and trust in the classic TAM model in order to shed light on what factors determine user acceptance of mobile banking applications. The participants had to examine a mobile application of the largest European bank. In the proposed model, an approach to external influences was included, theoretically and originally stated by Davis et al. (1989). The proposed model was empirically tested using data collected from an online survey applying structural equation modeling (SEM). The results obtained in this study demonstrate how attitude determine mainly the intended use of mobile apps, discarding usefulness and risk as factors that directly improve its use. Finally, the study shows the main management implications and identifies certain strategies to reinforce this new business in the context of new technological advances.","author":[{"dropping-particle":"","family":"Muñoz-Leiva","given":"F.","non-dropping-particle":"","parse-names":false,"suffix":""},{"dropping-particle":"","family":"Climent-Climent","given":"S.","non-dropping-particle":"","parse-names":false,"suffix":""},{"dropping-particle":"","family":"Liébana-Cabanillas","given":"F.","non-dropping-particle":"","parse-names":false,"suffix":""}],"container-title":"Spanish Journal of Marketing - ESIC","id":"ITEM-1","issue":"1","issued":{"date-parts":[["2017","2"]]},"page":"25-38","title":"Determinants of intention to use the mobile banking apps: An extension of the classic TAM model","type":"article-journal","volume":"21"},"uris":["http://www.mendeley.com/documents/?uuid=d3a86947-f3a7-4544-b20d-2351792c02f8","http://www.mendeley.com/documents/?uuid=924a49fd-0a1c-4e97-a582-7c6e0b75edbf"]},{"id":"ITEM-2","itemData":{"DOI":"10.1177/0266666919871611","ISSN":"0266-6669","abstract":"&lt;p&gt;Due to recent technological developments in banking, the use of e-banking is becoming increasingly widespread. This study explored the effect of e-service quality on actual use of e-banking services and explained it through the Technology Acceptance Model. A survey was conducted in Pakistan and 493 questionnaires were collected from e-banking users and the data was analyzed using AMOS 20 and SPSS 20. The results of the study indicate that e-service quality positively affects perceived usefulness, perceived ease of use and intention to use e-banking and perceived usefulness positively affects attitude towards using e-banking and behavioral intentions to use e-banking. Perceived ease of use affects attitudes towards e-banking and attitudes positively affect behavioral intentions to use e-banking and behavioral intentions further positively affect actual use of e-banking. The sequential mediation of attitude and intention has been confirmed between e-service quality and actual use of e-banking. This study has significance for the managers of banking industry and will enable them to influence the attitude of customers in favor of their services and also help them devise strategies to improve their profitability.&lt;/p&gt;","author":[{"dropping-particle":"","family":"Ahmad","given":"Sheraz","non-dropping-particle":"","parse-names":false,"suffix":""},{"dropping-particle":"","family":"Bhatti","given":"Sabeen Hussain","non-dropping-particle":"","parse-names":false,"suffix":""},{"dropping-particle":"","family":"Hwang","given":"Yujong","non-dropping-particle":"","parse-names":false,"suffix":""}],"container-title":"Information Development","id":"ITEM-2","issue":"4","issued":{"date-parts":[["2020","11","29"]]},"page":"503-519","publisher":"SAGE Publications Ltd","title":"E-service quality and actual use of e-banking: Explanation through the Technology Acceptance Model","type":"article-journal","volume":"36"},"uris":["http://www.mendeley.com/documents/?uuid=28a3a951-635e-3a77-b898-d1cca3775153","http://www.mendeley.com/documents/?uuid=e4b4f525-feac-4e83-a154-69dee0c7ccb7"]},{"id":"ITEM-3","itemData":{"DOI":"10.1111/rode.12644","ISSN":"14679361","abstract":"We examine the impact of the rapidly expanding mobile banking service “mobile money” on rural households' ability to smooth investment in schooling after a negative shock. We find that a negative shock induces a 9.3-percentage point decrease in per school-age child educational expenditure for households who do not use mobile money compared to an 8.3-percentage point decrease for households that have adopted mobile money. The underlying mechanism is an increase in remittance receipt and the diversity of senders owing to the reduction in transactions cost provided by mobile money. We show that our results are robust to alternative mechanisms. We use the expansion in mobile money agent network as an exogenous variation in access to mobile money.","author":[{"dropping-particle":"","family":"Tabetando","given":"Rayner","non-dropping-particle":"","parse-names":false,"suffix":""},{"dropping-particle":"","family":"Matsumoto","given":"Tomoya","non-dropping-particle":"","parse-names":false,"suffix":""}],"container-title":"Review of Development Economics","id":"ITEM-3","issue":"1","issued":{"date-parts":[["2020","2","1"]]},"page":"84-105","publisher":"Blackwell Publishing Ltd","title":"Mobile money, risk sharing, and educational investment: Panel evidence from rural Uganda","type":"article-journal","volume":"24"},"uris":["http://www.mendeley.com/documents/?uuid=e139194e-5b61-37cd-89cb-2b959e9500d9","http://www.mendeley.com/documents/?uuid=f5c20773-661b-4f97-98e4-5e492b27a2bf"]},{"id":"ITEM-4","itemData":{"DOI":"10.1080/15332861.2016.1252653","ISSN":"1533287X","abstract":"Digital technologies have squeezed the entire world into a small frame. Trade and transactions never stop, and they go where the customer is. Marketers must reinvent their strategies and toolkits to win in this hyper-connected world. Companies are creating new and improved ways for engaging and involving their consumers, and one significant tool now used by companies for these purposes is the app. Mobile phones have registered the highest growth among all technological evolutions, and mobile apps are proliferating. Apps are being used across a diverse range of industry verticals, including banking, e-commerce, travel, and tourism. This article studies a set of twenty different banking apps and segments consumers based on their adoption and usage of the apps. This article emphasizes the role of mobile technologies to change established channels and banking services, and also analyzes how the Indian banking sector has benefited from the adoption of mobile apps.","author":[{"dropping-particle":"","family":"Alavi","given":"Shirin","non-dropping-particle":"","parse-names":false,"suffix":""},{"dropping-particle":"","family":"Ahuja","given":"Vandana","non-dropping-particle":"","parse-names":false,"suffix":""}],"container-title":"Journal of Internet Commerce","id":"ITEM-4","issue":"4","issued":{"date-parts":[["2016","10","1"]]},"page":"390-407","publisher":"Routledge","title":"An Empirical Segmentation of Users of Mobile Banking Apps","type":"article-journal","volume":"15"},"uris":["http://www.mendeley.com/documents/?uuid=dd755e43-58fb-3583-9928-f43e92899fb1","http://www.mendeley.com/documents/?uuid=54401f6d-bb6c-4e2b-96e9-db71463fc572"]}],"mendeley":{"formattedCitation":"(Ahmad et al., 2020; Alavi and Ahuja, 2016; Muñoz-Leiva et al., 2017; Tabetando and Matsumoto, 2020)","plainTextFormattedCitation":"(Ahmad et al., 2020; Alavi and Ahuja, 2016; Muñoz-Leiva et al., 2017; Tabetando and Matsumoto, 2020)","previouslyFormattedCitation":"(Ahmad et al., 2020; Alavi and Ahuja, 2016; Muñoz-Leiva et al., 2017; Tabetando and Matsumoto, 2020)"},"properties":{"noteIndex":0},"schema":"https://github.com/citation-style-language/schema/raw/master/csl-citation.json"}</w:instrText>
      </w:r>
      <w:r w:rsidRPr="00A47AEA">
        <w:rPr>
          <w:lang w:val="en-US"/>
        </w:rPr>
        <w:fldChar w:fldCharType="separate"/>
      </w:r>
      <w:r w:rsidR="00AF2B42" w:rsidRPr="00AF2B42">
        <w:rPr>
          <w:noProof/>
          <w:lang w:val="en-US"/>
        </w:rPr>
        <w:t>(Ahmad et al., 2020; Alavi and Ahuja, 2016; Muñoz-Leiva et al., 2017; Tabetando and Matsumoto, 2020)</w:t>
      </w:r>
      <w:r w:rsidRPr="00A47AEA">
        <w:rPr>
          <w:lang w:val="en-US"/>
        </w:rPr>
        <w:fldChar w:fldCharType="end"/>
      </w:r>
      <w:r w:rsidRPr="00A47AEA">
        <w:rPr>
          <w:lang w:val="en-US"/>
        </w:rPr>
        <w:t xml:space="preserve">. </w:t>
      </w:r>
      <w:r w:rsidR="004974B5">
        <w:rPr>
          <w:lang w:val="en-US"/>
        </w:rPr>
        <w:t>O</w:t>
      </w:r>
      <w:r w:rsidRPr="00A47AEA">
        <w:rPr>
          <w:lang w:val="en-US"/>
        </w:rPr>
        <w:t xml:space="preserve">n the other side, the unrelated component is human behavior or precisely consumer behavior. To make it smooth, efficient, safe, and to serve consumers better, there is always a need to study what and how to influence consumers. Therefore, the most dynamic aspects </w:t>
      </w:r>
      <w:r w:rsidR="00E6224D">
        <w:rPr>
          <w:lang w:val="en-US"/>
        </w:rPr>
        <w:t>of consumer behavior to improve usage and acceptance of mobile banking are demographic factors as i</w:t>
      </w:r>
      <w:r w:rsidRPr="00A47AEA">
        <w:rPr>
          <w:lang w:val="en-US"/>
        </w:rPr>
        <w:t>t changes with time and places</w:t>
      </w:r>
      <w:r w:rsidR="00E6224D">
        <w:rPr>
          <w:lang w:val="en-US"/>
        </w:rPr>
        <w:t>. It</w:t>
      </w:r>
      <w:r w:rsidRPr="00A47AEA">
        <w:rPr>
          <w:lang w:val="en-US"/>
        </w:rPr>
        <w:t xml:space="preserve"> is the area where this study will further investigate.</w:t>
      </w:r>
    </w:p>
    <w:p w14:paraId="339E1C08" w14:textId="72659E26" w:rsidR="009C577A" w:rsidRDefault="00A47AEA" w:rsidP="0020439A">
      <w:r w:rsidRPr="00A47AEA">
        <w:rPr>
          <w:lang w:val="en-US"/>
        </w:rPr>
        <w:t xml:space="preserve">According to </w:t>
      </w:r>
      <w:r w:rsidRPr="00A51B6C">
        <w:rPr>
          <w:lang w:val="en-US"/>
        </w:rPr>
        <w:t>GSMA</w:t>
      </w:r>
      <w:r w:rsidRPr="00A47AEA">
        <w:rPr>
          <w:lang w:val="en-US"/>
        </w:rPr>
        <w:t xml:space="preserve"> </w:t>
      </w:r>
      <w:r w:rsidRPr="00A47AEA">
        <w:rPr>
          <w:lang w:val="en-US"/>
        </w:rPr>
        <w:fldChar w:fldCharType="begin" w:fldLock="1"/>
      </w:r>
      <w:r w:rsidR="007F49C2">
        <w:rPr>
          <w:lang w:val="en-US"/>
        </w:rPr>
        <w:instrText>ADDIN CSL_CITATION {"citationItems":[{"id":"ITEM-1","itemData":{"abstract":"Theres an app for that is Apples catch phrase to promote the literally thousands of applications that can be downloaded to an iPhone. Whether you want to check the weather or traffic, bide time playing a game, or study a new language, there is likely a free or paid application that you can access. While Apple may be best known for In 2018, almost 300 million people connected to mobile internet for the first time, bringing the total connected population to more than 3.5 billion people globally. For many of these individuals, mobile is the only method of accessing the internet, so growth in mobile internet adoption also drives digital inclusion, especially in low- and middle-income countries (LMICs)","author":[{"dropping-particle":"","family":"GSMA","given":"","non-dropping-particle":"","parse-names":false,"suffix":""}],"container-title":"comScore Mobilens","id":"ITEM-1","issued":{"date-parts":[["2019"]]},"number-of-pages":"01-56","title":"Connected Society The State of Mobile Internet Connectivity 2019","type":"report"},"suppress-author":1,"uris":["http://www.mendeley.com/documents/?uuid=b06207c1-8c07-4771-968f-1849ab96cc74","http://www.mendeley.com/documents/?uuid=842caeb9-774b-4dae-930e-c50eb397e2ce"]}],"mendeley":{"formattedCitation":"(2019)","plainTextFormattedCitation":"(2019)","previouslyFormattedCitation":"(2019)"},"properties":{"noteIndex":0},"schema":"https://github.com/citation-style-language/schema/raw/master/csl-citation.json"}</w:instrText>
      </w:r>
      <w:r w:rsidRPr="00A47AEA">
        <w:rPr>
          <w:lang w:val="en-US"/>
        </w:rPr>
        <w:fldChar w:fldCharType="separate"/>
      </w:r>
      <w:r w:rsidR="007F49C2" w:rsidRPr="007F49C2">
        <w:rPr>
          <w:noProof/>
          <w:lang w:val="en-US"/>
        </w:rPr>
        <w:t>(2019)</w:t>
      </w:r>
      <w:r w:rsidRPr="00A47AEA">
        <w:rPr>
          <w:lang w:val="en-US"/>
        </w:rPr>
        <w:fldChar w:fldCharType="end"/>
      </w:r>
      <w:r w:rsidRPr="00A47AEA">
        <w:rPr>
          <w:lang w:val="en-US"/>
        </w:rPr>
        <w:t xml:space="preserve">, almost half of the population has access to mobile internet. Growth in mobile internet access is burgeoning, specifically in low- and middle-income countries because it is the cheapest way to access the internet. The cost of the internet is getting affordable, and the internet is reaching rural areas. Therefore, mobile phone penetration and cheap internet are what consumers need to access mobile banking. </w:t>
      </w:r>
      <w:r w:rsidR="00E6224D">
        <w:rPr>
          <w:lang w:val="en-US"/>
        </w:rPr>
        <w:t>It</w:t>
      </w:r>
      <w:r w:rsidRPr="00A47AEA">
        <w:rPr>
          <w:lang w:val="en-US"/>
        </w:rPr>
        <w:t xml:space="preserve"> reflects a strong reason to understand the potential of mobile banking. The report also indicates that there is a persistent gender gap regarding mobile internet usage. As per the report, the two major demographic factors </w:t>
      </w:r>
      <w:r w:rsidR="00E6224D">
        <w:rPr>
          <w:lang w:val="en-US"/>
        </w:rPr>
        <w:t>influencing mobile internet usage are</w:t>
      </w:r>
      <w:r w:rsidRPr="00A47AEA">
        <w:rPr>
          <w:lang w:val="en-US"/>
        </w:rPr>
        <w:t xml:space="preserve"> gender and income level. Another report from ITU </w:t>
      </w:r>
      <w:r w:rsidRPr="00A47AEA">
        <w:rPr>
          <w:lang w:val="en-US"/>
        </w:rPr>
        <w:fldChar w:fldCharType="begin" w:fldLock="1"/>
      </w:r>
      <w:r w:rsidR="007F49C2">
        <w:rPr>
          <w:lang w:val="en-US"/>
        </w:rPr>
        <w:instrText>ADDIN CSL_CITATION {"citationItems":[{"id":"ITEM-1","itemData":{"ISBN":"9789261295110","author":[{"dropping-particle":"","family":"ITU","given":"","non-dropping-particle":"","parse-names":false,"suffix":""}],"id":"ITEM-1","issued":{"date-parts":[["2019"]]},"number-of-pages":"01-11","publisher-place":"Geneva","title":"Measuring digital development","type":"report"},"suppress-author":1,"uris":["http://www.mendeley.com/documents/?uuid=bfa2d43d-0ba3-4d25-8ad6-7238c78942e6","http://www.mendeley.com/documents/?uuid=2c99095b-00e3-418d-9c07-49aa548b8838"]}],"mendeley":{"formattedCitation":"(2019)","plainTextFormattedCitation":"(2019)","previouslyFormattedCitation":"(2019)"},"properties":{"noteIndex":0},"schema":"https://github.com/citation-style-language/schema/raw/master/csl-citation.json"}</w:instrText>
      </w:r>
      <w:r w:rsidRPr="00A47AEA">
        <w:rPr>
          <w:lang w:val="en-US"/>
        </w:rPr>
        <w:fldChar w:fldCharType="separate"/>
      </w:r>
      <w:r w:rsidR="007F49C2" w:rsidRPr="007F49C2">
        <w:rPr>
          <w:noProof/>
          <w:lang w:val="en-US"/>
        </w:rPr>
        <w:t>(2019)</w:t>
      </w:r>
      <w:r w:rsidRPr="00A47AEA">
        <w:rPr>
          <w:lang w:val="en-US"/>
        </w:rPr>
        <w:fldChar w:fldCharType="end"/>
      </w:r>
      <w:r w:rsidRPr="00A47AEA">
        <w:rPr>
          <w:lang w:val="en-US"/>
        </w:rPr>
        <w:t xml:space="preserve"> also reveals interesting facts about digital development related to human being and reflects demographic differences. The report indicated that Europeans have the highest Internet usage and mobile phone ownership </w:t>
      </w:r>
      <w:r w:rsidRPr="00A47AEA">
        <w:rPr>
          <w:lang w:val="en-US"/>
        </w:rPr>
        <w:lastRenderedPageBreak/>
        <w:t xml:space="preserve">rates. Approximately 97 percent of the world’s population lives within reach of the mobile cellular signal. People in Europe have easy access to basic requirements to use mobile banking, such as a mobile phone and internet. Thus, if they have easy access to basic needs (ICT), then what else can affect, consequently it can be human behavior. </w:t>
      </w:r>
      <w:r w:rsidRPr="00A47AEA">
        <w:t xml:space="preserve">Therefore, there is a logic to study mobile banking usage and adoption behavior in the context of different countries and regions. </w:t>
      </w:r>
    </w:p>
    <w:p w14:paraId="53A62723" w14:textId="139B1DE8" w:rsidR="00A47AEA" w:rsidRDefault="00A47AEA" w:rsidP="0020439A">
      <w:r w:rsidRPr="00A47AEA">
        <w:t>The most amazing fact is that the gender difference w</w:t>
      </w:r>
      <w:r w:rsidR="00E6224D">
        <w:t>as not expected</w:t>
      </w:r>
      <w:r w:rsidR="00BA78C8">
        <w:t xml:space="preserve"> </w:t>
      </w:r>
      <w:r w:rsidRPr="00A47AEA">
        <w:t xml:space="preserve">for Europe and American regions but all the </w:t>
      </w:r>
      <w:r w:rsidR="00E6224D">
        <w:t>world regions. But in fact, e</w:t>
      </w:r>
      <w:r w:rsidRPr="00A47AEA">
        <w:t>ven Europe has more men than women using the internet.</w:t>
      </w:r>
      <w:r w:rsidRPr="00A47AEA">
        <w:rPr>
          <w:lang w:val="en-US"/>
        </w:rPr>
        <w:t xml:space="preserve"> Despite having the highest internet usage and mobile ownership rates, still, gender differences can be traced. It raises a</w:t>
      </w:r>
      <w:r w:rsidR="0020439A">
        <w:rPr>
          <w:lang w:val="en-US"/>
        </w:rPr>
        <w:t>n undeniable</w:t>
      </w:r>
      <w:r w:rsidRPr="00A47AEA">
        <w:rPr>
          <w:lang w:val="en-US"/>
        </w:rPr>
        <w:t xml:space="preserve"> question, why the difference exists and how </w:t>
      </w:r>
      <w:r w:rsidR="00E6224D">
        <w:rPr>
          <w:lang w:val="en-US"/>
        </w:rPr>
        <w:t>vast</w:t>
      </w:r>
      <w:r w:rsidRPr="00A47AEA">
        <w:rPr>
          <w:lang w:val="en-US"/>
        </w:rPr>
        <w:t xml:space="preserve"> the difference is. Hence, gender is one </w:t>
      </w:r>
      <w:r w:rsidR="00E6224D">
        <w:rPr>
          <w:lang w:val="en-US"/>
        </w:rPr>
        <w:t>factor</w:t>
      </w:r>
      <w:r w:rsidRPr="00A47AEA">
        <w:rPr>
          <w:lang w:val="en-US"/>
        </w:rPr>
        <w:t xml:space="preserve"> the present study wants to link and understand why mobile banking usage behavior and adoption differ in men and women. Based on this, the gender differen</w:t>
      </w:r>
      <w:r w:rsidR="00494B84">
        <w:rPr>
          <w:lang w:val="en-US"/>
        </w:rPr>
        <w:t>ce is still an issue. Moreover,</w:t>
      </w:r>
      <w:r w:rsidRPr="00A47AEA">
        <w:rPr>
          <w:lang w:val="en-US"/>
        </w:rPr>
        <w:t xml:space="preserve"> the present study will cover the other demographic factors</w:t>
      </w:r>
      <w:r w:rsidR="00E6224D">
        <w:rPr>
          <w:lang w:val="en-US"/>
        </w:rPr>
        <w:t>, such as employment, rural,</w:t>
      </w:r>
      <w:r w:rsidR="00494B84">
        <w:rPr>
          <w:lang w:val="en-US"/>
        </w:rPr>
        <w:t xml:space="preserve"> urban people, etc.</w:t>
      </w:r>
      <w:r w:rsidRPr="00A47AEA">
        <w:t xml:space="preserve"> </w:t>
      </w:r>
      <w:r w:rsidR="00BA78C8">
        <w:t>T</w:t>
      </w:r>
      <w:r w:rsidRPr="00A47AEA">
        <w:t>he present study identified</w:t>
      </w:r>
      <w:r w:rsidR="00BA78C8">
        <w:t xml:space="preserve"> the</w:t>
      </w:r>
      <w:r w:rsidRPr="00A47AEA">
        <w:t xml:space="preserve"> </w:t>
      </w:r>
      <w:r w:rsidR="00BA78C8">
        <w:t>critical</w:t>
      </w:r>
      <w:r w:rsidRPr="00A47AEA">
        <w:t xml:space="preserve"> demographic factors to understand human behavior through the most accepted information technology </w:t>
      </w:r>
      <w:r w:rsidR="00494B84" w:rsidRPr="00A47AEA">
        <w:t xml:space="preserve">model </w:t>
      </w:r>
      <w:r w:rsidR="00494B84">
        <w:t>(</w:t>
      </w:r>
      <w:r w:rsidR="00494B84" w:rsidRPr="00494B84">
        <w:t>unified theory of acceptance and use of technology</w:t>
      </w:r>
      <w:r w:rsidR="00494B84">
        <w:t>, UTAUT)</w:t>
      </w:r>
      <w:r w:rsidR="00BA78C8">
        <w:t>.</w:t>
      </w:r>
      <w:r w:rsidR="00494B84" w:rsidRPr="00494B84">
        <w:t xml:space="preserve"> </w:t>
      </w:r>
      <w:r w:rsidR="00BA78C8">
        <w:t>G</w:t>
      </w:r>
      <w:r w:rsidRPr="00A47AEA">
        <w:t>iven by</w:t>
      </w:r>
      <w:r w:rsidR="00494B84" w:rsidRPr="00494B84">
        <w:rPr>
          <w:noProof/>
        </w:rPr>
        <w:t xml:space="preserve"> </w:t>
      </w:r>
      <w:r w:rsidR="00494B84">
        <w:rPr>
          <w:noProof/>
        </w:rPr>
        <w:t>Venkatesh</w:t>
      </w:r>
      <w:r w:rsidR="0075274F">
        <w:rPr>
          <w:noProof/>
        </w:rPr>
        <w:t xml:space="preserve"> et al. </w:t>
      </w:r>
      <w:r w:rsidRPr="00A47AEA">
        <w:fldChar w:fldCharType="begin" w:fldLock="1"/>
      </w:r>
      <w:r w:rsidR="00CE30AA">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suppress-author":1,"uris":["http://www.mendeley.com/documents/?uuid=47aaf082-83a2-46f0-b062-9c6987a306c3"]}],"mendeley":{"formattedCitation":"(2012)","plainTextFormattedCitation":"(2012)","previouslyFormattedCitation":"(2012)"},"properties":{"noteIndex":0},"schema":"https://github.com/citation-style-language/schema/raw/master/csl-citation.json"}</w:instrText>
      </w:r>
      <w:r w:rsidRPr="00A47AEA">
        <w:fldChar w:fldCharType="separate"/>
      </w:r>
      <w:r w:rsidR="0075274F" w:rsidRPr="0075274F">
        <w:rPr>
          <w:noProof/>
        </w:rPr>
        <w:t>(2012)</w:t>
      </w:r>
      <w:r w:rsidRPr="00A47AEA">
        <w:rPr>
          <w:lang w:val="en-US"/>
        </w:rPr>
        <w:fldChar w:fldCharType="end"/>
      </w:r>
      <w:r w:rsidRPr="00A47AEA">
        <w:t xml:space="preserve">, </w:t>
      </w:r>
      <w:r w:rsidR="00BA78C8">
        <w:t>many researchers applied</w:t>
      </w:r>
      <w:r w:rsidRPr="00A47AEA">
        <w:t xml:space="preserve"> mobile banking acceptance and usage studies </w:t>
      </w:r>
      <w:r w:rsidRPr="00A47AEA">
        <w:fldChar w:fldCharType="begin" w:fldLock="1"/>
      </w:r>
      <w:r w:rsidR="00B12E5D">
        <w:instrText>ADDIN CSL_CITATION {"citationItems":[{"id":"ITEM-1","itemData":{"DOI":"10.1016/J.CHB.2015.04.024","ISSN":"0747-5632","abstract":"The fast advancement of communications, mobile technologies, and the proliferation of smart devices has increased the importance of mobile banking services for banks, financial institutions, and users. In developing countries, especially in Africa, mobile banking can play a strong role, providing a way to overcome financial exclusion and physical distance by allowing local population to conduct financial transactions. Acceptance studies in this region are scarce, leaving us an almost unexplored area of research. We advance the body of knowledge on mobile banking acceptance by proposing an innovative and comprehensive theoretical model that combines the extended unified theory of acceptance and use of technology (UTAUT2) of Venkatesh, Thong, and Xu (2012), with cultural moderators from Hofstede, providing new insights into factors affecting the acceptation and how culture influences individual use behaviour. The model was tested using structural equation modelling (SEM), in a quantitative study conducted in an African country, reinforcing data and knowledge available from this important region. Performance expectancy, hedonic motivation, and habit were found to be the most significant antecedents of behaviour intention. To explain the mobile banking use behaviour the habit and culture moderator effects on behaviour intention over use behaviour were the most important drivers. Collectivism, uncertainty avoidance, short term and power distance were found to be the most significant cultural moderators.","author":[{"dropping-particle":"","family":"Baptista","given":"Goncalo","non-dropping-particle":"","parse-names":false,"suffix":""},{"dropping-particle":"","family":"Oliveira","given":"Tiago","non-dropping-particle":"","parse-names":false,"suffix":""}],"container-title":"Computers in Human Behavior","id":"ITEM-1","issued":{"date-parts":[["2015","9"]]},"page":"418-430","publisher":"Pergamon","title":"Understanding mobile banking: The unified theory of acceptance and use of technology combined with cultural moderators","type":"article-journal","volume":"50"},"uris":["http://www.mendeley.com/documents/?uuid=513d674f-5799-407c-aef1-264a6d663b02","http://www.mendeley.com/documents/?uuid=329ba48c-e216-44ef-a47a-91dc51b53912"]},{"id":"ITEM-2","itemData":{"DOI":"10.1016/j.ijinfomgt.2018.09.002","ISSN":"02684012","abstract":"Mobile banking is one of the most promising technologies that has emerged in recent years and could prove to have considerable value to both banks and customers. Thus, this study recognises the need to test the main factors that could predict the use of mobile banking as well as how using such a system could contribute to both customer satisfaction and customer loyalty. The conceptual model of this study combines two models (i.e. UTAUT2 and the D&amp; M IS Success Model). A questionnaire survey was conducted to collect the required data from convenience sampling of Saudi bank customers. The main factors - performance expectancy, price value, facilitating conditions, hedonic motivation, habit, system quality and service quality - were found to have a significant impact on actual use behaviour. This study was cross-sectional, therefore future studies should implement longitudinal studies in order to re-collect the findings. Further, this study adopted convenience sampling of Saudi M- Banking users. This may adversely impact the issue of generalisability to the whole population. The gap in the M-Banking literature in Saudi Arabia would be bridged by proposing a comprehensive conceptual model that scrupulously clarifies the use of M-Banking from the perspective of Saudi users. Furthermore, this study would consider the adoption of numeric data in order to inferentially analyse them using SEM. This in turn would assist in generalising the findings to the whole Saudi population.","author":[{"dropping-particle":"","family":"Baabdullah","given":"Abdullah M.","non-dropping-particle":"","parse-names":false,"suffix":""},{"dropping-particle":"","family":"Alalwan","given":"Ali Abdallah","non-dropping-particle":"","parse-names":false,"suffix":""},{"dropping-particle":"","family":"Rana","given":"Nripendra P.","non-dropping-particle":"","parse-names":false,"suffix":""},{"dropping-particle":"","family":"Kizgin","given":"Hatice","non-dropping-particle":"","parse-names":false,"suffix":""},{"dropping-particle":"","family":"Patil","given":"Pushp","non-dropping-particle":"","parse-names":false,"suffix":""}],"container-title":"International Journal of Information Management","id":"ITEM-2","issued":{"date-parts":[["2019","2"]]},"page":"38-52","title":"Consumer use of mobile banking (M-Banking) in Saudi Arabia: Towards an integrated model","type":"article-journal","volume":"44"},"uris":["http://www.mendeley.com/documents/?uuid=e9421b6a-5730-4b8d-8859-10c70d6f45b2"]}],"mendeley":{"formattedCitation":"(Baabdullah et al., 2019; Baptista and Oliveira, 2015)","plainTextFormattedCitation":"(Baabdullah et al., 2019; Baptista and Oliveira, 2015)","previouslyFormattedCitation":"(Baabdullah et al., 2019; Baptista and Oliveira, 2015)"},"properties":{"noteIndex":0},"schema":"https://github.com/citation-style-language/schema/raw/master/csl-citation.json"}</w:instrText>
      </w:r>
      <w:r w:rsidRPr="00A47AEA">
        <w:fldChar w:fldCharType="separate"/>
      </w:r>
      <w:r w:rsidR="00B12E5D" w:rsidRPr="00B12E5D">
        <w:rPr>
          <w:noProof/>
        </w:rPr>
        <w:t>(Baabdullah et al., 2019; Baptista and Oliveira, 2015)</w:t>
      </w:r>
      <w:r w:rsidRPr="00A47AEA">
        <w:rPr>
          <w:lang w:val="en-US"/>
        </w:rPr>
        <w:fldChar w:fldCharType="end"/>
      </w:r>
      <w:r w:rsidRPr="00A47AEA">
        <w:t>.</w:t>
      </w:r>
    </w:p>
    <w:p w14:paraId="28384774" w14:textId="4A189882" w:rsidR="00A47AEA" w:rsidRPr="00A47AEA" w:rsidRDefault="00A47AEA" w:rsidP="0020439A">
      <w:pPr>
        <w:rPr>
          <w:lang w:val="en-US"/>
        </w:rPr>
      </w:pPr>
      <w:r w:rsidRPr="00A47AEA">
        <w:rPr>
          <w:lang w:val="en-US"/>
        </w:rPr>
        <w:t xml:space="preserve">The UTAUT model </w:t>
      </w:r>
      <w:r w:rsidR="00494B84">
        <w:rPr>
          <w:lang w:val="en-US"/>
        </w:rPr>
        <w:t xml:space="preserve">was </w:t>
      </w:r>
      <w:r w:rsidRPr="00A47AEA">
        <w:rPr>
          <w:lang w:val="en-US"/>
        </w:rPr>
        <w:t>first recommended by</w:t>
      </w:r>
      <w:r w:rsidR="00494B84">
        <w:rPr>
          <w:lang w:val="en-US"/>
        </w:rPr>
        <w:t xml:space="preserve"> </w:t>
      </w:r>
      <w:r w:rsidR="00494B84">
        <w:rPr>
          <w:noProof/>
          <w:lang w:val="en-US"/>
        </w:rPr>
        <w:t>Venkatesh</w:t>
      </w:r>
      <w:r w:rsidR="00CE30AA">
        <w:rPr>
          <w:noProof/>
          <w:lang w:val="en-US"/>
        </w:rPr>
        <w:t xml:space="preserve"> et al.</w:t>
      </w:r>
      <w:r w:rsidRPr="00A47AEA">
        <w:rPr>
          <w:lang w:val="en-US"/>
        </w:rPr>
        <w:t xml:space="preserve"> </w:t>
      </w:r>
      <w:r w:rsidRPr="00A47AEA">
        <w:rPr>
          <w:lang w:val="en-US"/>
        </w:rPr>
        <w:fldChar w:fldCharType="begin" w:fldLock="1"/>
      </w:r>
      <w:r w:rsidR="00CE30AA">
        <w:rPr>
          <w:lang w:val="en-U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suppress-author":1,"uris":["http://www.mendeley.com/documents/?uuid=07f868c3-3adf-4f1e-91bf-d93a91d07210"]}],"mendeley":{"formattedCitation":"(2003)","plainTextFormattedCitation":"(2003)","previouslyFormattedCitation":"(2003)"},"properties":{"noteIndex":0},"schema":"https://github.com/citation-style-language/schema/raw/master/csl-citation.json"}</w:instrText>
      </w:r>
      <w:r w:rsidRPr="00A47AEA">
        <w:rPr>
          <w:lang w:val="en-US"/>
        </w:rPr>
        <w:fldChar w:fldCharType="separate"/>
      </w:r>
      <w:r w:rsidR="00CE30AA" w:rsidRPr="00CE30AA">
        <w:rPr>
          <w:noProof/>
          <w:lang w:val="en-US"/>
        </w:rPr>
        <w:t>(2003)</w:t>
      </w:r>
      <w:r w:rsidRPr="00A47AEA">
        <w:rPr>
          <w:lang w:val="en-US"/>
        </w:rPr>
        <w:fldChar w:fldCharType="end"/>
      </w:r>
      <w:r w:rsidRPr="00A47AEA">
        <w:rPr>
          <w:lang w:val="en-US"/>
        </w:rPr>
        <w:t xml:space="preserve"> to determine the behavioral intention and use behavior about the information system. That</w:t>
      </w:r>
      <w:r w:rsidR="00494B84">
        <w:rPr>
          <w:lang w:val="en-US"/>
        </w:rPr>
        <w:t xml:space="preserve"> i</w:t>
      </w:r>
      <w:r w:rsidRPr="00A47AEA">
        <w:rPr>
          <w:lang w:val="en-US"/>
        </w:rPr>
        <w:t xml:space="preserve">s why </w:t>
      </w:r>
      <w:r w:rsidRPr="00A47AEA">
        <w:rPr>
          <w:bCs/>
          <w:lang w:val="en-US"/>
        </w:rPr>
        <w:t xml:space="preserve">the </w:t>
      </w:r>
      <w:r w:rsidR="00E6224D">
        <w:rPr>
          <w:bCs/>
          <w:lang w:val="en-US"/>
        </w:rPr>
        <w:t>current research's theoretical support</w:t>
      </w:r>
      <w:r w:rsidRPr="00A47AEA">
        <w:rPr>
          <w:bCs/>
          <w:lang w:val="en-US"/>
        </w:rPr>
        <w:t xml:space="preserve"> is </w:t>
      </w:r>
      <w:r w:rsidR="00494B84">
        <w:rPr>
          <w:bCs/>
          <w:lang w:val="en-US"/>
        </w:rPr>
        <w:t>based on two standpoints: UTAUT</w:t>
      </w:r>
      <w:r w:rsidRPr="00A47AEA">
        <w:rPr>
          <w:bCs/>
          <w:lang w:val="en-US"/>
        </w:rPr>
        <w:t xml:space="preserve"> </w:t>
      </w:r>
      <w:r w:rsidRPr="00A47AEA">
        <w:rPr>
          <w:bCs/>
        </w:rPr>
        <w:fldChar w:fldCharType="begin" w:fldLock="1"/>
      </w:r>
      <w:r w:rsidR="00B12E5D">
        <w:rPr>
          <w:bCs/>
        </w:rPr>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A47AEA">
        <w:rPr>
          <w:bCs/>
        </w:rPr>
        <w:fldChar w:fldCharType="separate"/>
      </w:r>
      <w:r w:rsidR="00AF1E11" w:rsidRPr="00AF1E11">
        <w:rPr>
          <w:bCs/>
          <w:noProof/>
        </w:rPr>
        <w:t>(Venkatesh et al., 2012)</w:t>
      </w:r>
      <w:r w:rsidRPr="00A47AEA">
        <w:rPr>
          <w:lang w:val="en-US"/>
        </w:rPr>
        <w:fldChar w:fldCharType="end"/>
      </w:r>
      <w:r w:rsidRPr="00A47AEA">
        <w:rPr>
          <w:bCs/>
          <w:lang w:val="en-US"/>
        </w:rPr>
        <w:t xml:space="preserve"> and the chosen demographic factors</w:t>
      </w:r>
      <w:r w:rsidRPr="00A47AEA">
        <w:rPr>
          <w:bCs/>
        </w:rPr>
        <w:t xml:space="preserve">. The UTAUT model </w:t>
      </w:r>
      <w:r w:rsidRPr="00A47AEA">
        <w:rPr>
          <w:bCs/>
        </w:rPr>
        <w:fldChar w:fldCharType="begin" w:fldLock="1"/>
      </w:r>
      <w:r w:rsidR="00B12E5D">
        <w:rPr>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View","type":"article-journal","volume":"27"},"uris":["http://www.mendeley.com/documents/?uuid=07f868c3-3adf-4f1e-91bf-d93a91d07210"]}],"mendeley":{"formattedCitation":"(Venkatesh et al., 2003)","plainTextFormattedCitation":"(Venkatesh et al., 2003)","previouslyFormattedCitation":"(Venkatesh et al., 2003)"},"properties":{"noteIndex":0},"schema":"https://github.com/citation-style-language/schema/raw/master/csl-citation.json"}</w:instrText>
      </w:r>
      <w:r w:rsidRPr="00A47AEA">
        <w:rPr>
          <w:bCs/>
        </w:rPr>
        <w:fldChar w:fldCharType="separate"/>
      </w:r>
      <w:r w:rsidR="007F49C2" w:rsidRPr="007F49C2">
        <w:rPr>
          <w:bCs/>
          <w:noProof/>
        </w:rPr>
        <w:t>(Venkatesh et al., 2003)</w:t>
      </w:r>
      <w:r w:rsidRPr="00A47AEA">
        <w:rPr>
          <w:lang w:val="en-US"/>
        </w:rPr>
        <w:fldChar w:fldCharType="end"/>
      </w:r>
      <w:r w:rsidRPr="00A47AEA">
        <w:rPr>
          <w:bCs/>
        </w:rPr>
        <w:t xml:space="preserve"> was established based on eight prominent and preceding theories: the theory of reasoned action </w:t>
      </w:r>
      <w:r w:rsidRPr="00A47AEA">
        <w:rPr>
          <w:bCs/>
        </w:rPr>
        <w:fldChar w:fldCharType="begin" w:fldLock="1"/>
      </w:r>
      <w:r w:rsidR="00B16657">
        <w:rPr>
          <w:bCs/>
        </w:rPr>
        <w:instrText>ADDIN CSL_CITATION {"citationItems":[{"id":"ITEM-1","itemData":{"ISBN":"978-0201020892","abstract":"The theory of reasoned action (TRA) is a general theory of behavior that was first introduced in 1967 by Martin Fishbein, and was extended by Fishbein and Icek Ajzen (e.g., Fishbein &amp; Ajzen 1975; Ajzen &amp; Fishbein 1980). Developed largely in response to the repeated failure of traditional [RIGHTWARDS ARROW] attitude measures to predict specific behaviors, the theory began with the premise that the simplest and most efficient way to predict a given behavior was to ask a person whether he or she was or was not going to perform that behavior. Thus, according to the theory, performance or non-performance of a given behavior is primarily determined by the strength of a person's intention to perform (or to not perform) that behavior, where intention is defined as the subjective likelihood that one will perform (or try to perform) the behavior in question ([RIGHTWARDS ARROW] Attitude-Behavior Consistency; Planned Behavior, Theory of).","author":[{"dropping-particle":"","family":"Fishbein","given":"Martin","non-dropping-particle":"","parse-names":false,"suffix":""},{"dropping-particle":"","family":"Ajzen","given":"Icek","non-dropping-particle":"","parse-names":false,"suffix":""}],"id":"ITEM-1","issued":{"date-parts":[["1975","5"]]},"number-of-pages":"578","publisher":"Addison-Wesley","title":"Belief, attitude, intention, and behavior: An introduction to theory and research","type":"book"},"uris":["http://www.mendeley.com/documents/?uuid=c16b3ba3-f9ec-4611-8ebd-e05f48bfd9ba","http://www.mendeley.com/documents/?uuid=2b271685-ccb4-46ce-b019-b8a8008c9246"]}],"mendeley":{"formattedCitation":"(Fishbein and Ajzen, 1975)","plainTextFormattedCitation":"(Fishbein and Ajzen, 1975)","previouslyFormattedCitation":"(Fishbein and Ajzen, 1975)"},"properties":{"noteIndex":0},"schema":"https://github.com/citation-style-language/schema/raw/master/csl-citation.json"}</w:instrText>
      </w:r>
      <w:r w:rsidRPr="00A47AEA">
        <w:rPr>
          <w:bCs/>
        </w:rPr>
        <w:fldChar w:fldCharType="separate"/>
      </w:r>
      <w:r w:rsidR="00AF2B42" w:rsidRPr="00AF2B42">
        <w:rPr>
          <w:bCs/>
          <w:noProof/>
        </w:rPr>
        <w:t>(Fishbein and Ajzen, 1975)</w:t>
      </w:r>
      <w:r w:rsidRPr="00A47AEA">
        <w:rPr>
          <w:lang w:val="en-US"/>
        </w:rPr>
        <w:fldChar w:fldCharType="end"/>
      </w:r>
      <w:r w:rsidRPr="00A47AEA">
        <w:rPr>
          <w:bCs/>
        </w:rPr>
        <w:t xml:space="preserve">, the technology acceptance model </w:t>
      </w:r>
      <w:r w:rsidRPr="00A47AEA">
        <w:rPr>
          <w:bCs/>
        </w:rPr>
        <w:fldChar w:fldCharType="begin" w:fldLock="1"/>
      </w:r>
      <w:r w:rsidR="00B12E5D">
        <w:rPr>
          <w:bCs/>
        </w:rPr>
        <w:instrText>ADDIN CSL_CITATION {"citationItems":[{"id":"ITEM-1","itemData":{"DOI":"10.2307/249008","ISSN":"02767783","abstract":"JSTOR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Management Information Systems Research Center, University of Minnesota is collaborating with JSTOR to digitize, preserve and extend access to MIS Quarterly. Abstract Valid measurement scales for predicting user acceptance of computers are in short supply. Most subjective measures used in practice are unvalidated, and their relationship to system usage is unknown. The present research develops and validates new scales for two specific variables, perceived usefulness and perceived ease of use, which are hypothesized to be fundamental determinants of user acceptance. Definitions for these two variables were used to develop scale items that were pretested for content validity and then tested for reliability and construct validity in two studies involving a total of 152 users and four application programs. The measures were refined and streamlined , resulting in two six-item scales with reli-abilities of .98 for usefulness and .94 for ease of use. The scales exhibited high convergent, discriminant, and factorial validity. Perceived usefulness was significantly correlated with both self-reported current usage (r=.63, Study 1) and self-predicted future usage (r= .85, Study 2). Perceived ease of use was also significantly correlated with current usage (r=.45, Study 1) and future usage (r=.59, Study 2). In both studies, usefulness had a significantly greater correlation with usage behavior than did ease of use. Regression analyses suggest that perceived ease of use may actually be a causal antece-Abstract Valid measurement scales for predicting user acceptance of computers are in short supply. Most subjective measures used in practice are unvalidated, and their relationship to system usage is unknown. The present research develops and validates new scales for two specific variables, perceived usefulness and perceived ease of use, which are hypothesized to be fundamental determinants of user acceptance. Definitions for these two variables were used to develop scale items that were pretested for content validity and then tested for reliability and construct validity in two studies involving a total of 152 users and four applicati…","author":[{"dropping-particle":"","family":"Davis","given":"Fred D","non-dropping-particle":"","parse-names":false,"suffix":""}],"container-title":"MIS Quarterly","id":"ITEM-1","issue":"3","issued":{"date-parts":[["1989","9"]]},"page":"319","title":"Perceived Usefulness, Perceived Ease of Use, and User Acceptance of Information Technology","type":"article-journal","volume":"13"},"uris":["http://www.mendeley.com/documents/?uuid=017ca650-9e76-3620-b572-a196543edade"]}],"mendeley":{"formattedCitation":"(Davis, 1989)","plainTextFormattedCitation":"(Davis, 1989)","previouslyFormattedCitation":"(Davis, 1989)"},"properties":{"noteIndex":0},"schema":"https://github.com/citation-style-language/schema/raw/master/csl-citation.json"}</w:instrText>
      </w:r>
      <w:r w:rsidRPr="00A47AEA">
        <w:rPr>
          <w:bCs/>
        </w:rPr>
        <w:fldChar w:fldCharType="separate"/>
      </w:r>
      <w:r w:rsidR="007F49C2" w:rsidRPr="007F49C2">
        <w:rPr>
          <w:bCs/>
          <w:noProof/>
        </w:rPr>
        <w:t>(Davis, 1989)</w:t>
      </w:r>
      <w:r w:rsidRPr="00A47AEA">
        <w:rPr>
          <w:lang w:val="en-US"/>
        </w:rPr>
        <w:fldChar w:fldCharType="end"/>
      </w:r>
      <w:r w:rsidRPr="00A47AEA">
        <w:rPr>
          <w:bCs/>
        </w:rPr>
        <w:t xml:space="preserve">, the motivational model </w:t>
      </w:r>
      <w:r w:rsidRPr="00A47AEA">
        <w:rPr>
          <w:bCs/>
        </w:rPr>
        <w:fldChar w:fldCharType="begin" w:fldLock="1"/>
      </w:r>
      <w:r w:rsidR="00B12E5D">
        <w:rPr>
          <w:bCs/>
        </w:rPr>
        <w:instrText>ADDIN CSL_CITATION {"citationItems":[{"id":"ITEM-1","itemData":{"DOI":"10.1111/j.1559-1816.1992.tb00945.x","ISSN":"15591816","abstract":"Previous research indicates that perceived usefulness is a major determinant and predictor of intentions to use computers in the workplace. In contrast, the impact of enjoyment on usage intentions has not been examined. Two studies are reported concerning the relative effects of usefulness and enjoyment on intentions to use, and usage of, computers in the workplace. Usefulness had a strong effect on usage intentions in both Study 1, regarding word processing software (?=.68), and Study 2, regarding business graphics programs (?=.79). As hypothesized, enjoyment also had a significant effect on intentions in both studies, controlling for perceived usefulness (?=.16 and 0.15 for Studies 1 and 2, respectively). Study 1 found that intentions correlated 0.63 with system usage and that usefulness and enjoyment influenced usage behavior entirely indirectly through their effects on intentions. In both studies, a positive interaction between usefulness and enjoyment was observed. Together, usefulness and enjoyment explained 62% (Study 1) and 75% (Study 2) of the variance in usage intentions. Moreover, usefulness and enjoyment were found to mediate fully the effects on usage intentions of perceived output quality and perceived ease of use. As hypothesized, a measure of task importance moderated the effects of ease of use and output quality on usefulness but not on enjoyment. Several implications are drawn for how to design computer programs to be both more useful and more enjoyable in order to increase their acceptability among potential users. Copyright ? 1992, Wiley Blackwell. All rights reserved","author":[{"dropping-particle":"","family":"Davis","given":"Fred D.","non-dropping-particle":"","parse-names":false,"suffix":""},{"dropping-particle":"","family":"Bagozzi","given":"Richard P.","non-dropping-particle":"","parse-names":false,"suffix":""},{"dropping-particle":"","family":"Warshaw","given":"Paul R.","non-dropping-particle":"","parse-names":false,"suffix":""}],"container-title":"Journal of Applied Social Psychology","id":"ITEM-1","issue":"14","issued":{"date-parts":[["1992"]]},"page":"1111-1132","title":"Extrinsic and Intrinsic Motivation to Use Computers in the Workplace","type":"article-journal","volume":"22"},"uris":["http://www.mendeley.com/documents/?uuid=0fe7633c-2028-48ed-a02f-49c287b787a8"]}],"mendeley":{"formattedCitation":"(Davis et al., 1992)","plainTextFormattedCitation":"(Davis et al., 1992)","previouslyFormattedCitation":"(Davis et al., 1992)"},"properties":{"noteIndex":0},"schema":"https://github.com/citation-style-language/schema/raw/master/csl-citation.json"}</w:instrText>
      </w:r>
      <w:r w:rsidRPr="00A47AEA">
        <w:rPr>
          <w:bCs/>
        </w:rPr>
        <w:fldChar w:fldCharType="separate"/>
      </w:r>
      <w:r w:rsidR="00AF2B42" w:rsidRPr="00AF2B42">
        <w:rPr>
          <w:bCs/>
          <w:noProof/>
        </w:rPr>
        <w:t>(Davis et al., 1992)</w:t>
      </w:r>
      <w:r w:rsidRPr="00A47AEA">
        <w:rPr>
          <w:lang w:val="en-US"/>
        </w:rPr>
        <w:fldChar w:fldCharType="end"/>
      </w:r>
      <w:r w:rsidRPr="00A47AEA">
        <w:rPr>
          <w:bCs/>
        </w:rPr>
        <w:t xml:space="preserve">, the theory of planned behavior </w:t>
      </w:r>
      <w:r w:rsidRPr="00A47AEA">
        <w:rPr>
          <w:bCs/>
        </w:rPr>
        <w:fldChar w:fldCharType="begin" w:fldLock="1"/>
      </w:r>
      <w:r w:rsidR="00B12E5D">
        <w:rPr>
          <w:bCs/>
        </w:rPr>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behavior","type":"article-journal","volume":"50"},"uris":["http://www.mendeley.com/documents/?uuid=2340c3f6-f994-39f8-a286-7f861b48da4e"]}],"mendeley":{"formattedCitation":"(Ajzen, 1991)","plainTextFormattedCitation":"(Ajzen, 1991)","previouslyFormattedCitation":"(Ajzen, 1991)"},"properties":{"noteIndex":0},"schema":"https://github.com/citation-style-language/schema/raw/master/csl-citation.json"}</w:instrText>
      </w:r>
      <w:r w:rsidRPr="00A47AEA">
        <w:rPr>
          <w:bCs/>
        </w:rPr>
        <w:fldChar w:fldCharType="separate"/>
      </w:r>
      <w:r w:rsidR="007F49C2" w:rsidRPr="007F49C2">
        <w:rPr>
          <w:bCs/>
          <w:noProof/>
        </w:rPr>
        <w:t>(Ajzen, 1991)</w:t>
      </w:r>
      <w:r w:rsidRPr="00A47AEA">
        <w:rPr>
          <w:lang w:val="en-US"/>
        </w:rPr>
        <w:fldChar w:fldCharType="end"/>
      </w:r>
      <w:r w:rsidRPr="00A47AEA">
        <w:rPr>
          <w:bCs/>
        </w:rPr>
        <w:t xml:space="preserve">, the personal computing utilization model </w:t>
      </w:r>
      <w:r w:rsidRPr="00A47AEA">
        <w:rPr>
          <w:bCs/>
        </w:rPr>
        <w:fldChar w:fldCharType="begin" w:fldLock="1"/>
      </w:r>
      <w:r w:rsidR="00B16657">
        <w:rPr>
          <w:bCs/>
        </w:rPr>
        <w:instrText>ADDIN CSL_CITATION {"citationItems":[{"id":"ITEM-1","itemData":{"DOI":"10.2307/249443","abstract":"Organizations continue to invest heavily in personal computers for their knowledge workers. When use is optional, however, having access to the technology by no means ensures it will be used or used effectively. To help us gain a better understanding of factors that influence the use of personal computers, researchers have recently adapted the theory of reasoned action proposed by Fishbein and Azjen (1975). This study uses a competing theory of behavior proposed by Triandis (1980). Responses were collected from 212 knowledge workers in nine divisions of a multinational firm, and the measures and research hypotheses were analyzed using partial least squares (PLS). The results show that social norms and three components of expected consequences (complexity of use, fit between the job and PC capabilities, and long-term consequences) have a strong influence on utilization. These findings confirm the importance of the expected consequences of using PC technology, suggesting that training programs and organizational policies could be instituted to enhance or modify these expectations.","author":[{"dropping-particle":"","family":"Thompson","given":"Ronald L","non-dropping-particle":"","parse-names":false,"suffix":""},{"dropping-particle":"","family":"Higgins","given":"Christopher A","non-dropping-particle":"","parse-names":false,"suffix":""},{"dropping-particle":"","family":"Howell","given":"Jane M","non-dropping-particle":"","parse-names":false,"suffix":""}],"container-title":"MIS quarterly","id":"ITEM-1","issue":"1","issued":{"date-parts":[["1991"]]},"page":"125-143","title":"Personal computing: toward a conceptual model of utilization","type":"article-journal","volume":"15"},"uris":["http://www.mendeley.com/documents/?uuid=aef3d86c-20c1-4869-80fc-3e230a7d07b7","http://www.mendeley.com/documents/?uuid=6b05a34e-203f-44e7-8dc3-4c5496cffd81"]}],"mendeley":{"formattedCitation":"(Thompson et al., 1991)","plainTextFormattedCitation":"(Thompson et al., 1991)","previouslyFormattedCitation":"(Thompson et al., 1991)"},"properties":{"noteIndex":0},"schema":"https://github.com/citation-style-language/schema/raw/master/csl-citation.json"}</w:instrText>
      </w:r>
      <w:r w:rsidRPr="00A47AEA">
        <w:rPr>
          <w:bCs/>
        </w:rPr>
        <w:fldChar w:fldCharType="separate"/>
      </w:r>
      <w:r w:rsidR="00AF2B42" w:rsidRPr="00AF2B42">
        <w:rPr>
          <w:bCs/>
          <w:noProof/>
        </w:rPr>
        <w:t>(Thompson et al., 1991)</w:t>
      </w:r>
      <w:r w:rsidRPr="00A47AEA">
        <w:rPr>
          <w:lang w:val="en-US"/>
        </w:rPr>
        <w:fldChar w:fldCharType="end"/>
      </w:r>
      <w:r w:rsidRPr="00A47AEA">
        <w:rPr>
          <w:bCs/>
        </w:rPr>
        <w:t xml:space="preserve">, the innovation diffusion theory </w:t>
      </w:r>
      <w:r w:rsidRPr="00A47AEA">
        <w:rPr>
          <w:bCs/>
        </w:rPr>
        <w:fldChar w:fldCharType="begin" w:fldLock="1"/>
      </w:r>
      <w:r w:rsidR="00B12E5D">
        <w:rPr>
          <w:bCs/>
        </w:rPr>
        <w:instrText>ADDIN CSL_CITATION {"citationItems":[{"id":"ITEM-1","itemData":{"ISBN":"0029266505","author":[{"dropping-particle":"","family":"Rogers","given":"Everett M","non-dropping-particle":"","parse-names":false,"suffix":""}],"edition":"3","id":"ITEM-1","issued":{"date-parts":[["1995"]]},"number-of-pages":"236","publisher":"The Free Press","publisher-place":"New York","title":"Diffusion of innovations","type":"book"},"uris":["http://www.mendeley.com/documents/?uuid=fb95aeb9-1cc1-4a10-825b-2b8e493d20fd"]}],"mendeley":{"formattedCitation":"(Rogers, 1995)","plainTextFormattedCitation":"(Rogers, 1995)","previouslyFormattedCitation":"(Rogers, 1995)"},"properties":{"noteIndex":0},"schema":"https://github.com/citation-style-language/schema/raw/master/csl-citation.json"}</w:instrText>
      </w:r>
      <w:r w:rsidRPr="00A47AEA">
        <w:rPr>
          <w:bCs/>
        </w:rPr>
        <w:fldChar w:fldCharType="separate"/>
      </w:r>
      <w:r w:rsidR="007F49C2" w:rsidRPr="007F49C2">
        <w:rPr>
          <w:bCs/>
          <w:noProof/>
        </w:rPr>
        <w:t>(Rogers, 1995)</w:t>
      </w:r>
      <w:r w:rsidRPr="00A47AEA">
        <w:rPr>
          <w:lang w:val="en-US"/>
        </w:rPr>
        <w:fldChar w:fldCharType="end"/>
      </w:r>
      <w:r w:rsidRPr="00A47AEA">
        <w:rPr>
          <w:bCs/>
        </w:rPr>
        <w:t xml:space="preserve">, the social cognitive theory </w:t>
      </w:r>
      <w:r w:rsidRPr="00A47AEA">
        <w:rPr>
          <w:bCs/>
        </w:rPr>
        <w:fldChar w:fldCharType="begin" w:fldLock="1"/>
      </w:r>
      <w:r w:rsidR="00B12E5D">
        <w:rPr>
          <w:bCs/>
        </w:rPr>
        <w:instrText>ADDIN CSL_CITATION {"citationItems":[{"id":"ITEM-1","itemData":{"DOI":"10.2307/249688","author":[{"dropping-particle":"","family":"Compeau","given":"Deborah R.","non-dropping-particle":"","parse-names":false,"suffix":""},{"dropping-particle":"","family":"Higgins","given":"Christopher A.","non-dropping-particle":"","parse-names":false,"suffix":""}],"container-title":"MIS Quarterly","id":"ITEM-1","issue":"2","issued":{"date-parts":[["1995","6"]]},"page":"189","title":"Computer Self-Efficacy: Development of a Measure and Initial Test","type":"article-journal","volume":"19"},"uris":["http://www.mendeley.com/documents/?uuid=db9dbc10-7d19-4344-babe-fce461d0d192"]}],"mendeley":{"formattedCitation":"(Compeau and Higgins, 1995)","plainTextFormattedCitation":"(Compeau and Higgins, 1995)","previouslyFormattedCitation":"(Compeau and Higgins, 1995)"},"properties":{"noteIndex":0},"schema":"https://github.com/citation-style-language/schema/raw/master/csl-citation.json"}</w:instrText>
      </w:r>
      <w:r w:rsidRPr="00A47AEA">
        <w:rPr>
          <w:bCs/>
        </w:rPr>
        <w:fldChar w:fldCharType="separate"/>
      </w:r>
      <w:r w:rsidR="00AF2B42" w:rsidRPr="00AF2B42">
        <w:rPr>
          <w:bCs/>
          <w:noProof/>
        </w:rPr>
        <w:t>(Compeau and Higgins, 1995)</w:t>
      </w:r>
      <w:r w:rsidRPr="00A47AEA">
        <w:rPr>
          <w:lang w:val="en-US"/>
        </w:rPr>
        <w:fldChar w:fldCharType="end"/>
      </w:r>
      <w:r w:rsidRPr="00A47AEA">
        <w:rPr>
          <w:bCs/>
        </w:rPr>
        <w:t xml:space="preserve"> and the integrated model of technology acceptance and planned behavior </w:t>
      </w:r>
      <w:r w:rsidRPr="00A47AEA">
        <w:rPr>
          <w:bCs/>
        </w:rPr>
        <w:fldChar w:fldCharType="begin" w:fldLock="1"/>
      </w:r>
      <w:r w:rsidR="00B12E5D">
        <w:rPr>
          <w:bCs/>
        </w:rPr>
        <w:instrText>ADDIN CSL_CITATION {"citationItems":[{"id":"ITEM-1","itemData":{"DOI":"10.1287/isre.6.2.144","abstract":"The Technology Acceptance Model and two variations of the Theory of Planned Behavior were compared to assess which model best helps to understand usage of information technology. The models were compared using student data collected from 786 potential users of a computer resource center. Behavior data was based on monitoring 3,780 visits to the resource center over a 12-week period. Weighted least squares estimation revealed that all three models performed well in terms of fit and were roughly equivalent in terms of their ability to explain behavior. Decomposing the belief structures in the Theory of Planned Behavior provided a moderate increase in the explanation of behavioral intention. Overall, the results indicate that the decomposed Theory of Planned Behavior provides a fuller understanding of behavioral intention by focusing on the factors that are likely to influence systems use through the application of both design and implementation strategies.","author":[{"dropping-particle":"","family":"Taylor","given":"Shirley","non-dropping-particle":"","parse-names":false,"suffix":""},{"dropping-particle":"","family":"Todd","given":"Peter A.","non-dropping-particle":"","parse-names":false,"suffix":""}],"container-title":"Information Systems Research","id":"ITEM-1","issue":"2","issued":{"date-parts":[["1995"]]},"page":"144-176","publisher":"INFORMS Inst.for Operations Res.and the Management Sciences","title":"Understanding information technology usage: A test of competing models","type":"article-journal","volume":"6"},"uris":["http://www.mendeley.com/documents/?uuid=df0a7d54-bce3-46e8-9131-b5cb9f5d7636"]}],"mendeley":{"formattedCitation":"(Taylor and Todd, 1995)","plainTextFormattedCitation":"(Taylor and Todd, 1995)","previouslyFormattedCitation":"(Taylor and Todd, 1995)"},"properties":{"noteIndex":0},"schema":"https://github.com/citation-style-language/schema/raw/master/csl-citation.json"}</w:instrText>
      </w:r>
      <w:r w:rsidRPr="00A47AEA">
        <w:rPr>
          <w:bCs/>
        </w:rPr>
        <w:fldChar w:fldCharType="separate"/>
      </w:r>
      <w:r w:rsidR="00AF2B42" w:rsidRPr="00AF2B42">
        <w:rPr>
          <w:bCs/>
          <w:noProof/>
        </w:rPr>
        <w:t>(Taylor and Todd, 1995)</w:t>
      </w:r>
      <w:r w:rsidRPr="00A47AEA">
        <w:rPr>
          <w:lang w:val="en-US"/>
        </w:rPr>
        <w:fldChar w:fldCharType="end"/>
      </w:r>
      <w:r w:rsidR="002B73B1">
        <w:rPr>
          <w:lang w:val="en-US"/>
        </w:rPr>
        <w:t xml:space="preserve"> (see Figure 1)</w:t>
      </w:r>
      <w:r w:rsidRPr="00A47AEA">
        <w:rPr>
          <w:lang w:val="en-US"/>
        </w:rPr>
        <w:t xml:space="preserve">. On the other hand, </w:t>
      </w:r>
      <w:r w:rsidR="00BA78C8">
        <w:rPr>
          <w:lang w:val="en-US"/>
        </w:rPr>
        <w:t>many studies have</w:t>
      </w:r>
      <w:r w:rsidRPr="00A47AEA">
        <w:rPr>
          <w:lang w:val="en-US"/>
        </w:rPr>
        <w:t xml:space="preserve"> covered various moderators to identify their impact on the antecedent of mobile banking usage behavior. The models of UTAUT, and </w:t>
      </w:r>
      <w:r w:rsidR="00494B84">
        <w:rPr>
          <w:lang w:val="en-US"/>
        </w:rPr>
        <w:t>its extended version</w:t>
      </w:r>
      <w:r w:rsidRPr="00A47AEA">
        <w:rPr>
          <w:lang w:val="en-US"/>
        </w:rPr>
        <w:t xml:space="preserve">, itself applied a few demographic factors such as gender, age, experience, and voluntariness of use. Subsequently, other authors also applied other demographic factors such as occupation, income, qualification, marital status </w:t>
      </w:r>
      <w:r w:rsidRPr="00A47AEA">
        <w:rPr>
          <w:lang w:val="en-US"/>
        </w:rPr>
        <w:fldChar w:fldCharType="begin" w:fldLock="1"/>
      </w:r>
      <w:r w:rsidR="00B12E5D">
        <w:rPr>
          <w:lang w:val="en-US"/>
        </w:rPr>
        <w:instrText>ADDIN CSL_CITATION {"citationItems":[{"id":"ITEM-1","itemData":{"DOI":"10.1177/0972150918757883","ISSN":"0972-1509","abstract":"The objective of this article is to analyze if demographic characteristics influence user attitude towards mobile banking. The sample comprise of current users of online banking. Although earlier studies on technology adoption models have received considerable empirical validation, most of the studies did not consider moderating variables. Among those, which consider moderating variables, primarily explored are gender, age and income. By including other moderator variables in the model, we hope to lessen the inconsistencies found in past research studies. To test the moderating effect, two methods, viz. multiple linear regression and Fisher Z transformation are used. Results show that gender, age, qualification, experience, occupation, income and marital status were significant moderating variables. However, educational background did not show any moderating effect. Our results suggest that by extending the Technology Acceptance Model (TAM) and Diffusion of Innovations (DoI) theory, the research provide insights into the factors influencing consumers’ attitude to adopt mobile banking applications. Besides, the results of moderating effect improve our understanding of the demographic differences, which influence the degree of mobile banking adoption. This study will help researchers and practitioners to come up with improved mobile adoption frameworks and applications with greater understanding of the influence of demographic factors.","author":[{"dropping-particle":"","family":"Chawla","given":"Deepak","non-dropping-particle":"","parse-names":false,"suffix":""},{"dropping-particle":"","family":"Joshi","given":"Himanshu","non-dropping-particle":"","parse-names":false,"suffix":""}],"container-title":"Global Business Review","id":"ITEM-1","issue":"3_suppl","issued":{"date-parts":[["2018","6","7"]]},"page":"S90-S113","title":"The Moderating Effect of Demographic Variables on Mobile Banking Adoption: An Empirical Investigation","type":"article-journal","volume":"19"},"uris":["http://www.mendeley.com/documents/?uuid=312bb979-8396-42fc-bc61-0fa62c6810a7"]}],"mendeley":{"formattedCitation":"(Chawla and Joshi, 2018)","plainTextFormattedCitation":"(Chawla and Joshi, 2018)","previouslyFormattedCitation":"(Chawla and Joshi, 2018)"},"properties":{"noteIndex":0},"schema":"https://github.com/citation-style-language/schema/raw/master/csl-citation.json"}</w:instrText>
      </w:r>
      <w:r w:rsidRPr="00A47AEA">
        <w:rPr>
          <w:lang w:val="en-US"/>
        </w:rPr>
        <w:fldChar w:fldCharType="separate"/>
      </w:r>
      <w:r w:rsidR="00AF2B42" w:rsidRPr="00AF2B42">
        <w:rPr>
          <w:noProof/>
          <w:lang w:val="en-US"/>
        </w:rPr>
        <w:t>(Chawla and Joshi, 2018)</w:t>
      </w:r>
      <w:r w:rsidRPr="00A47AEA">
        <w:rPr>
          <w:lang w:val="en-US"/>
        </w:rPr>
        <w:fldChar w:fldCharType="end"/>
      </w:r>
      <w:r w:rsidRPr="00A47AEA">
        <w:rPr>
          <w:lang w:val="en-US"/>
        </w:rPr>
        <w:t xml:space="preserve">, </w:t>
      </w:r>
      <w:r w:rsidR="00BA78C8">
        <w:rPr>
          <w:lang w:val="en-US"/>
        </w:rPr>
        <w:t>gender, education, and user experience of ICT</w:t>
      </w:r>
      <w:r w:rsidR="00785B52">
        <w:rPr>
          <w:lang w:val="en-US"/>
        </w:rPr>
        <w:t xml:space="preserve"> </w:t>
      </w:r>
      <w:r w:rsidR="00785B52" w:rsidRPr="00A47AEA">
        <w:rPr>
          <w:lang w:val="en-US"/>
        </w:rPr>
        <w:fldChar w:fldCharType="begin" w:fldLock="1"/>
      </w:r>
      <w:r w:rsidR="00B12E5D">
        <w:rPr>
          <w:lang w:val="en-US"/>
        </w:rPr>
        <w:instrText>ADDIN CSL_CITATION {"citationItems":[{"id":"ITEM-1","itemData":{"DOI":"10.1.1.92.2520","ISBN":"15266133","ISSN":"15266133","abstract":"When it comes to mobile communication technology, China is the largest market in the world. However, due to its rapidly changing economic environment causing disparities between geographical regions, it presents unique marketing problems. In order to attain a better understanding of China as a potentially highly valuable mobile communication technology market, we conducted a survey of 221 Chinese nationals and tested a proposed conceptual framework based on UTAUT with moderating variables. The results from SEM multi-group analysis indicate that gender and education level are significant moderating factors while internet usage experience does not register as significant. The results of this research suggest the necessity to take cultural background and disposition into consideration for the UTAUT. [PUBLICATION ABSTRACT]","author":[{"dropping-particle":"","family":"Park","given":"JungKun","non-dropping-particle":"","parse-names":false,"suffix":""},{"dropping-particle":"","family":"Yang","given":"SuJin","non-dropping-particle":"","parse-names":false,"suffix":""},{"dropping-particle":"","family":"Lehto","given":"Xinran","non-dropping-particle":"","parse-names":false,"suffix":""}],"container-title":"Journal of Electronic Commerce Research","id":"ITEM-1","issue":"3","issued":{"date-parts":[["2007"]]},"page":"196-206","title":"Adoption of Mobile Technologies for Chinese Consumers","type":"article-journal","volume":"8"},"uris":["http://www.mendeley.com/documents/?uuid=2cf87e96-8557-4dcb-9743-056fbd0526ab"]}],"mendeley":{"formattedCitation":"(Park et al., 2007)","plainTextFormattedCitation":"(Park et al., 2007)","previouslyFormattedCitation":"(Park et al., 2007)"},"properties":{"noteIndex":0},"schema":"https://github.com/citation-style-language/schema/raw/master/csl-citation.json"}</w:instrText>
      </w:r>
      <w:r w:rsidR="00785B52" w:rsidRPr="00A47AEA">
        <w:rPr>
          <w:lang w:val="en-US"/>
        </w:rPr>
        <w:fldChar w:fldCharType="separate"/>
      </w:r>
      <w:r w:rsidR="00AF2B42" w:rsidRPr="00AF2B42">
        <w:rPr>
          <w:noProof/>
          <w:lang w:val="en-US"/>
        </w:rPr>
        <w:t>(Park et al., 2007)</w:t>
      </w:r>
      <w:r w:rsidR="00785B52" w:rsidRPr="00A47AEA">
        <w:rPr>
          <w:lang w:val="en-US"/>
        </w:rPr>
        <w:fldChar w:fldCharType="end"/>
      </w:r>
      <w:r w:rsidR="00BA78C8">
        <w:rPr>
          <w:lang w:val="en-US"/>
        </w:rPr>
        <w:t>. They</w:t>
      </w:r>
      <w:r w:rsidRPr="00A47AEA">
        <w:rPr>
          <w:lang w:val="en-US"/>
        </w:rPr>
        <w:t xml:space="preserve"> found these factors do affect mobile banking acceptance to a certain extent. Therefore, based on the discussed literature, the present study has identified four demographic factors such as gender, employment, living settlement (location such as rural or urban), and financial experience. Living settlement and financial experience are not covered </w:t>
      </w:r>
      <w:r w:rsidR="00BA78C8">
        <w:rPr>
          <w:lang w:val="en-US"/>
        </w:rPr>
        <w:t xml:space="preserve">yet </w:t>
      </w:r>
      <w:r w:rsidRPr="00A47AEA">
        <w:rPr>
          <w:lang w:val="en-US"/>
        </w:rPr>
        <w:t>in any previous study to the extent of the author’s best knowledge</w:t>
      </w:r>
      <w:r w:rsidR="00BA78C8">
        <w:rPr>
          <w:lang w:val="en-US"/>
        </w:rPr>
        <w:t>. T</w:t>
      </w:r>
      <w:r w:rsidRPr="00A47AEA">
        <w:rPr>
          <w:lang w:val="en-US"/>
        </w:rPr>
        <w:t xml:space="preserve">he same is the </w:t>
      </w:r>
      <w:r w:rsidR="00BA78C8">
        <w:rPr>
          <w:lang w:val="en-US"/>
        </w:rPr>
        <w:t>present paper's novelty</w:t>
      </w:r>
      <w:r w:rsidRPr="00A47AEA">
        <w:rPr>
          <w:lang w:val="en-US"/>
        </w:rPr>
        <w:t xml:space="preserve"> to showcase how these two new demographic factors can influence the chosen antecedents regarding mobile banking usage.</w:t>
      </w:r>
    </w:p>
    <w:p w14:paraId="1219E989" w14:textId="77777777" w:rsidR="002B73B1" w:rsidRDefault="002B73B1" w:rsidP="002B73B1">
      <w:pPr>
        <w:jc w:val="center"/>
        <w:rPr>
          <w:lang w:val="en-US"/>
        </w:rPr>
      </w:pPr>
      <w:r w:rsidRPr="000D44EC">
        <w:rPr>
          <w:rFonts w:ascii="Times New Roman" w:hAnsi="Times New Roman" w:cs="Times New Roman"/>
          <w:noProof/>
          <w:lang w:val="cs-CZ" w:eastAsia="cs-CZ"/>
        </w:rPr>
        <w:lastRenderedPageBreak/>
        <mc:AlternateContent>
          <mc:Choice Requires="wpg">
            <w:drawing>
              <wp:inline distT="0" distB="0" distL="0" distR="0" wp14:anchorId="50C846BA" wp14:editId="2E4E1F65">
                <wp:extent cx="4373011" cy="4495800"/>
                <wp:effectExtent l="0" t="0" r="27940" b="19050"/>
                <wp:docPr id="1" name="Group 1"/>
                <wp:cNvGraphicFramePr/>
                <a:graphic xmlns:a="http://schemas.openxmlformats.org/drawingml/2006/main">
                  <a:graphicData uri="http://schemas.microsoft.com/office/word/2010/wordprocessingGroup">
                    <wpg:wgp>
                      <wpg:cNvGrpSpPr/>
                      <wpg:grpSpPr>
                        <a:xfrm>
                          <a:off x="0" y="0"/>
                          <a:ext cx="4373011" cy="4495800"/>
                          <a:chOff x="0" y="0"/>
                          <a:chExt cx="3679899" cy="2949812"/>
                        </a:xfrm>
                      </wpg:grpSpPr>
                      <wps:wsp>
                        <wps:cNvPr id="2" name="Rounded Rectangle 2"/>
                        <wps:cNvSpPr/>
                        <wps:spPr>
                          <a:xfrm>
                            <a:off x="0" y="0"/>
                            <a:ext cx="1195269"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532382F4"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Performance expectancy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ounded Rectangle 3"/>
                        <wps:cNvSpPr/>
                        <wps:spPr>
                          <a:xfrm>
                            <a:off x="0" y="504967"/>
                            <a:ext cx="1195114" cy="432000"/>
                          </a:xfrm>
                          <a:prstGeom prst="roundRect">
                            <a:avLst/>
                          </a:prstGeom>
                          <a:ln w="6350">
                            <a:solidFill>
                              <a:schemeClr val="tx1">
                                <a:lumMod val="75000"/>
                                <a:lumOff val="25000"/>
                              </a:schemeClr>
                            </a:solidFill>
                          </a:ln>
                        </wps:spPr>
                        <wps:style>
                          <a:lnRef idx="2">
                            <a:schemeClr val="dk1"/>
                          </a:lnRef>
                          <a:fillRef idx="1">
                            <a:schemeClr val="lt1"/>
                          </a:fillRef>
                          <a:effectRef idx="0">
                            <a:schemeClr val="dk1"/>
                          </a:effectRef>
                          <a:fontRef idx="minor">
                            <a:schemeClr val="dk1"/>
                          </a:fontRef>
                        </wps:style>
                        <wps:txbx>
                          <w:txbxContent>
                            <w:p w14:paraId="50479639"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Effort expectancy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Rounded Rectangle 4"/>
                        <wps:cNvSpPr/>
                        <wps:spPr>
                          <a:xfrm>
                            <a:off x="0" y="1009934"/>
                            <a:ext cx="1195114"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6A75893F"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Social influence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Rounded Rectangle 5"/>
                        <wps:cNvSpPr/>
                        <wps:spPr>
                          <a:xfrm>
                            <a:off x="6824" y="1514901"/>
                            <a:ext cx="1195114"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56127413"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Facilitating conditions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0" y="2013045"/>
                            <a:ext cx="1195070" cy="4320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07A30395"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Habit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Rounded Rectangle 7"/>
                        <wps:cNvSpPr/>
                        <wps:spPr>
                          <a:xfrm>
                            <a:off x="0" y="2518012"/>
                            <a:ext cx="1195070" cy="431800"/>
                          </a:xfrm>
                          <a:prstGeom prst="roundRect">
                            <a:avLst/>
                          </a:prstGeom>
                          <a:ln w="6350">
                            <a:solidFill>
                              <a:schemeClr val="tx1">
                                <a:lumMod val="75000"/>
                                <a:lumOff val="25000"/>
                              </a:schemeClr>
                            </a:solidFill>
                          </a:ln>
                          <a:effectLst/>
                        </wps:spPr>
                        <wps:style>
                          <a:lnRef idx="2">
                            <a:schemeClr val="dk1"/>
                          </a:lnRef>
                          <a:fillRef idx="1">
                            <a:schemeClr val="lt1"/>
                          </a:fillRef>
                          <a:effectRef idx="0">
                            <a:schemeClr val="dk1"/>
                          </a:effectRef>
                          <a:fontRef idx="minor">
                            <a:schemeClr val="dk1"/>
                          </a:fontRef>
                        </wps:style>
                        <wps:txbx>
                          <w:txbxContent>
                            <w:p w14:paraId="4004C781"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Hedonic motivation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Rounded Rectangle 8"/>
                        <wps:cNvSpPr/>
                        <wps:spPr>
                          <a:xfrm>
                            <a:off x="2599899" y="504967"/>
                            <a:ext cx="1080000" cy="431800"/>
                          </a:xfrm>
                          <a:prstGeom prst="roundRect">
                            <a:avLst/>
                          </a:prstGeom>
                          <a:ln w="6350">
                            <a:solidFill>
                              <a:schemeClr val="tx1">
                                <a:lumMod val="65000"/>
                                <a:lumOff val="35000"/>
                              </a:schemeClr>
                            </a:solidFill>
                          </a:ln>
                          <a:effectLst/>
                        </wps:spPr>
                        <wps:style>
                          <a:lnRef idx="2">
                            <a:schemeClr val="dk1"/>
                          </a:lnRef>
                          <a:fillRef idx="1">
                            <a:schemeClr val="lt1"/>
                          </a:fillRef>
                          <a:effectRef idx="0">
                            <a:schemeClr val="dk1"/>
                          </a:effectRef>
                          <a:fontRef idx="minor">
                            <a:schemeClr val="dk1"/>
                          </a:fontRef>
                        </wps:style>
                        <wps:txbx>
                          <w:txbxContent>
                            <w:p w14:paraId="01FE4D0E" w14:textId="77777777" w:rsidR="00836C7D" w:rsidRPr="003A0B75" w:rsidRDefault="00836C7D" w:rsidP="00AF2B42">
                              <w:pPr>
                                <w:spacing w:before="0" w:after="0" w:line="240" w:lineRule="auto"/>
                                <w:jc w:val="center"/>
                                <w:rPr>
                                  <w:rFonts w:cstheme="majorBidi"/>
                                  <w:szCs w:val="24"/>
                                </w:rPr>
                              </w:pPr>
                              <w:r w:rsidRPr="003A0B75">
                                <w:rPr>
                                  <w:rFonts w:cstheme="majorBidi"/>
                                  <w:szCs w:val="24"/>
                                </w:rPr>
                                <w:t>Behavioural intention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Rounded Rectangle 9"/>
                        <wps:cNvSpPr/>
                        <wps:spPr>
                          <a:xfrm>
                            <a:off x="2599548" y="1644639"/>
                            <a:ext cx="1080000" cy="431800"/>
                          </a:xfrm>
                          <a:prstGeom prst="roundRect">
                            <a:avLst/>
                          </a:prstGeom>
                          <a:ln w="6350">
                            <a:solidFill>
                              <a:schemeClr val="tx1">
                                <a:lumMod val="65000"/>
                                <a:lumOff val="35000"/>
                              </a:schemeClr>
                            </a:solidFill>
                          </a:ln>
                          <a:effectLst/>
                        </wps:spPr>
                        <wps:style>
                          <a:lnRef idx="2">
                            <a:schemeClr val="dk1"/>
                          </a:lnRef>
                          <a:fillRef idx="1">
                            <a:schemeClr val="lt1"/>
                          </a:fillRef>
                          <a:effectRef idx="0">
                            <a:schemeClr val="dk1"/>
                          </a:effectRef>
                          <a:fontRef idx="minor">
                            <a:schemeClr val="dk1"/>
                          </a:fontRef>
                        </wps:style>
                        <wps:txbx>
                          <w:txbxContent>
                            <w:p w14:paraId="657049EC" w14:textId="77777777" w:rsidR="00836C7D" w:rsidRPr="003A0B75" w:rsidRDefault="00836C7D" w:rsidP="00AF2B42">
                              <w:pPr>
                                <w:spacing w:before="0" w:after="0" w:line="240" w:lineRule="auto"/>
                                <w:jc w:val="center"/>
                                <w:rPr>
                                  <w:rFonts w:cstheme="majorBidi"/>
                                  <w:szCs w:val="24"/>
                                </w:rPr>
                              </w:pPr>
                              <w:r w:rsidRPr="003A0B75">
                                <w:rPr>
                                  <w:rFonts w:cstheme="majorBidi"/>
                                  <w:szCs w:val="24"/>
                                </w:rPr>
                                <w:t>User behaviour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Straight Arrow Connector 13"/>
                        <wps:cNvCnPr>
                          <a:stCxn id="2" idx="3"/>
                          <a:endCxn id="8" idx="1"/>
                        </wps:cNvCnPr>
                        <wps:spPr>
                          <a:xfrm>
                            <a:off x="1195269" y="216000"/>
                            <a:ext cx="1404630" cy="504867"/>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14" name="Straight Arrow Connector 14"/>
                        <wps:cNvCnPr>
                          <a:stCxn id="3" idx="3"/>
                          <a:endCxn id="8" idx="1"/>
                        </wps:cNvCnPr>
                        <wps:spPr>
                          <a:xfrm flipV="1">
                            <a:off x="1195114" y="720867"/>
                            <a:ext cx="1404785" cy="100"/>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15" name="Straight Arrow Connector 15"/>
                        <wps:cNvCnPr>
                          <a:stCxn id="4" idx="3"/>
                          <a:endCxn id="8" idx="1"/>
                        </wps:cNvCnPr>
                        <wps:spPr>
                          <a:xfrm flipV="1">
                            <a:off x="1195114" y="720867"/>
                            <a:ext cx="1404785" cy="505067"/>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a:stCxn id="5" idx="3"/>
                          <a:endCxn id="8" idx="1"/>
                        </wps:cNvCnPr>
                        <wps:spPr>
                          <a:xfrm flipV="1">
                            <a:off x="1201938" y="720867"/>
                            <a:ext cx="1397961" cy="1010034"/>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a:stCxn id="6" idx="3"/>
                          <a:endCxn id="8" idx="1"/>
                        </wps:cNvCnPr>
                        <wps:spPr>
                          <a:xfrm flipV="1">
                            <a:off x="1195070" y="720867"/>
                            <a:ext cx="1404829" cy="1508178"/>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18" name="Straight Arrow Connector 18"/>
                        <wps:cNvCnPr>
                          <a:stCxn id="7" idx="3"/>
                          <a:endCxn id="8" idx="1"/>
                        </wps:cNvCnPr>
                        <wps:spPr>
                          <a:xfrm flipV="1">
                            <a:off x="1195070" y="720867"/>
                            <a:ext cx="1404829" cy="2013045"/>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19" name="Straight Arrow Connector 19"/>
                        <wps:cNvCnPr>
                          <a:stCxn id="8" idx="2"/>
                          <a:endCxn id="9" idx="0"/>
                        </wps:cNvCnPr>
                        <wps:spPr>
                          <a:xfrm flipH="1">
                            <a:off x="3139548" y="936767"/>
                            <a:ext cx="351" cy="707872"/>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20" name="Straight Arrow Connector 20"/>
                        <wps:cNvCnPr>
                          <a:stCxn id="5" idx="3"/>
                          <a:endCxn id="9" idx="1"/>
                        </wps:cNvCnPr>
                        <wps:spPr>
                          <a:xfrm>
                            <a:off x="1201938" y="1730901"/>
                            <a:ext cx="1397610" cy="129638"/>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s:wsp>
                        <wps:cNvPr id="26" name="Straight Arrow Connector 26"/>
                        <wps:cNvCnPr>
                          <a:stCxn id="6" idx="3"/>
                          <a:endCxn id="9" idx="1"/>
                        </wps:cNvCnPr>
                        <wps:spPr>
                          <a:xfrm flipV="1">
                            <a:off x="1195070" y="1860539"/>
                            <a:ext cx="1404478" cy="368506"/>
                          </a:xfrm>
                          <a:prstGeom prst="straightConnector1">
                            <a:avLst/>
                          </a:prstGeom>
                          <a:ln w="12700">
                            <a:solidFill>
                              <a:schemeClr val="tx1">
                                <a:lumMod val="75000"/>
                                <a:lumOff val="25000"/>
                              </a:schemeClr>
                            </a:solidFill>
                            <a:tailEnd type="stealth"/>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50C846BA" id="Group 1" o:spid="_x0000_s1026" style="width:344.35pt;height:354pt;mso-position-horizontal-relative:char;mso-position-vertical-relative:line" coordsize="36798,29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">
                <v:roundrect id="Rounded Rectangle 2" o:spid="_x0000_s1027" style="position:absolute;width:11952;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IvZ8MA&#10;AADaAAAADwAAAGRycy9kb3ducmV2LnhtbESP3YrCMBSE7xd8h3AEb0RTxVWpRhFRUFjY9ecBDs2x&#10;LTYnpYm2+vRGEPZymJlvmPmyMYW4U+VyywoG/QgEcWJ1zqmC82nbm4JwHlljYZkUPMjBctH6mmOs&#10;bc0Huh99KgKEXYwKMu/LWEqXZGTQ9W1JHLyLrQz6IKtU6grrADeFHEbRWBrMOSxkWNI6o+R6vBkF&#10;+k+f6n1z+a6LzeT8O+7+bJ+jqVKddrOagfDU+P/wp73TCobwvhJu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IvZ8MAAADaAAAADwAAAAAAAAAAAAAAAACYAgAAZHJzL2Rv&#10;d25yZXYueG1sUEsFBgAAAAAEAAQA9QAAAIgDAAAAAA==&#10;" fillcolor="white [3201]" strokecolor="#404040 [2429]" strokeweight=".5pt">
                  <v:stroke joinstyle="miter"/>
                  <v:textbox>
                    <w:txbxContent>
                      <w:p w14:paraId="532382F4"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Performance expectancy</w:t>
                        </w:r>
                      </w:p>
                    </w:txbxContent>
                  </v:textbox>
                </v:roundrect>
                <v:roundrect id="Rounded Rectangle 3" o:spid="_x0000_s1028" style="position:absolute;top:5049;width:11951;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6K/MMA&#10;AADaAAAADwAAAGRycy9kb3ducmV2LnhtbESP3YrCMBSE7xd8h3AEbxZN1fWHahSRFRQEfx/g0Bzb&#10;YnNSmqytPr1ZWNjLYWa+YebLxhTiQZXLLSvo9yIQxInVOacKrpdNdwrCeWSNhWVS8CQHy0XrY46x&#10;tjWf6HH2qQgQdjEqyLwvYyldkpFB17MlcfButjLog6xSqSusA9wUchBFY2kw57CQYUnrjJL7+cco&#10;0Ed9qXfNbVQX35PrYfy537y+pkp12s1qBsJT4//Df+2tVjCE3yvhBsjF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6K/MMAAADaAAAADwAAAAAAAAAAAAAAAACYAgAAZHJzL2Rv&#10;d25yZXYueG1sUEsFBgAAAAAEAAQA9QAAAIgDAAAAAA==&#10;" fillcolor="white [3201]" strokecolor="#404040 [2429]" strokeweight=".5pt">
                  <v:stroke joinstyle="miter"/>
                  <v:textbox>
                    <w:txbxContent>
                      <w:p w14:paraId="50479639"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Effort expectancy</w:t>
                        </w:r>
                      </w:p>
                    </w:txbxContent>
                  </v:textbox>
                </v:roundrect>
                <v:roundrect id="Rounded Rectangle 4" o:spid="_x0000_s1029" style="position:absolute;top:10099;width:11951;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cSiMUA&#10;AADaAAAADwAAAGRycy9kb3ducmV2LnhtbESP3WrCQBSE7wXfYTmF3hSzadFUoqtIqdCCoE18gEP2&#10;5Idmz4bs1qQ+vVsoeDnMzDfMejuaVlyod41lBc9RDIK4sLrhSsE538+WIJxH1thaJgW/5GC7mU7W&#10;mGo78BddMl+JAGGXooLa+y6V0hU1GXSR7YiDV9reoA+yr6TucQhw08qXOE6kwYbDQo0dvdVUfGc/&#10;RoE+6Xz4HMvF0L6/no/J02F/nS+VenwYdysQnkZ/D/+3P7SCOfxdCTdAb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BxKIxQAAANoAAAAPAAAAAAAAAAAAAAAAAJgCAABkcnMv&#10;ZG93bnJldi54bWxQSwUGAAAAAAQABAD1AAAAigMAAAAA&#10;" fillcolor="white [3201]" strokecolor="#404040 [2429]" strokeweight=".5pt">
                  <v:stroke joinstyle="miter"/>
                  <v:textbox>
                    <w:txbxContent>
                      <w:p w14:paraId="6A75893F"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Social influence</w:t>
                        </w:r>
                      </w:p>
                    </w:txbxContent>
                  </v:textbox>
                </v:roundrect>
                <v:roundrect id="Rounded Rectangle 5" o:spid="_x0000_s1030" style="position:absolute;left:68;top:15149;width:11951;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u3E8MA&#10;AADaAAAADwAAAGRycy9kb3ducmV2LnhtbESP3YrCMBSE7xd8h3AEb0RTZf2hGkVEQWHB3wc4NMe2&#10;2JyUJtq6T28WhL0cZuYbZr5sTCGeVLncsoJBPwJBnFidc6rgetn2piCcR9ZYWCYFL3KwXLS+5hhr&#10;W/OJnmefigBhF6OCzPsyltIlGRl0fVsSB+9mK4M+yCqVusI6wE0hh1E0lgZzDgsZlrTOKLmfH0aB&#10;PupLvW9uo7rYTK6Hcfdn+/s9VarTblYzEJ4a/x/+tHdawQj+roQbIB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u3E8MAAADaAAAADwAAAAAAAAAAAAAAAACYAgAAZHJzL2Rv&#10;d25yZXYueG1sUEsFBgAAAAAEAAQA9QAAAIgDAAAAAA==&#10;" fillcolor="white [3201]" strokecolor="#404040 [2429]" strokeweight=".5pt">
                  <v:stroke joinstyle="miter"/>
                  <v:textbox>
                    <w:txbxContent>
                      <w:p w14:paraId="56127413"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Facilitating conditions</w:t>
                        </w:r>
                      </w:p>
                    </w:txbxContent>
                  </v:textbox>
                </v:roundrect>
                <v:roundrect id="Rounded Rectangle 6" o:spid="_x0000_s1031" style="position:absolute;top:20130;width:11950;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kpZMMA&#10;AADaAAAADwAAAGRycy9kb3ducmV2LnhtbESP3YrCMBSE7wXfIRzBm2VNFe1K1ygiCgqCvw9waI5t&#10;2eakNNHWffqNsODlMDPfMLNFa0rxoNoVlhUMBxEI4tTqgjMF18vmcwrCeWSNpWVS8CQHi3m3M8NE&#10;24ZP9Dj7TAQIuwQV5N5XiZQuzcmgG9iKOHg3Wxv0QdaZ1DU2AW5KOYqiWBosOCzkWNEqp/TnfDcK&#10;9FFfml17mzTl+ut6iD/2m9/xVKl+r11+g/DU+nf4v73VCmJ4XQk3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ZkpZMMAAADaAAAADwAAAAAAAAAAAAAAAACYAgAAZHJzL2Rv&#10;d25yZXYueG1sUEsFBgAAAAAEAAQA9QAAAIgDAAAAAA==&#10;" fillcolor="white [3201]" strokecolor="#404040 [2429]" strokeweight=".5pt">
                  <v:stroke joinstyle="miter"/>
                  <v:textbox>
                    <w:txbxContent>
                      <w:p w14:paraId="07A30395"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Habit</w:t>
                        </w:r>
                      </w:p>
                    </w:txbxContent>
                  </v:textbox>
                </v:roundrect>
                <v:roundrect id="Rounded Rectangle 7" o:spid="_x0000_s1032" style="position:absolute;top:25180;width:11950;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WM/8MA&#10;AADaAAAADwAAAGRycy9kb3ducmV2LnhtbESP3YrCMBSE7wXfIRzBm0VTZa1SjSKisAuCvw9waI5t&#10;sTkpTbR1n36zsODlMDPfMItVa0rxpNoVlhWMhhEI4tTqgjMF18tuMAPhPLLG0jIpeJGD1bLbWWCi&#10;bcMnep59JgKEXYIKcu+rREqX5mTQDW1FHLybrQ36IOtM6hqbADelHEdRLA0WHBZyrGiTU3o/P4wC&#10;fdSX5ru9TZpyO70e4o/97udzplS/167nIDy1/h3+b39pBVP4uxJu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WM/8MAAADaAAAADwAAAAAAAAAAAAAAAACYAgAAZHJzL2Rv&#10;d25yZXYueG1sUEsFBgAAAAAEAAQA9QAAAIgDAAAAAA==&#10;" fillcolor="white [3201]" strokecolor="#404040 [2429]" strokeweight=".5pt">
                  <v:stroke joinstyle="miter"/>
                  <v:textbox>
                    <w:txbxContent>
                      <w:p w14:paraId="4004C781" w14:textId="77777777" w:rsidR="00836C7D" w:rsidRPr="003A0B75" w:rsidRDefault="00836C7D" w:rsidP="00AF2B42">
                        <w:pPr>
                          <w:spacing w:before="0" w:after="0" w:line="240" w:lineRule="auto"/>
                          <w:contextualSpacing/>
                          <w:jc w:val="center"/>
                          <w:rPr>
                            <w:rFonts w:cstheme="majorBidi"/>
                            <w:szCs w:val="24"/>
                          </w:rPr>
                        </w:pPr>
                        <w:r w:rsidRPr="003A0B75">
                          <w:rPr>
                            <w:rFonts w:cstheme="majorBidi"/>
                            <w:szCs w:val="24"/>
                          </w:rPr>
                          <w:t>Hedonic motivation</w:t>
                        </w:r>
                      </w:p>
                    </w:txbxContent>
                  </v:textbox>
                </v:roundrect>
                <v:roundrect id="Rounded Rectangle 8" o:spid="_x0000_s1033" style="position:absolute;left:25998;top:5049;width:10800;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4CL8A&#10;AADaAAAADwAAAGRycy9kb3ducmV2LnhtbERPz2vCMBS+C/4P4Qm7aeoOZXSNIoK2l8FWu4O3R/Ns&#10;i81LSbLa/ffLYeDx4/ud72cziImc7y0r2G4SEMSN1T23CurLaf0GwgdkjYNlUvBLHva75SLHTNsH&#10;f9FUhVbEEPYZKuhCGDMpfdORQb+xI3HkbtYZDBG6VmqHjxhuBvmaJKk02HNs6HCkY0fNvfoxCsyn&#10;LM43M/XfBdGHK651mZZ3pV5W8+EdRKA5PMX/7lIriFvjlXgD5O4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A/gIvwAAANoAAAAPAAAAAAAAAAAAAAAAAJgCAABkcnMvZG93bnJl&#10;di54bWxQSwUGAAAAAAQABAD1AAAAhAMAAAAA&#10;" fillcolor="white [3201]" strokecolor="#5a5a5a [2109]" strokeweight=".5pt">
                  <v:stroke joinstyle="miter"/>
                  <v:textbox>
                    <w:txbxContent>
                      <w:p w14:paraId="01FE4D0E" w14:textId="77777777" w:rsidR="00836C7D" w:rsidRPr="003A0B75" w:rsidRDefault="00836C7D" w:rsidP="00AF2B42">
                        <w:pPr>
                          <w:spacing w:before="0" w:after="0" w:line="240" w:lineRule="auto"/>
                          <w:jc w:val="center"/>
                          <w:rPr>
                            <w:rFonts w:cstheme="majorBidi"/>
                            <w:szCs w:val="24"/>
                          </w:rPr>
                        </w:pPr>
                        <w:r w:rsidRPr="003A0B75">
                          <w:rPr>
                            <w:rFonts w:cstheme="majorBidi"/>
                            <w:szCs w:val="24"/>
                          </w:rPr>
                          <w:t>Behavioural intention</w:t>
                        </w:r>
                      </w:p>
                    </w:txbxContent>
                  </v:textbox>
                </v:roundrect>
                <v:roundrect id="Rounded Rectangle 9" o:spid="_x0000_s1034" style="position:absolute;left:25995;top:16446;width:10800;height:43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9dk8MA&#10;AADaAAAADwAAAGRycy9kb3ducmV2LnhtbESPwWrDMBBE74H+g9hCb7HcHEzjRgkh0NiXQpq6h94W&#10;a2MbWysjqY7791GhkOMwM2+YzW42g5jI+c6yguckBUFcW91xo6D6fFu+gPABWeNgmRT8kofd9mGx&#10;wVzbK3/QdA6NiBD2OSpoQxhzKX3dkkGf2JE4ehfrDIYoXSO1w2uEm0Gu0jSTBjuOCy2OdGip7s8/&#10;RoE5yeJ4MVP3VRC9u+K7KrOyV+rpcd6/ggg0h3v4v11qBWv4uxJvgN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9dk8MAAADaAAAADwAAAAAAAAAAAAAAAACYAgAAZHJzL2Rv&#10;d25yZXYueG1sUEsFBgAAAAAEAAQA9QAAAIgDAAAAAA==&#10;" fillcolor="white [3201]" strokecolor="#5a5a5a [2109]" strokeweight=".5pt">
                  <v:stroke joinstyle="miter"/>
                  <v:textbox>
                    <w:txbxContent>
                      <w:p w14:paraId="657049EC" w14:textId="77777777" w:rsidR="00836C7D" w:rsidRPr="003A0B75" w:rsidRDefault="00836C7D" w:rsidP="00AF2B42">
                        <w:pPr>
                          <w:spacing w:before="0" w:after="0" w:line="240" w:lineRule="auto"/>
                          <w:jc w:val="center"/>
                          <w:rPr>
                            <w:rFonts w:cstheme="majorBidi"/>
                            <w:szCs w:val="24"/>
                          </w:rPr>
                        </w:pPr>
                        <w:r w:rsidRPr="003A0B75">
                          <w:rPr>
                            <w:rFonts w:cstheme="majorBidi"/>
                            <w:szCs w:val="24"/>
                          </w:rPr>
                          <w:t>User behaviour</w:t>
                        </w:r>
                      </w:p>
                    </w:txbxContent>
                  </v:textbox>
                </v:roundrect>
                <v:shapetype id="_x0000_t32" coordsize="21600,21600" o:spt="32" o:oned="t" path="m,l21600,21600e" filled="f">
                  <v:path arrowok="t" fillok="f" o:connecttype="none"/>
                  <o:lock v:ext="edit" shapetype="t"/>
                </v:shapetype>
                <v:shape id="Straight Arrow Connector 13" o:spid="_x0000_s1035" type="#_x0000_t32" style="position:absolute;left:11952;top:2160;width:14046;height:5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GdBcMAAADbAAAADwAAAGRycy9kb3ducmV2LnhtbERP22rCQBB9L/gPywi+1U0UpMRsRBos&#10;pVahGgp9G7KTC83OhuxW4993hULf5nCuk25G04kLDa61rCCeRyCIS6tbrhUU593jEwjnkTV2lknB&#10;jRxssslDiom2V/6gy8nXIoSwS1BB432fSOnKhgy6ue2JA1fZwaAPcKilHvAawk0nF1G0kgZbDg0N&#10;9vTcUPl9+jEKqrc4t7ZfjXnxudXHl+P7Yf/llJpNx+0ahKfR/4v/3K86zF/C/ZdwgM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ZBnQXDAAAA2wAAAA8AAAAAAAAAAAAA&#10;AAAAoQIAAGRycy9kb3ducmV2LnhtbFBLBQYAAAAABAAEAPkAAACRAwAAAAA=&#10;" strokecolor="#404040 [2429]" strokeweight="1pt">
                  <v:stroke endarrow="classic" joinstyle="miter"/>
                </v:shape>
                <v:shape id="Straight Arrow Connector 14" o:spid="_x0000_s1036" type="#_x0000_t32" style="position:absolute;left:11951;top:7208;width:14047;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2MXsIAAADbAAAADwAAAGRycy9kb3ducmV2LnhtbERPTWvCQBC9F/wPywhepNlUSpHUVUQo&#10;iYdCE730Ns2OSTA7G3ZXk/77bqHQ2zze52x2k+nFnZzvLCt4SlIQxLXVHTcKzqe3xzUIH5A19pZJ&#10;wTd52G1nDxvMtB25pHsVGhFD2GeooA1hyKT0dUsGfWIH4shdrDMYInSN1A7HGG56uUrTF2mw49jQ&#10;4kCHluprdTMKPgq/tF9OFu+NtstjzlOef5ZKLebT/hVEoCn8i//chY7zn+H3l3iA3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s2MXsIAAADbAAAADwAAAAAAAAAAAAAA&#10;AAChAgAAZHJzL2Rvd25yZXYueG1sUEsFBgAAAAAEAAQA+QAAAJADAAAAAA==&#10;" strokecolor="#404040 [2429]" strokeweight="1pt">
                  <v:stroke endarrow="classic" joinstyle="miter"/>
                </v:shape>
                <v:shape id="Straight Arrow Connector 15" o:spid="_x0000_s1037" type="#_x0000_t32" style="position:absolute;left:11951;top:7208;width:14047;height:50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EpxcIAAADbAAAADwAAAGRycy9kb3ducmV2LnhtbERPTWvCQBC9F/wPywhepNlUaJHUVUQo&#10;iYdCE730Ns2OSTA7G3ZXk/77bqHQ2zze52x2k+nFnZzvLCt4SlIQxLXVHTcKzqe3xzUIH5A19pZJ&#10;wTd52G1nDxvMtB25pHsVGhFD2GeooA1hyKT0dUsGfWIH4shdrDMYInSN1A7HGG56uUrTF2mw49jQ&#10;4kCHluprdTMKPgq/tF9OFu+NtstjzlOef5ZKLebT/hVEoCn8i//chY7zn+H3l3iA3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YEpxcIAAADbAAAADwAAAAAAAAAAAAAA&#10;AAChAgAAZHJzL2Rvd25yZXYueG1sUEsFBgAAAAAEAAQA+QAAAJADAAAAAA==&#10;" strokecolor="#404040 [2429]" strokeweight="1pt">
                  <v:stroke endarrow="classic" joinstyle="miter"/>
                </v:shape>
                <v:shape id="Straight Arrow Connector 16" o:spid="_x0000_s1038" type="#_x0000_t32" style="position:absolute;left:12019;top:7208;width:13979;height:1010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O3ssAAAADbAAAADwAAAGRycy9kb3ducmV2LnhtbERPS4vCMBC+C/6HMIIX0XQ9iFSjLIK0&#10;HgRfF2+zzWxbtpmUJKv13xtB8DYf33OW68404kbO15YVfE0SEMSF1TWXCi7n7XgOwgdkjY1lUvAg&#10;D+tVv7fEVNs7H+l2CqWIIexTVFCF0KZS+qIig35iW+LI/VpnMEToSqkd3mO4aeQ0SWbSYM2xocKW&#10;NhUVf6d/o+CQ+5H9cTLfl9qOdhl3WXY9KjUcdN8LEIG68BG/3bmO82fw+iUeIF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lTt7LAAAAA2wAAAA8AAAAAAAAAAAAAAAAA&#10;oQIAAGRycy9kb3ducmV2LnhtbFBLBQYAAAAABAAEAPkAAACOAwAAAAA=&#10;" strokecolor="#404040 [2429]" strokeweight="1pt">
                  <v:stroke endarrow="classic" joinstyle="miter"/>
                </v:shape>
                <v:shape id="Straight Arrow Connector 17" o:spid="_x0000_s1039" type="#_x0000_t32" style="position:absolute;left:11950;top:7208;width:14048;height:150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8SKcIAAADbAAAADwAAAGRycy9kb3ducmV2LnhtbERPTWvCQBC9F/wPywhepNnUQyupq4hQ&#10;Eg+FJnrpbZodk2B2NuyuJv333UKht3m8z9nsJtOLOznfWVbwlKQgiGurO24UnE9vj2sQPiBr7C2T&#10;gm/ysNvOHjaYaTtySfcqNCKGsM9QQRvCkEnp65YM+sQOxJG7WGcwROgaqR2OMdz0cpWmz9Jgx7Gh&#10;xYEOLdXX6mYUfBR+ab+cLN4bbZfHnKc8/yyVWsyn/SuIQFP4F/+5Cx3nv8DvL/EAu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h8SKcIAAADbAAAADwAAAAAAAAAAAAAA&#10;AAChAgAAZHJzL2Rvd25yZXYueG1sUEsFBgAAAAAEAAQA+QAAAJADAAAAAA==&#10;" strokecolor="#404040 [2429]" strokeweight="1pt">
                  <v:stroke endarrow="classic" joinstyle="miter"/>
                </v:shape>
                <v:shape id="Straight Arrow Connector 18" o:spid="_x0000_s1040" type="#_x0000_t32" style="position:absolute;left:11950;top:7208;width:14048;height:201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CGW8QAAADbAAAADwAAAGRycy9kb3ducmV2LnhtbESPT2vCQBDF7wW/wzKCF6mbeigldZUi&#10;SOJBqH8u3sbsmIRmZ8PuVuO3dw6F3mZ4b977zWI1uE7dKMTWs4G3WQaKuPK25drA6bh5/QAVE7LF&#10;zjMZeFCE1XL0ssDc+jvv6XZItZIQjjkaaFLqc61j1ZDDOPM9sWhXHxwmWUOtbcC7hLtOz7PsXTts&#10;WRoa7GndUPVz+HUGvss49Zegy11t/XRb8FAU570xk/Hw9Qkq0ZD+zX/XpRV8gZVfZAC9f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gIZbxAAAANsAAAAPAAAAAAAAAAAA&#10;AAAAAKECAABkcnMvZG93bnJldi54bWxQSwUGAAAAAAQABAD5AAAAkgMAAAAA&#10;" strokecolor="#404040 [2429]" strokeweight="1pt">
                  <v:stroke endarrow="classic" joinstyle="miter"/>
                </v:shape>
                <v:shape id="Straight Arrow Connector 19" o:spid="_x0000_s1041" type="#_x0000_t32" style="position:absolute;left:31395;top:9367;width:3;height: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wjwMIAAADbAAAADwAAAGRycy9kb3ducmV2LnhtbERPTWvCQBC9F/wPywhepNnUQ6mpq4hQ&#10;Eg+FJnrpbZodk2B2NuyuJv333UKht3m8z9nsJtOLOznfWVbwlKQgiGurO24UnE9vjy8gfEDW2Fsm&#10;Bd/kYbedPWww03bkku5VaEQMYZ+hgjaEIZPS1y0Z9IkdiCN3sc5giNA1UjscY7jp5SpNn6XBjmND&#10;iwMdWqqv1c0o+Cj80n45Wbw32i6POU95/lkqtZhP+1cQgabwL/5zFzrOX8PvL/EAu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MwjwMIAAADbAAAADwAAAAAAAAAAAAAA&#10;AAChAgAAZHJzL2Rvd25yZXYueG1sUEsFBgAAAAAEAAQA+QAAAJADAAAAAA==&#10;" strokecolor="#404040 [2429]" strokeweight="1pt">
                  <v:stroke endarrow="classic" joinstyle="miter"/>
                </v:shape>
                <v:shape id="Straight Arrow Connector 20" o:spid="_x0000_s1042" type="#_x0000_t32" style="position:absolute;left:12019;top:17309;width:13976;height:12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Jz74AAADbAAAADwAAAGRycy9kb3ducmV2LnhtbERPyQrCMBC9C/5DGMGbpnoQqUYRRRE3&#10;cEHwNjRjW2wmpYla/94cBI+Pt4+ntSnEiyqXW1bQ60YgiBOrc04VXM7LzhCE88gaC8uk4EMOppNm&#10;Y4yxtm8+0uvkUxFC2MWoIPO+jKV0SUYGXdeWxIG728qgD7BKpa7wHcJNIftRNJAGcw4NGZY0zyh5&#10;nJ5GwX3TW1hbDurF5TrTh9Vht9/enFLtVj0bgfBU+7/4515rBf2wPnwJP0BO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o/8nPvgAAANsAAAAPAAAAAAAAAAAAAAAAAKEC&#10;AABkcnMvZG93bnJldi54bWxQSwUGAAAAAAQABAD5AAAAjAMAAAAA&#10;" strokecolor="#404040 [2429]" strokeweight="1pt">
                  <v:stroke endarrow="classic" joinstyle="miter"/>
                </v:shape>
                <v:shape id="Straight Arrow Connector 26" o:spid="_x0000_s1043" type="#_x0000_t32" style="position:absolute;left:11950;top:18605;width:14045;height:36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99D8QAAADbAAAADwAAAGRycy9kb3ducmV2LnhtbESPwWrDMBBE74H+g9hCL6GR44MJjpUQ&#10;AsHOoVCnveS2tba2qbUykhK7f18VCj0OM/OGKfazGcSdnO8tK1ivEhDEjdU9twre307PGxA+IGsc&#10;LJOCb/Kw3z0sCsy1nbim+yW0IkLY56igC2HMpfRNRwb9yo7E0fu0zmCI0rVSO5wi3AwyTZJMGuw5&#10;LnQ40rGj5utyMwpeK7+0H05WL622y3PJc1lea6WeHufDFkSgOfyH/9qVVpBm8Psl/gC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P30PxAAAANsAAAAPAAAAAAAAAAAA&#10;AAAAAKECAABkcnMvZG93bnJldi54bWxQSwUGAAAAAAQABAD5AAAAkgMAAAAA&#10;" strokecolor="#404040 [2429]" strokeweight="1pt">
                  <v:stroke endarrow="classic" joinstyle="miter"/>
                </v:shape>
                <w10:anchorlock/>
              </v:group>
            </w:pict>
          </mc:Fallback>
        </mc:AlternateContent>
      </w:r>
    </w:p>
    <w:p w14:paraId="0720EFAF" w14:textId="3F5144BF" w:rsidR="002B73B1" w:rsidRDefault="002B73B1" w:rsidP="002B73B1">
      <w:pPr>
        <w:jc w:val="center"/>
        <w:rPr>
          <w:lang w:val="en-US"/>
        </w:rPr>
      </w:pPr>
      <w:r w:rsidRPr="001A6D80">
        <w:rPr>
          <w:lang w:val="fr-FR"/>
        </w:rPr>
        <w:t xml:space="preserve">Figure 1. UTAUT2 model. </w:t>
      </w:r>
      <w:r w:rsidRPr="00B266D6">
        <w:rPr>
          <w:i/>
          <w:lang w:val="fr-FR"/>
        </w:rPr>
        <w:t>Source</w:t>
      </w:r>
      <w:r w:rsidRPr="001A6D80">
        <w:rPr>
          <w:lang w:val="fr-FR"/>
        </w:rPr>
        <w:t xml:space="preserve">: </w:t>
      </w:r>
      <w:r w:rsidRPr="001A6D80">
        <w:rPr>
          <w:bCs/>
          <w:noProof/>
          <w:lang w:val="fr-FR"/>
        </w:rPr>
        <w:t xml:space="preserve">Venkatesh et al. </w:t>
      </w:r>
      <w:r w:rsidRPr="00A47AEA">
        <w:rPr>
          <w:bCs/>
        </w:rPr>
        <w:fldChar w:fldCharType="begin" w:fldLock="1"/>
      </w:r>
      <w:r w:rsidR="00B12E5D">
        <w:rPr>
          <w:bCs/>
          <w:lang w:val="fr-FR"/>
        </w:rPr>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A47AEA">
        <w:rPr>
          <w:bCs/>
        </w:rPr>
        <w:fldChar w:fldCharType="separate"/>
      </w:r>
      <w:r w:rsidR="00AF1E11" w:rsidRPr="00AF1E11">
        <w:rPr>
          <w:bCs/>
          <w:noProof/>
        </w:rPr>
        <w:t>(Venkatesh et al., 2012)</w:t>
      </w:r>
      <w:r w:rsidRPr="00A47AEA">
        <w:rPr>
          <w:lang w:val="en-US"/>
        </w:rPr>
        <w:fldChar w:fldCharType="end"/>
      </w:r>
    </w:p>
    <w:p w14:paraId="3EBF3EE4" w14:textId="502EE347" w:rsidR="00927FCB" w:rsidRPr="005D2834" w:rsidRDefault="00927FCB" w:rsidP="0020439A">
      <w:pPr>
        <w:rPr>
          <w:color w:val="FF0000"/>
        </w:rPr>
      </w:pPr>
      <w:r w:rsidRPr="005D2834">
        <w:rPr>
          <w:color w:val="FF0000"/>
        </w:rPr>
        <w:t xml:space="preserve">The geographical focus of the present study is </w:t>
      </w:r>
      <w:r w:rsidR="00836C7D">
        <w:rPr>
          <w:color w:val="FF0000"/>
        </w:rPr>
        <w:t>S</w:t>
      </w:r>
      <w:r w:rsidRPr="005D2834">
        <w:rPr>
          <w:color w:val="FF0000"/>
        </w:rPr>
        <w:t>outheast European nations. In the recent past</w:t>
      </w:r>
      <w:r w:rsidR="00E6224D">
        <w:rPr>
          <w:color w:val="FF0000"/>
        </w:rPr>
        <w:t>,</w:t>
      </w:r>
      <w:r w:rsidRPr="005D2834">
        <w:rPr>
          <w:color w:val="FF0000"/>
        </w:rPr>
        <w:t xml:space="preserve"> it has been noticed that the </w:t>
      </w:r>
      <w:r w:rsidR="00836C7D">
        <w:rPr>
          <w:color w:val="FF0000"/>
        </w:rPr>
        <w:t>S</w:t>
      </w:r>
      <w:r w:rsidRPr="005D2834">
        <w:rPr>
          <w:color w:val="FF0000"/>
        </w:rPr>
        <w:t xml:space="preserve">outheast European </w:t>
      </w:r>
      <w:r w:rsidR="00E6224D">
        <w:rPr>
          <w:color w:val="FF0000"/>
        </w:rPr>
        <w:t>countrie</w:t>
      </w:r>
      <w:r w:rsidRPr="005D2834">
        <w:rPr>
          <w:color w:val="FF0000"/>
        </w:rPr>
        <w:t xml:space="preserve">s </w:t>
      </w:r>
      <w:r w:rsidR="00E6224D">
        <w:rPr>
          <w:color w:val="FF0000"/>
        </w:rPr>
        <w:t xml:space="preserve">are </w:t>
      </w:r>
      <w:r w:rsidRPr="005D2834">
        <w:rPr>
          <w:color w:val="FF0000"/>
        </w:rPr>
        <w:t xml:space="preserve">now taking </w:t>
      </w:r>
      <w:r w:rsidR="00E6224D">
        <w:rPr>
          <w:color w:val="FF0000"/>
        </w:rPr>
        <w:t>adequat</w:t>
      </w:r>
      <w:r w:rsidRPr="005D2834">
        <w:rPr>
          <w:color w:val="FF0000"/>
        </w:rPr>
        <w:t xml:space="preserve">e measures to grow and match with other western European nations </w:t>
      </w:r>
      <w:r w:rsidRPr="005D2834">
        <w:rPr>
          <w:color w:val="FF0000"/>
        </w:rPr>
        <w:fldChar w:fldCharType="begin" w:fldLock="1"/>
      </w:r>
      <w:r w:rsidR="00B12E5D" w:rsidRPr="005D2834">
        <w:rPr>
          <w:color w:val="FF0000"/>
        </w:rPr>
        <w:instrText>ADDIN CSL_CITATION {"citationItems":[{"id":"ITEM-1","itemData":{"author":[{"dropping-particle":"","family":"OECD","given":"","non-dropping-particle":"","parse-names":false,"suffix":""}],"id":"ITEM-1","issued":{"date-parts":[["2019"]]},"number-of-pages":"1-236","title":"Policy Insights GLOBAL RELATIONS Unleashing the Transformation Potential for Growth in the Western Balkans Ministry","type":"report"},"uris":["http://www.mendeley.com/documents/?uuid=f2ae466c-a0fe-49d3-95a9-c099350feee0","http://www.mendeley.com/documents/?uuid=bf3cef7c-d531-4099-9cec-7b130528a219"]},{"id":"ITEM-2","itemData":{"ISSN":"18578772","abstract":"Competition policy in the Western Balkan countries has recently gained in significance, in parallel with the acceleration of their EU accession process. Competition policy played a central role in the development of the EU, its institutions and in particular the EU internal market. Competition legislation aims to prevent distortions of competition that harm the economy and, at the same time, to assure freedom of choice of economic agents. A competition policy adopted by the government should include both: economic policies that enhance competition in local and national markets, and competition law designed to stop anti-competitive business practices. The goal of this paper is to analyse the recent developments in the area of competition policies in Western Balkan countries i.e. Albania, North Macedonia, Bosnia and Herzegovina, Serbia, Montenegro and Kosovo. In the Western Balkan countries, the progress in this policy area has been generally slower than in other areas of government. This can be explained partly by the complex environment in which competition policies and regulators are set up in any country. However, there could be also some other features at play, which are characteristic of the transition countries. In addition, in the last 20 years there were great efforts by the national governments to fully adhere with the EU competition policy principles and regulations.","author":[{"dropping-particle":"","family":"Tosheva","given":"Elizabeta","non-dropping-particle":"","parse-names":false,"suffix":""},{"dropping-particle":"","family":"Dimeski","given":"Branko","non-dropping-particle":"","parse-names":false,"suffix":""}],"container-title":"Balkan Social Science Review","id":"ITEM-2","issue":"14","issued":{"date-parts":[["2019"]]},"page":"31-55","title":"The competition policy in western balkan countries: How far they have come on the EU accession “Road?”","type":"article-journal","volume":"14"},"uris":["http://www.mendeley.com/documents/?uuid=50f23b73-0cf7-4f2d-a7ee-04e79d8b8cdb","http://www.mendeley.com/documents/?uuid=5c839a9a-90a5-40d2-99cb-abe7af933ac6"]}],"mendeley":{"formattedCitation":"(OECD, 2019; Tosheva and Dimeski, 2019)","plainTextFormattedCitation":"(OECD, 2019; Tosheva and Dimeski, 2019)","previouslyFormattedCitation":"(OECD, 2019; Tosheva and Dimeski, 2019)"},"properties":{"noteIndex":0},"schema":"https://github.com/citation-style-language/schema/raw/master/csl-citation.json"}</w:instrText>
      </w:r>
      <w:r w:rsidRPr="005D2834">
        <w:rPr>
          <w:color w:val="FF0000"/>
        </w:rPr>
        <w:fldChar w:fldCharType="separate"/>
      </w:r>
      <w:r w:rsidRPr="005D2834">
        <w:rPr>
          <w:noProof/>
          <w:color w:val="FF0000"/>
        </w:rPr>
        <w:t>(OECD, 2019; Tosheva and Dimeski, 2019)</w:t>
      </w:r>
      <w:r w:rsidRPr="005D2834">
        <w:rPr>
          <w:color w:val="FF0000"/>
          <w:lang w:val="en-US"/>
        </w:rPr>
        <w:fldChar w:fldCharType="end"/>
      </w:r>
      <w:r w:rsidRPr="005D2834">
        <w:rPr>
          <w:color w:val="FF0000"/>
        </w:rPr>
        <w:t>.</w:t>
      </w:r>
      <w:r w:rsidR="0075274F">
        <w:rPr>
          <w:color w:val="FF0000"/>
        </w:rPr>
        <w:t xml:space="preserve"> </w:t>
      </w:r>
      <w:r w:rsidRPr="005D2834">
        <w:rPr>
          <w:color w:val="FF0000"/>
        </w:rPr>
        <w:t xml:space="preserve">Another research in the Kosovo area suggests </w:t>
      </w:r>
      <w:r w:rsidR="00E6224D">
        <w:rPr>
          <w:color w:val="FF0000"/>
        </w:rPr>
        <w:t xml:space="preserve">a </w:t>
      </w:r>
      <w:r w:rsidRPr="005D2834">
        <w:rPr>
          <w:color w:val="FF0000"/>
        </w:rPr>
        <w:t xml:space="preserve">need for training programs for women, as they have shown a slower trend in </w:t>
      </w:r>
      <w:r w:rsidR="00E6224D">
        <w:rPr>
          <w:color w:val="FF0000"/>
        </w:rPr>
        <w:t>adopting</w:t>
      </w:r>
      <w:r w:rsidRPr="005D2834">
        <w:rPr>
          <w:color w:val="FF0000"/>
        </w:rPr>
        <w:t xml:space="preserve"> </w:t>
      </w:r>
      <w:r w:rsidR="00E6224D">
        <w:rPr>
          <w:color w:val="FF0000"/>
        </w:rPr>
        <w:t xml:space="preserve">the </w:t>
      </w:r>
      <w:r w:rsidRPr="005D2834">
        <w:rPr>
          <w:color w:val="FF0000"/>
        </w:rPr>
        <w:t xml:space="preserve">technology. The </w:t>
      </w:r>
      <w:r w:rsidR="00E6224D">
        <w:rPr>
          <w:color w:val="FF0000"/>
        </w:rPr>
        <w:t>b</w:t>
      </w:r>
      <w:r w:rsidRPr="005D2834">
        <w:rPr>
          <w:color w:val="FF0000"/>
        </w:rPr>
        <w:t>ank can have online and mobile banking tr</w:t>
      </w:r>
      <w:r w:rsidR="00E6224D">
        <w:rPr>
          <w:color w:val="FF0000"/>
        </w:rPr>
        <w:t>ia</w:t>
      </w:r>
      <w:r w:rsidRPr="005D2834">
        <w:rPr>
          <w:color w:val="FF0000"/>
        </w:rPr>
        <w:t xml:space="preserve">l versions and must enhance the user-friendliness of the apps. The study indicates more studies and more comprehensive research with </w:t>
      </w:r>
      <w:r w:rsidR="00E6224D">
        <w:rPr>
          <w:color w:val="FF0000"/>
        </w:rPr>
        <w:t>broa</w:t>
      </w:r>
      <w:r w:rsidRPr="005D2834">
        <w:rPr>
          <w:color w:val="FF0000"/>
        </w:rPr>
        <w:t>der frameworks and more constructs need to be analy</w:t>
      </w:r>
      <w:r w:rsidR="00E6224D">
        <w:rPr>
          <w:color w:val="FF0000"/>
        </w:rPr>
        <w:t>z</w:t>
      </w:r>
      <w:r w:rsidRPr="005D2834">
        <w:rPr>
          <w:color w:val="FF0000"/>
        </w:rPr>
        <w:t xml:space="preserve">ed to clarify the use of online and mobile banking </w:t>
      </w:r>
      <w:r w:rsidRPr="005D2834">
        <w:rPr>
          <w:color w:val="FF0000"/>
        </w:rPr>
        <w:fldChar w:fldCharType="begin" w:fldLock="1"/>
      </w:r>
      <w:r w:rsidR="00B12E5D" w:rsidRPr="005D2834">
        <w:rPr>
          <w:color w:val="FF0000"/>
        </w:rPr>
        <w:instrText>ADDIN CSL_CITATION {"citationItems":[{"id":"ITEM-1","itemData":{"author":[{"dropping-particle":"","family":"Prenaj","given":"Burim","non-dropping-particle":"","parse-names":false,"suffix":""}],"container-title":"Balkan Economic Review","id":"ITEM-1","issue":"December","issued":{"date-parts":[["2017"]]},"page":"16","title":"Online and Mobile Banking Usage : The Effects of E-skills and Personal Online and Mobile Banking Usage : The Effects of E-skills and Personal Innovativeness","type":"paper-conference","volume":"1"},"uris":["http://www.mendeley.com/documents/?uuid=fa41f836-a5d7-4dab-b07f-4e0551a65c3c","http://www.mendeley.com/documents/?uuid=12c058bd-3c29-46fd-9fef-1b9f31ab4185"]}],"mendeley":{"formattedCitation":"(Prenaj, 2017)","plainTextFormattedCitation":"(Prenaj, 2017)","previouslyFormattedCitation":"(Prenaj, 2017)"},"properties":{"noteIndex":0},"schema":"https://github.com/citation-style-language/schema/raw/master/csl-citation.json"}</w:instrText>
      </w:r>
      <w:r w:rsidRPr="005D2834">
        <w:rPr>
          <w:color w:val="FF0000"/>
        </w:rPr>
        <w:fldChar w:fldCharType="separate"/>
      </w:r>
      <w:r w:rsidRPr="005D2834">
        <w:rPr>
          <w:noProof/>
          <w:color w:val="FF0000"/>
        </w:rPr>
        <w:t>(Prenaj, 2017)</w:t>
      </w:r>
      <w:r w:rsidRPr="005D2834">
        <w:rPr>
          <w:color w:val="FF0000"/>
          <w:lang w:val="en-US"/>
        </w:rPr>
        <w:fldChar w:fldCharType="end"/>
      </w:r>
      <w:r w:rsidRPr="005D2834">
        <w:rPr>
          <w:color w:val="FF0000"/>
        </w:rPr>
        <w:t>. Another study on mobile phone penetration and inequality reduction in western Balkan supports that Mobile banking can be used extensively in developing countries to tackle prosperity, inequality</w:t>
      </w:r>
      <w:r w:rsidR="00E6224D">
        <w:rPr>
          <w:color w:val="FF0000"/>
        </w:rPr>
        <w:t>,</w:t>
      </w:r>
      <w:r w:rsidRPr="005D2834">
        <w:rPr>
          <w:color w:val="FF0000"/>
        </w:rPr>
        <w:t xml:space="preserve"> and poverty </w:t>
      </w:r>
      <w:r w:rsidRPr="005D2834">
        <w:rPr>
          <w:color w:val="FF0000"/>
        </w:rPr>
        <w:fldChar w:fldCharType="begin" w:fldLock="1"/>
      </w:r>
      <w:r w:rsidR="00B12E5D" w:rsidRPr="005D2834">
        <w:rPr>
          <w:color w:val="FF0000"/>
        </w:rPr>
        <w:instrText>ADDIN CSL_CITATION {"citationItems":[{"id":"ITEM-1","itemData":{"DOI":"10.2478/zireb-2019-0023","ISSN":"1331-5609","abstract":"The aim of this paper is to analyse the effect of the mobile phone penetration rate on inequality in Western Balkan countries and to provide empirical evidence. We explore the question of whether cell phone diffusion helps to decrease inequality and whether it has a positive income equality effect. In the developed conceptual framework, we consider that people with access to mobile telephony also have access to Wi-Fi and GPS and that individuals can perform different activities, such as engaging in e-commerce, e-governance, health, and education; paying bills; saving money; and transferring money to other persons. This represents a good foundation for poor persons exit the cycle of deprivation and leads to the development of equal opportunities. We analyse the impact of mobile phone penetration on inequality in Western Balkan countries by using ordinary least squares and two-stage least squares models (Asongu, 2015). Our results confirm the income-redistributive effect of mobile phone penetration.","author":[{"dropping-particle":"","family":"Vokshi","given":"Mjellma Carabregu","non-dropping-particle":"","parse-names":false,"suffix":""},{"dropping-particle":"","family":"Dedaj","given":"But","non-dropping-particle":"","parse-names":false,"suffix":""},{"dropping-particle":"","family":"Youssef","given":"Adel","non-dropping-particle":"Ben","parse-names":false,"suffix":""},{"dropping-particle":"","family":"Toçi","given":"Valentin","non-dropping-particle":"","parse-names":false,"suffix":""}],"container-title":"Zagreb International Review of Economics and Business","id":"ITEM-1","issue":"2","issued":{"date-parts":[["2019"]]},"page":"111-131","title":"Mobile phone penetration and its impact on inequality in the Western Balkan countries","type":"article-journal","volume":"22"},"uris":["http://www.mendeley.com/documents/?uuid=5254b7bf-59ee-45ad-b4ff-1596106fc7ee","http://www.mendeley.com/documents/?uuid=20ea0ea3-d4f2-4ce6-9303-e9d65f011ade"]}],"mendeley":{"formattedCitation":"(Vokshi et al., 2019)","plainTextFormattedCitation":"(Vokshi et al., 2019)","previouslyFormattedCitation":"(Vokshi et al., 2019)"},"properties":{"noteIndex":0},"schema":"https://github.com/citation-style-language/schema/raw/master/csl-citation.json"}</w:instrText>
      </w:r>
      <w:r w:rsidRPr="005D2834">
        <w:rPr>
          <w:color w:val="FF0000"/>
        </w:rPr>
        <w:fldChar w:fldCharType="separate"/>
      </w:r>
      <w:r w:rsidRPr="005D2834">
        <w:rPr>
          <w:noProof/>
          <w:color w:val="FF0000"/>
        </w:rPr>
        <w:t>(Vokshi et al., 2019)</w:t>
      </w:r>
      <w:r w:rsidRPr="005D2834">
        <w:rPr>
          <w:color w:val="FF0000"/>
          <w:lang w:val="en-US"/>
        </w:rPr>
        <w:fldChar w:fldCharType="end"/>
      </w:r>
      <w:r w:rsidRPr="005D2834">
        <w:rPr>
          <w:color w:val="FF0000"/>
        </w:rPr>
        <w:t>. Mobile banking is associated positively with inclusive growth. Poverty and inequality in lower-middle-income countries, upper-middle-income countries</w:t>
      </w:r>
      <w:r w:rsidR="00E6224D">
        <w:rPr>
          <w:color w:val="FF0000"/>
        </w:rPr>
        <w:t>, and Central and Eastern European countries were negatively associated with the increased usage of cell phones to pay, send, and receive</w:t>
      </w:r>
      <w:r w:rsidRPr="005D2834">
        <w:rPr>
          <w:color w:val="FF0000"/>
        </w:rPr>
        <w:t xml:space="preserve"> bills </w:t>
      </w:r>
      <w:r w:rsidRPr="005D2834">
        <w:rPr>
          <w:color w:val="FF0000"/>
        </w:rPr>
        <w:fldChar w:fldCharType="begin" w:fldLock="1"/>
      </w:r>
      <w:r w:rsidR="00B12E5D" w:rsidRPr="005D2834">
        <w:rPr>
          <w:color w:val="FF0000"/>
        </w:rPr>
        <w:instrText>ADDIN CSL_CITATION {"citationItems":[{"id":"ITEM-1","itemData":{"DOI":"10.1108/ITP-12-2015-0295","ISSN":"09593845","abstract":"Purpose: The purpose of this paper is to assess the correlations between mobile banking and inclusive development (poverty and inequality) in 93 developing countries for the year 2011. Design/methodology/approach: Mobile banking entails the following: “mobile phones used to pay bills” and “mobile phones used to receive/send money”, while the modifying policy indicator includes the human development index (HDI). The data are decomposed into seven sub-panels based on two fundamental characteristics: regions (Latin America, Asia and the Pacific, Central and Eastern Europe, and Middle East and North Africa) and income levels (upper middle income, lower middle income and low income). Findings: The results show that at certain thresholds of the HDI, mobile banking is positively linked to inclusive development. The following specific findings are established. First, the increased use of mobile phones to pay bills is negatively correlated with: poverty in lower-middle-income countries (LMIC), upper-middle-income countries (UMIC) and Latin American (LA) countries, respectively, at HDI thresholds of 0.725, 0.727 and 0.778 and inequality in UMIC and LA with HDI thresholds of, respectively, 0.646 and 0.761. Second, the increased use of mobile phones to send/receive money is negatively correlated with: poverty in LMIC, UMIC and Central and Eastern European (CEE) countries with corresponding HDI thresholds of 0.631, 0.750 and 0.750 and inequality in UMIC, CEE and LA at HDI thresholds of 0.665, 0.736 and 0.726, respectively. Practical implications: The findings are discussed in the light of current policy challenges in the transition from the UN’s Millennium Development Goals to Sustainable Development Goals. Originality/value: The authors have exploited the only macroeconomic data on mobile banking currently available.","author":[{"dropping-particle":"","family":"Asongu","given":"Simplice A.","non-dropping-particle":"","parse-names":false,"suffix":""},{"dropping-particle":"","family":"Nwachukwu","given":"Jacinta C.","non-dropping-particle":"","parse-names":false,"suffix":""}],"container-title":"Information Technology and People","id":"ITEM-1","issue":"1","issued":{"date-parts":[["2018"]]},"page":"63-83","title":"Comparative human development thresholds for absolute and relative pro-poor mobile banking in developing countries","type":"article-journal","volume":"31"},"uris":["http://www.mendeley.com/documents/?uuid=561e4ecc-264f-4f2b-b7f7-ba092b1bd35b","http://www.mendeley.com/documents/?uuid=457e7f8a-e279-4ed0-8e53-698f757607f8"]}],"mendeley":{"formattedCitation":"(Asongu and Nwachukwu, 2018)","plainTextFormattedCitation":"(Asongu and Nwachukwu, 2018)","previouslyFormattedCitation":"(Asongu and Nwachukwu, 2018)"},"properties":{"noteIndex":0},"schema":"https://github.com/citation-style-language/schema/raw/master/csl-citation.json"}</w:instrText>
      </w:r>
      <w:r w:rsidRPr="005D2834">
        <w:rPr>
          <w:color w:val="FF0000"/>
        </w:rPr>
        <w:fldChar w:fldCharType="separate"/>
      </w:r>
      <w:r w:rsidRPr="005D2834">
        <w:rPr>
          <w:noProof/>
          <w:color w:val="FF0000"/>
        </w:rPr>
        <w:t>(Asongu and Nwachukwu, 2018)</w:t>
      </w:r>
      <w:r w:rsidRPr="005D2834">
        <w:rPr>
          <w:color w:val="FF0000"/>
          <w:lang w:val="en-US"/>
        </w:rPr>
        <w:fldChar w:fldCharType="end"/>
      </w:r>
      <w:r w:rsidRPr="005D2834">
        <w:rPr>
          <w:color w:val="FF0000"/>
        </w:rPr>
        <w:t xml:space="preserve">. These mentioned arguments </w:t>
      </w:r>
      <w:r w:rsidR="00761FB3" w:rsidRPr="005D2834">
        <w:rPr>
          <w:color w:val="FF0000"/>
        </w:rPr>
        <w:t>support</w:t>
      </w:r>
      <w:r w:rsidRPr="005D2834">
        <w:rPr>
          <w:color w:val="FF0000"/>
        </w:rPr>
        <w:t xml:space="preserve"> the country analysis.</w:t>
      </w:r>
    </w:p>
    <w:p w14:paraId="1597C7EC" w14:textId="2D28B046" w:rsidR="00A47AEA" w:rsidRPr="00A47AEA" w:rsidRDefault="00A47AEA" w:rsidP="0020439A">
      <w:r w:rsidRPr="00A47AEA">
        <w:rPr>
          <w:lang w:val="en-US"/>
        </w:rPr>
        <w:t xml:space="preserve">The present study </w:t>
      </w:r>
      <w:r w:rsidR="00E6224D">
        <w:rPr>
          <w:lang w:val="en-US"/>
        </w:rPr>
        <w:t xml:space="preserve">was </w:t>
      </w:r>
      <w:r w:rsidRPr="00A47AEA">
        <w:rPr>
          <w:lang w:val="en-US"/>
        </w:rPr>
        <w:t xml:space="preserve">conducted over a wide geographical area covered Croatia, Serbia, North Macedonia, Albania, and Kosovo. The chosen countries reflect similarities in their cultural aspects, for example, </w:t>
      </w:r>
      <w:r w:rsidR="00E6224D">
        <w:rPr>
          <w:lang w:val="en-US"/>
        </w:rPr>
        <w:t>most</w:t>
      </w:r>
      <w:r w:rsidRPr="00A47AEA">
        <w:rPr>
          <w:lang w:val="en-US"/>
        </w:rPr>
        <w:t xml:space="preserve"> </w:t>
      </w:r>
      <w:r w:rsidR="00E6224D">
        <w:rPr>
          <w:lang w:val="en-US"/>
        </w:rPr>
        <w:t>southe</w:t>
      </w:r>
      <w:r w:rsidR="002A1D61">
        <w:rPr>
          <w:lang w:val="en-US"/>
        </w:rPr>
        <w:t>ast European</w:t>
      </w:r>
      <w:r w:rsidRPr="00A47AEA">
        <w:rPr>
          <w:lang w:val="en-US"/>
        </w:rPr>
        <w:t xml:space="preserve"> countries have </w:t>
      </w:r>
      <w:r w:rsidR="00E6224D">
        <w:rPr>
          <w:lang w:val="en-US"/>
        </w:rPr>
        <w:t>similar</w:t>
      </w:r>
      <w:r w:rsidRPr="00A47AEA">
        <w:rPr>
          <w:lang w:val="en-US"/>
        </w:rPr>
        <w:t xml:space="preserve"> lingos, and they can comprehend each other as it has many similarities </w:t>
      </w:r>
      <w:r w:rsidRPr="00A47AEA">
        <w:fldChar w:fldCharType="begin" w:fldLock="1"/>
      </w:r>
      <w:r w:rsidR="007F49C2">
        <w:instrText>ADDIN CSL_CITATION {"citationItems":[{"id":"ITEM-1","itemData":{"author":[{"dropping-particle":"","family":"Vesnic-Alujevic","given":"Lucia","non-dropping-particle":"","parse-names":false,"suffix":""}],"id":"ITEM-1","issued":{"date-parts":[["2012"]]},"number-of-pages":"01-47","publisher-place":"Brussels","title":"European Integration of Western Balkans: From Reconciliation To European Future","type":"report"},"uris":["http://www.mendeley.com/documents/?uuid=e94e47fc-7b82-4e7e-9b68-b036ce00b51e","http://www.mendeley.com/documents/?uuid=6afc00c9-736b-4e9d-a76f-eadfdf73de32"]}],"mendeley":{"formattedCitation":"(Vesnic-Alujevic, 2012)","plainTextFormattedCitation":"(Vesnic-Alujevic, 2012)","previouslyFormattedCitation":"(Vesnic-Alujevic, 2012)"},"properties":{"noteIndex":0},"schema":"https://github.com/citation-style-language/schema/raw/master/csl-citation.json"}</w:instrText>
      </w:r>
      <w:r w:rsidRPr="00A47AEA">
        <w:fldChar w:fldCharType="separate"/>
      </w:r>
      <w:r w:rsidR="007F49C2" w:rsidRPr="007F49C2">
        <w:rPr>
          <w:noProof/>
        </w:rPr>
        <w:t>(Vesnic-Alujevic, 2012)</w:t>
      </w:r>
      <w:r w:rsidRPr="00A47AEA">
        <w:rPr>
          <w:lang w:val="en-US"/>
        </w:rPr>
        <w:fldChar w:fldCharType="end"/>
      </w:r>
      <w:r w:rsidRPr="00A47AEA">
        <w:t xml:space="preserve">. People of this region have witnessed </w:t>
      </w:r>
      <w:r w:rsidR="00E6224D">
        <w:lastRenderedPageBreak/>
        <w:t>many</w:t>
      </w:r>
      <w:r w:rsidRPr="00A47AEA">
        <w:t xml:space="preserve"> changes from the communist era to the republic regime</w:t>
      </w:r>
      <w:r w:rsidR="00E6224D">
        <w:t>. They</w:t>
      </w:r>
      <w:r w:rsidRPr="00A47AEA">
        <w:t xml:space="preserve"> desire to be part of </w:t>
      </w:r>
      <w:r w:rsidR="007861F6">
        <w:t xml:space="preserve">the </w:t>
      </w:r>
      <w:r w:rsidRPr="00A47AEA">
        <w:t>European Union except</w:t>
      </w:r>
      <w:r w:rsidR="00E6224D">
        <w:t xml:space="preserve"> for</w:t>
      </w:r>
      <w:r w:rsidRPr="00A47AEA">
        <w:t xml:space="preserve"> Croatia, which already has its</w:t>
      </w:r>
      <w:r>
        <w:t xml:space="preserve"> membership.</w:t>
      </w:r>
      <w:r w:rsidRPr="00A47AEA">
        <w:t xml:space="preserve"> Western Balkan</w:t>
      </w:r>
      <w:r w:rsidR="002A1D61">
        <w:t xml:space="preserve"> (located in South-Eastern Europe)</w:t>
      </w:r>
      <w:r w:rsidRPr="00A47AEA">
        <w:t xml:space="preserve"> states </w:t>
      </w:r>
      <w:r w:rsidR="00BA78C8">
        <w:t>that they are witnessing economic growth, reducing unemployment, and increasing</w:t>
      </w:r>
      <w:r w:rsidRPr="00A47AEA">
        <w:t xml:space="preserve"> domestic labor demand</w:t>
      </w:r>
      <w:r w:rsidR="00BA78C8">
        <w:t>. They</w:t>
      </w:r>
      <w:r w:rsidRPr="00A47AEA">
        <w:t xml:space="preserve"> are becoming a trustworthy partner of </w:t>
      </w:r>
      <w:r w:rsidR="00BA78C8">
        <w:t xml:space="preserve">the </w:t>
      </w:r>
      <w:r w:rsidRPr="00A47AEA">
        <w:t>E</w:t>
      </w:r>
      <w:r w:rsidR="00BA78C8">
        <w:t>uropean Union</w:t>
      </w:r>
      <w:r w:rsidRPr="00A47AEA">
        <w:t xml:space="preserve"> through their sustainable economic reforms and constant achievements of </w:t>
      </w:r>
      <w:r w:rsidR="00E6224D">
        <w:t>favorabl</w:t>
      </w:r>
      <w:r w:rsidRPr="00A47AEA">
        <w:t xml:space="preserve">e results in many areas such as boosting digitalization, innovation, connectivity, and economic growth and employment </w:t>
      </w:r>
      <w:r w:rsidRPr="00A47AEA">
        <w:fldChar w:fldCharType="begin" w:fldLock="1"/>
      </w:r>
      <w:r w:rsidR="00B16657">
        <w:instrText>ADDIN CSL_CITATION {"citationItems":[{"id":"ITEM-1","itemData":{"DOI":"10.2815/82269","ISBN":"9789291987528","abstract":"With contributions from Donika Emini, Zoran Nechev, Isidora Stakić What will the Western Balkans look like in 2025? Will we witness Republika Srpska declare independence, a worsening of relations between Kosovo* and Serbia, and the rise of ethnic tensions across the region – or will we celebrate Montenegro and Serbia joining the EU, with good reason to hope that the rest of the region will soon follow? This Chaillot Paper presents three contrasting scenarios for the horizon of 2025 – best-case, medium-case, and worst-case. Each scenario takes account of the impact of underlying megatrends (trends that are unlikely to change by 2025) on the future trajectory of the region: the scenarios do not just spell out what 2025 could look like, they also explain how decisions with far-reaching consequences taken at critical junctures (called game-changers) will shape this future between today and then. They therefore serve not merely as a description, but also as a roadmap outlining the different options available.","author":[{"dropping-particle":"","family":"Emini","given":"Donika","non-dropping-particle":"","parse-names":false,"suffix":""},{"dropping-particle":"","family":"Nechev","given":"Zoran","non-dropping-particle":"","parse-names":false,"suffix":""},{"dropping-particle":"","family":"Stakić","given":"Isidora","non-dropping-particle":"","parse-names":false,"suffix":""}],"editor":[{"dropping-particle":"","family":"Čeperković","given":"Marko","non-dropping-particle":"","parse-names":false,"suffix":""},{"dropping-particle":"","family":"Gaub","given":"Florence","non-dropping-particle":"","parse-names":false,"suffix":""}],"id":"ITEM-1","issue":"August","issued":{"date-parts":[["2018"]]},"number-of-pages":"01-70","publisher":"European Union Institute for Security Studies","publisher-place":"Paris","title":"Balkan futures Three scenarios for 2025","type":"book"},"uris":["http://www.mendeley.com/documents/?uuid=10ba01da-fd1f-4064-bb9e-b85387d0f6cf","http://www.mendeley.com/documents/?uuid=922bd36d-1c8b-43a9-83f7-8c0ffe951f86"]}],"mendeley":{"formattedCitation":"(Emini et al., 2018)","plainTextFormattedCitation":"(Emini et al., 2018)","previouslyFormattedCitation":"(Emini et al., 2018)"},"properties":{"noteIndex":0},"schema":"https://github.com/citation-style-language/schema/raw/master/csl-citation.json"}</w:instrText>
      </w:r>
      <w:r w:rsidRPr="00A47AEA">
        <w:fldChar w:fldCharType="separate"/>
      </w:r>
      <w:r w:rsidR="00AF2B42" w:rsidRPr="00AF2B42">
        <w:rPr>
          <w:noProof/>
        </w:rPr>
        <w:t>(Emini et al., 2018)</w:t>
      </w:r>
      <w:r w:rsidRPr="00A47AEA">
        <w:rPr>
          <w:lang w:val="en-US"/>
        </w:rPr>
        <w:fldChar w:fldCharType="end"/>
      </w:r>
      <w:r w:rsidRPr="00A47AEA">
        <w:t>. Looking into the existing literature</w:t>
      </w:r>
      <w:r w:rsidR="00785B52">
        <w:t>,</w:t>
      </w:r>
      <w:r w:rsidRPr="00A47AEA">
        <w:t xml:space="preserve"> very few studies have covered such a wide chosen area</w:t>
      </w:r>
      <w:r w:rsidR="00E6224D">
        <w:t>,</w:t>
      </w:r>
      <w:r w:rsidRPr="00A47AEA">
        <w:t xml:space="preserve"> and also</w:t>
      </w:r>
      <w:r w:rsidR="00E6224D">
        <w:t>,</w:t>
      </w:r>
      <w:r w:rsidRPr="00A47AEA">
        <w:t xml:space="preserve"> the chosen phenomenon is not yet studied in this region. Most of the studies belong to strong economies in the </w:t>
      </w:r>
      <w:r w:rsidR="00A51B6C" w:rsidRPr="00A51B6C">
        <w:t>European Union</w:t>
      </w:r>
      <w:r w:rsidRPr="00A51B6C">
        <w:t>, G</w:t>
      </w:r>
      <w:r w:rsidR="00A51B6C" w:rsidRPr="00A51B6C">
        <w:t xml:space="preserve">ulf </w:t>
      </w:r>
      <w:r w:rsidRPr="00A47AEA">
        <w:t xml:space="preserve">countries, etc. Therefore, the chosen </w:t>
      </w:r>
      <w:r w:rsidR="00E6224D">
        <w:t>territory</w:t>
      </w:r>
      <w:r w:rsidRPr="00A47AEA">
        <w:t xml:space="preserve"> is still unexplored. The </w:t>
      </w:r>
      <w:r w:rsidR="00E6224D">
        <w:t>present study's focus</w:t>
      </w:r>
      <w:r w:rsidRPr="00A47AEA">
        <w:t xml:space="preserve"> is to understand how the selected demographic factors influence </w:t>
      </w:r>
      <w:r w:rsidR="00BA78C8">
        <w:t>mobile banking usage and acceptance</w:t>
      </w:r>
      <w:r w:rsidR="00CE30AA">
        <w:t xml:space="preserve"> </w:t>
      </w:r>
      <w:r w:rsidR="00CE30AA">
        <w:fldChar w:fldCharType="begin" w:fldLock="1"/>
      </w:r>
      <w:r w:rsidR="00CE30AA">
        <w:instrText>ADDIN CSL_CITATION {"citationItems":[{"id":"ITEM-1","itemData":{"DOI":"10.1177/0972150918825205","ISSN":"0972-1509","abstract":"Mobile banking (m-banking) has provided new opportunities to banks to engage more effectively with customers. With increasing smartphone penetration and affordable internet connectivity, both urban and rural India are witness to an increase in the number of mobile internet users. A majority of the recent studies on m-banking are focused on developed countries. Among Indian studies, a majority of them focus on internet banking, not many exist that explore the factors which influence user attitude (ATT) and intentions to adopt m-banking. This article aims to propose a scale to study m-banking adoption and validate it in the Indian context. An exploratory study was conducted through a literature review, a focus group discussions and some personal interviews. Exploratory factor analysis (EFA) was carried out which resulted in seven factors labelled as ease of use (EOU), ATT, lifestyle (LS), convenience (CON), efficiency (EFF), trust (TR) and behavioural intention (BI). The measurement model was estimated using confirmatory factor analysis to test the reliability and validity of the scale. The study improves the technology acceptance model (TAM) by adding TR, CON and EFF as relevant factors. The scale also integrates LS to the existing factors and focuses on both socio-technical aspects. The scale can be used by banks to assess how consumers perceive their m-banking service and identify gap areas and opportunities for developing viable m-banking services.","author":[{"dropping-particle":"","family":"Chawla","given":"Deepak","non-dropping-particle":"","parse-names":false,"suffix":""},{"dropping-particle":"","family":"Joshi","given":"Himanshu","non-dropping-particle":"","parse-names":false,"suffix":""}],"container-title":"Global Business Review","id":"ITEM-1","issue":"2","issued":{"date-parts":[["2019","4","29"]]},"page":"434-457","title":"Scale Development and Validation for Measuring the Adoption of Mobile Banking Services","type":"article-journal","volume":"20"},"uris":["http://www.mendeley.com/documents/?uuid=51f70c2c-40fd-4956-8c01-a80d82032283"]}],"mendeley":{"formattedCitation":"(Chawla and Joshi, 2019)","plainTextFormattedCitation":"(Chawla and Joshi, 2019)","previouslyFormattedCitation":"(Chawla and Joshi, 2019)"},"properties":{"noteIndex":0},"schema":"https://github.com/citation-style-language/schema/raw/master/csl-citation.json"}</w:instrText>
      </w:r>
      <w:r w:rsidR="00CE30AA">
        <w:fldChar w:fldCharType="separate"/>
      </w:r>
      <w:r w:rsidR="00CE30AA" w:rsidRPr="00CE30AA">
        <w:rPr>
          <w:noProof/>
        </w:rPr>
        <w:t>(Chawla and Joshi, 2019)</w:t>
      </w:r>
      <w:r w:rsidR="00CE30AA">
        <w:fldChar w:fldCharType="end"/>
      </w:r>
      <w:r w:rsidRPr="00A47AEA">
        <w:t xml:space="preserve">. The gradual expansion of the internet, and mobile-based internet usage, adoption of western European culture, and lifestyle to be part of </w:t>
      </w:r>
      <w:r w:rsidR="00E6224D">
        <w:t xml:space="preserve">the </w:t>
      </w:r>
      <w:r w:rsidRPr="00A47AEA">
        <w:t xml:space="preserve">European Union gives enough motivation to study how the peoples’ demographic factors affect usage of </w:t>
      </w:r>
      <w:r w:rsidR="00785B52">
        <w:t xml:space="preserve">mobile </w:t>
      </w:r>
      <w:r w:rsidRPr="00A47AEA">
        <w:t>banking in the chosen region</w:t>
      </w:r>
      <w:r w:rsidR="00EE1A3A">
        <w:t xml:space="preserve"> </w:t>
      </w:r>
      <w:r w:rsidR="00EE1A3A">
        <w:fldChar w:fldCharType="begin" w:fldLock="1"/>
      </w:r>
      <w:r w:rsidR="00B12E5D">
        <w:instrText>ADDIN CSL_CITATION {"citationItems":[{"id":"ITEM-1","itemData":{"DOI":"10.31341/jios.43.1.4","ISSN":"18469418","abstract":"Enterprise Resource Planning (ERP) solutions are the most frequently used software tool in companies in all industries. Therefore, the labour market requires the knowledge and skills for usage of ERP solutions from graduates – future employees. The main objective of our paper is therefore the identification of important factors that contribute to the acceptance of ERP solutions by students in economics and business and that shape their intentions to use this knowledge in the future. The model of our research is based on the Technology Acceptance Model (TAM), extended by identified important multidimensional external factors that refer to (1) students’ personal characteristics and information literacy, (2) perceived system and technological characteristics of ERP solutions and (3) perceived support within the study process. Research results revealed that several dimensions of the three multidimensonal factors play an important role in shaping the attitudes towards acceptance of ERP solutions by students.","author":[{"dropping-particle":"","family":"Sternad Zabukovšek","given":"Simona","non-dropping-particle":"","parse-names":false,"suffix":""},{"dropping-particle":"","family":"Picek","given":"Ruben","non-dropping-particle":"","parse-names":false,"suffix":""},{"dropping-particle":"","family":"Bobek","given":"Samo","non-dropping-particle":"","parse-names":false,"suffix":""},{"dropping-particle":"","family":"Šišovska Klančnik","given":"Irena","non-dropping-particle":"","parse-names":false,"suffix":""},{"dropping-particle":"","family":"Tominc","given":"Polona","non-dropping-particle":"","parse-names":false,"suffix":""}],"container-title":"Journal of information and organizational sciences","id":"ITEM-1","issue":"1","issued":{"date-parts":[["2019","6","21"]]},"page":"49-71","publisher":"University of Zagreb, Faculty of Organization and Informatics","title":"Technology acceptance model based study of students’ attitudes toward use of enterprise resource planning solutions","type":"article-journal","volume":"43"},"uris":["http://www.mendeley.com/documents/?uuid=576268cb-2092-3a8e-b069-a69fbe256003","http://www.mendeley.com/documents/?uuid=1fcfcc65-a253-47a4-99cd-1dacb9a03c22"]},{"id":"ITEM-2","itemData":{"ISSN":"18469418","abstract":"Each organization should be aiming at higher efficiency. Government institutions should not make an exception. Business processes of today's government institutions are extremely influenced by modern ICT and user acceptance plays a pivotal role in success of all ICT projects. As government tends to design and launch online services without actually measuring citizens' needs, understanding citizens' (taxpayers') needs is becoming crucial for government institutions. In this paper, a range of earlier studies have been critically analyzed and compared to provide an integrated model that can identify factors which could influence adoption of e-government services. The goal of this article is to study citizens' demand for different levels of electronic government service and to find factors which influence the adoption of these same services. This study integrates variables from technology acceptance model (TAM) and trustworthiness model. Analysis of the results indicates that there is a significant positive relationship between Trust in Internet, Perceived usefulness, Perceived ease of use and the Intention to use. Implications for further research are discussed.","author":[{"dropping-particle":"","family":"Vrček","given":"Neven","non-dropping-particle":"","parse-names":false,"suffix":""},{"dropping-particle":"","family":"Klačmer","given":"Mario","non-dropping-particle":"","parse-names":false,"suffix":""}],"container-title":"Journal of Information and Organizational Sciences","id":"ITEM-2","issue":"1","issued":{"date-parts":[["2014"]]},"page":"55-69","publisher":"University of Zagreb","title":"Intention to use and variables influencing intention to use electronic government services among citizens","type":"article-journal","volume":"38"},"uris":["http://www.mendeley.com/documents/?uuid=1625c005-e9e4-31e6-9c05-be1dddd16320","http://www.mendeley.com/documents/?uuid=d43c607f-5d56-4dbf-ad84-47bc78657fc0"]}],"mendeley":{"formattedCitation":"(Sternad Zabukovšek et al., 2019; Vrček and Klačmer, 2014)","plainTextFormattedCitation":"(Sternad Zabukovšek et al., 2019; Vrček and Klačmer, 2014)","previouslyFormattedCitation":"(Sternad Zabukovšek et al., 2019; Vrček and Klačmer, 2014)"},"properties":{"noteIndex":0},"schema":"https://github.com/citation-style-language/schema/raw/master/csl-citation.json"}</w:instrText>
      </w:r>
      <w:r w:rsidR="00EE1A3A">
        <w:fldChar w:fldCharType="separate"/>
      </w:r>
      <w:r w:rsidR="00AF2B42" w:rsidRPr="00AF2B42">
        <w:rPr>
          <w:noProof/>
        </w:rPr>
        <w:t>(Sternad Zabukovšek et al., 2019; Vrček and Klačmer, 2014)</w:t>
      </w:r>
      <w:r w:rsidR="00EE1A3A">
        <w:fldChar w:fldCharType="end"/>
      </w:r>
      <w:r w:rsidRPr="00A47AEA">
        <w:t xml:space="preserve">. </w:t>
      </w:r>
      <w:r w:rsidR="00705791">
        <w:t xml:space="preserve">Surprisingly, according to Kim et al. </w:t>
      </w:r>
      <w:r w:rsidR="00705791">
        <w:fldChar w:fldCharType="begin" w:fldLock="1"/>
      </w:r>
      <w:r w:rsidR="00B12E5D">
        <w:instrText>ADDIN CSL_CITATION {"citationItems":[{"id":"ITEM-1","itemData":{"DOI":"10.1002/isd2.12044","ISSN":"16814835","abstract":"With the flagship success of m-Pesa, financial services via mobile devices have become an important tool to facilitate the financial inclusion of the previously unbanked population in developing countries. Attempts to provide a landscape of academic research findings at the intersection of mobile financial services, financial inclusion, and development have been rather scant. To determine the key issues and gaps in the current academic research, this study conducts a systematic review of 54 academic research papers vis-à-vis the nexus of mobile financial services, financial inclusion, and development. The results show that the extant literature addresses three major clusters of topics: delivery, environmental factors, and the impact of mobile financial services. Still in the nascent stage of research, the topics covered in the literature indicate a bias towards institutional and individual preconditions for the implementation of mobile financial services, rather than actual supply and demand by users, and its impact on society. The choice of research methods also shows limited variety and depth. This study contributes towards understanding the existing research on mobile financial services for financial inclusion in developing countries and finding research gaps for future study.","author":[{"dropping-particle":"","family":"Kim","given":"Minjin","non-dropping-particle":"","parse-names":false,"suffix":""},{"dropping-particle":"","family":"Zoo","given":"Hanah","non-dropping-particle":"","parse-names":false,"suffix":""},{"dropping-particle":"","family":"Lee","given":"Heejin","non-dropping-particle":"","parse-names":false,"suffix":""},{"dropping-particle":"","family":"Kang","given":"Juhee","non-dropping-particle":"","parse-names":false,"suffix":""}],"container-title":"The Electronic Journal of Information Systems in Developing Countries","id":"ITEM-1","issue":"5","issued":{"date-parts":[["2018","9","1"]]},"page":"e12044","publisher":"Wiley-Blackwell","title":"Mobile financial services, financial inclusion, and development: A systematic review of academic literature","type":"article-journal","volume":"84"},"suppress-author":1,"uris":["http://www.mendeley.com/documents/?uuid=e08aa9d5-f87c-3872-8d6e-f23402140018","http://www.mendeley.com/documents/?uuid=d8dc492e-f1be-49fb-90bb-2d27af6a0f3a"]}],"mendeley":{"formattedCitation":"(2018)","plainTextFormattedCitation":"(2018)","previouslyFormattedCitation":"(2018)"},"properties":{"noteIndex":0},"schema":"https://github.com/citation-style-language/schema/raw/master/csl-citation.json"}</w:instrText>
      </w:r>
      <w:r w:rsidR="00705791">
        <w:fldChar w:fldCharType="separate"/>
      </w:r>
      <w:r w:rsidR="00705791" w:rsidRPr="00705791">
        <w:rPr>
          <w:noProof/>
        </w:rPr>
        <w:t>(2018)</w:t>
      </w:r>
      <w:r w:rsidR="00705791">
        <w:fldChar w:fldCharType="end"/>
      </w:r>
      <w:r w:rsidR="00705791">
        <w:t xml:space="preserve">, </w:t>
      </w:r>
      <w:r w:rsidR="00E6224D">
        <w:t>consumers' demographic characteristic</w:t>
      </w:r>
      <w:r w:rsidR="00705791">
        <w:t xml:space="preserve">s in developing countries tend to have a negative effect on the adoption of mobile financial services. </w:t>
      </w:r>
      <w:r w:rsidR="00D04096" w:rsidRPr="00A04B5D">
        <w:rPr>
          <w:color w:val="FF0000"/>
        </w:rPr>
        <w:t>A very strong argument forwarded by a study analy</w:t>
      </w:r>
      <w:r w:rsidR="00E6224D">
        <w:rPr>
          <w:color w:val="FF0000"/>
        </w:rPr>
        <w:t>z</w:t>
      </w:r>
      <w:r w:rsidR="00D04096" w:rsidRPr="00A04B5D">
        <w:rPr>
          <w:color w:val="FF0000"/>
        </w:rPr>
        <w:t>ed location, age, gender</w:t>
      </w:r>
      <w:r w:rsidR="00E6224D">
        <w:rPr>
          <w:color w:val="FF0000"/>
        </w:rPr>
        <w:t>,</w:t>
      </w:r>
      <w:r w:rsidR="00D04096" w:rsidRPr="00A04B5D">
        <w:rPr>
          <w:color w:val="FF0000"/>
        </w:rPr>
        <w:t xml:space="preserve"> and income on information communication and technology acceptance. </w:t>
      </w:r>
      <w:r w:rsidR="00846633" w:rsidRPr="00A04B5D">
        <w:rPr>
          <w:color w:val="FF0000"/>
        </w:rPr>
        <w:t>Several studies</w:t>
      </w:r>
      <w:r w:rsidR="00D04096" w:rsidRPr="00A04B5D">
        <w:rPr>
          <w:color w:val="FF0000"/>
        </w:rPr>
        <w:t xml:space="preserve"> encourage</w:t>
      </w:r>
      <w:r w:rsidR="00E6224D">
        <w:rPr>
          <w:color w:val="FF0000"/>
        </w:rPr>
        <w:t xml:space="preserve"> further in-depth analysis of location in future research and</w:t>
      </w:r>
      <w:r w:rsidR="00D04096" w:rsidRPr="00A04B5D">
        <w:rPr>
          <w:color w:val="FF0000"/>
        </w:rPr>
        <w:t xml:space="preserve"> other socio-demographic variables </w:t>
      </w:r>
      <w:r w:rsidR="00D04096" w:rsidRPr="00A04B5D">
        <w:rPr>
          <w:color w:val="FF0000"/>
        </w:rPr>
        <w:fldChar w:fldCharType="begin" w:fldLock="1"/>
      </w:r>
      <w:r w:rsidR="00B12E5D" w:rsidRPr="00A04B5D">
        <w:rPr>
          <w:color w:val="FF0000"/>
        </w:rPr>
        <w:instrText>ADDIN CSL_CITATION {"citationItems":[{"id":"ITEM-1","itemData":{"DOI":"10.1007/978-3-030-45002-1_7","ISBN":"9783030450014","ISSN":"16113349","abstract":"This research investigates the impact of socio-demographic factors such as age, gender, income and location on ICT acceptance for diabetes self-care. The investigation is due to the increasing number of diabetic patients in South Africa, where large segments of the population experience technological forms of exclusions. The context warrants research in geographical areas where ICT use is not pervasive yet. This research, used the UTAUT model with purposive sampling for 497 diabetic respondents, residing in low socio-economic communities. It analysed survey data using linear regression. It found that age had a strong moderating effect on all four UTAUT constructs. Gender only had a moderating effect on performance expectancy and social influence. In contrast to findings in the extant literature, income and location had no significant moderating effect in this context.","author":[{"dropping-particle":"","family":"Petersen","given":"Fazlyn","non-dropping-particle":"","parse-names":false,"suffix":""},{"dropping-particle":"","family":"Baker","given":"Adiel","non-dropping-particle":"","parse-names":false,"suffix":""},{"dropping-particle":"","family":"Pather","given":"Shaun","non-dropping-particle":"","parse-names":false,"suffix":""},{"dropping-particle":"","family":"Tucker","given":"William D.","non-dropping-particle":"","parse-names":false,"suffix":""}],"container-title":"Lecture Notes in Computer Science (including subseries Lecture Notes in Artificial Intelligence and Lecture Notes in Bioinformatics)","id":"ITEM-1","issued":{"date-parts":[["2020"]]},"number-of-pages":"73-83","publisher":"Springer International Publishing","title":"Impact of Socio-Demographic Factors on the Acceptance of Information Communication and Technology (ICT) for Diabetes Self-care","type":"book","volume":"12067 LNCS"},"uris":["http://www.mendeley.com/documents/?uuid=fccd911c-12b6-415c-b9ce-4179af043ba5","http://www.mendeley.com/documents/?uuid=522e32e9-0e54-4e81-947f-e673bb0ab577"]}],"mendeley":{"formattedCitation":"(Petersen et al., 2020)","plainTextFormattedCitation":"(Petersen et al., 2020)","previouslyFormattedCitation":"(Petersen et al., 2020)"},"properties":{"noteIndex":0},"schema":"https://github.com/citation-style-language/schema/raw/master/csl-citation.json"}</w:instrText>
      </w:r>
      <w:r w:rsidR="00D04096" w:rsidRPr="00A04B5D">
        <w:rPr>
          <w:color w:val="FF0000"/>
        </w:rPr>
        <w:fldChar w:fldCharType="separate"/>
      </w:r>
      <w:r w:rsidR="00B70450" w:rsidRPr="00A04B5D">
        <w:rPr>
          <w:noProof/>
          <w:color w:val="FF0000"/>
        </w:rPr>
        <w:t>(Petersen et al., 2020)</w:t>
      </w:r>
      <w:r w:rsidR="00D04096" w:rsidRPr="00A04B5D">
        <w:rPr>
          <w:color w:val="FF0000"/>
        </w:rPr>
        <w:fldChar w:fldCharType="end"/>
      </w:r>
      <w:r w:rsidR="00D04096" w:rsidRPr="00A04B5D">
        <w:rPr>
          <w:color w:val="FF0000"/>
        </w:rPr>
        <w:t xml:space="preserve">. </w:t>
      </w:r>
      <w:r w:rsidR="00B70450" w:rsidRPr="00A04B5D">
        <w:rPr>
          <w:color w:val="FF0000"/>
        </w:rPr>
        <w:t xml:space="preserve">Several other studies recommend further socio-demographic research in the related field </w:t>
      </w:r>
      <w:r w:rsidR="00B70450" w:rsidRPr="00A04B5D">
        <w:rPr>
          <w:color w:val="FF0000"/>
        </w:rPr>
        <w:fldChar w:fldCharType="begin" w:fldLock="1"/>
      </w:r>
      <w:r w:rsidR="00B12E5D" w:rsidRPr="00A04B5D">
        <w:rPr>
          <w:color w:val="FF0000"/>
        </w:rPr>
        <w:instrText>ADDIN CSL_CITATION {"citationItems":[{"id":"ITEM-1","itemData":{"DOI":"10.1016/j.procs.2017.10.075","ISBN":"9781510849914","ISSN":"18770509","abstract":"This paper explains the factors of affecting the technology acceptance model (TAM) in the application of Knowledge Management to small medium enterprises in creative economy. The objective of this research is to analyze the correlation among the perceived ease of use(PEOU) variable, voluntaries use(VU) variable, perceived entertainment value (PEV) variable, perceived usefulness (PU) variable and factor of Web usage attitude (WU) which is a factor influencing the technology acceptance model of knowledge management in small and medium enterprises. The method of research is explanatory research which aims to analyze the relationship between one variable stage above. The Data collection techniques used in this study is a questionnaire using semantic differential scale and explained the research design, data retrieval, data processing and data analysis. Data analysis used in analyzing factors of technological acceptance model (TAM) in the application of Knowledge Management in small medium enterprises in creative economy is descriptive statistics to consider a frequency distribution the size and spread of data on characteristics of the sample (respondents) and indicator variable endogenous and provide explanation of its mean value, standard deviations, variant, maximum, range, skewness and kurtosis. Statistical analysis inferential using structural equation model (SEM). The result of this paper is the technology acceptance model of knowledge management small medium enterprises influenced by the ease of use (PEOU) which will cause the advantage in using (PU) because of advantage in using the user will be willing (have willingness) in using (VU), so that have an attitude of the use of Web Knowledge Management (WU)","author":[{"dropping-particle":"","family":"Siregar","given":"Junita Juwita","non-dropping-particle":"","parse-names":false,"suffix":""},{"dropping-particle":"","family":"Wardaya Puspokusumo","given":"R. A.Aryanti","non-dropping-particle":"","parse-names":false,"suffix":""},{"dropping-particle":"","family":"Rahayu","given":"Anita","non-dropping-particle":"","parse-names":false,"suffix":""}],"container-title":"Procedia Computer Science","id":"ITEM-1","issued":{"date-parts":[["2017"]]},"page":"500-508","publisher":"Elsevier B.V.","title":"Analysis of Affecting Factors Technology Acceptance Model in the Application of Knowledge Management for Small Medium Enterprises in Industry Creative","type":"paper-conference","volume":"116"},"uris":["http://www.mendeley.com/documents/?uuid=9a4f92de-527a-4047-8fb6-7ebb1ba85888","http://www.mendeley.com/documents/?uuid=df72976e-b178-4fd7-a5fb-53dc82a299c0"]},{"id":"ITEM-2","itemData":{"DOI":"10.1057/ejis.2013.19","ISSN":"14769344","abstract":"Information technology (IT) allows members of the growing elderly population to remain independent longer. However, while technology becomes more and more pervasive, an age-related underutilisation of IT remains observable. For instance, elderly people (65 years of age and older) are significantly less likely to use the Internet than the average population (see, for instance, European Commission, 2011). This age-related digital divide prevents many elderly people from using IT to enhance their quality of life through tools, such as Internet-based service delivery. Despite the significance of this phenomenon, the information systems (IS) literature lacks a comprehensive consideration and explanation of technology acceptance in general and more specifically, Internet adoption by the elderly. This paper thus studies the intentions of the elderly with regard to Internet use and identifies important influencing factors. Four alternative models based on technology acceptance theory are tested in the context of comprehensive survey data. As a result, a model that explains as much as 84% of the variance in technology adoption among the elderly is developed. We discuss the contribution of our analyses to the research on Internet adoption (and IT adoption in general) by the elderly, on the digital divide, and on technology acceptance and identify potentially effective paths for future research and theoretical development.","author":[{"dropping-particle":"","family":"Niehaves","given":"Björn","non-dropping-particle":"","parse-names":false,"suffix":""},{"dropping-particle":"","family":"Plattfaut","given":"Ralf","non-dropping-particle":"","parse-names":false,"suffix":""}],"container-title":"European Journal of Information Systems","id":"ITEM-2","issue":"6","issued":{"date-parts":[["2014"]]},"page":"708-726","title":"Internet adoption by the elderly: Employing IS technology acceptance theories for understanding the age-related digital divide","type":"article-journal","volume":"23"},"uris":["http://www.mendeley.com/documents/?uuid=1f59a667-818a-4278-b8dd-954432c19c78","http://www.mendeley.com/documents/?uuid=8db1f294-998a-4ad6-8972-36a71004e240"]}],"mendeley":{"formattedCitation":"(Niehaves and Plattfaut, 2014; Siregar et al., 2017)","plainTextFormattedCitation":"(Niehaves and Plattfaut, 2014; Siregar et al., 2017)","previouslyFormattedCitation":"(Niehaves and Plattfaut, 2014; Siregar et al., 2017)"},"properties":{"noteIndex":0},"schema":"https://github.com/citation-style-language/schema/raw/master/csl-citation.json"}</w:instrText>
      </w:r>
      <w:r w:rsidR="00B70450" w:rsidRPr="00A04B5D">
        <w:rPr>
          <w:color w:val="FF0000"/>
        </w:rPr>
        <w:fldChar w:fldCharType="separate"/>
      </w:r>
      <w:r w:rsidR="00B70450" w:rsidRPr="00A04B5D">
        <w:rPr>
          <w:noProof/>
          <w:color w:val="FF0000"/>
        </w:rPr>
        <w:t>(Niehaves and Plattfaut, 2014; Siregar et al., 2017)</w:t>
      </w:r>
      <w:r w:rsidR="00B70450" w:rsidRPr="00A04B5D">
        <w:rPr>
          <w:color w:val="FF0000"/>
        </w:rPr>
        <w:fldChar w:fldCharType="end"/>
      </w:r>
      <w:r w:rsidR="00B70450" w:rsidRPr="00A04B5D">
        <w:rPr>
          <w:color w:val="FF0000"/>
        </w:rPr>
        <w:t xml:space="preserve">. </w:t>
      </w:r>
      <w:r w:rsidR="00705791">
        <w:t xml:space="preserve">With this in mind, it </w:t>
      </w:r>
      <w:r w:rsidR="00E6224D">
        <w:t>is worth studying</w:t>
      </w:r>
      <w:r w:rsidR="00705791">
        <w:t xml:space="preserve"> the relationships between UTAUT’s constructs and </w:t>
      </w:r>
      <w:r w:rsidR="002973FF">
        <w:t>individuals’</w:t>
      </w:r>
      <w:r w:rsidR="00705791">
        <w:t xml:space="preserve"> characteristics in developing countries such as those in </w:t>
      </w:r>
      <w:r w:rsidR="00E6224D">
        <w:t>southe</w:t>
      </w:r>
      <w:r w:rsidR="00705791">
        <w:t xml:space="preserve">ast Europe. </w:t>
      </w:r>
      <w:r w:rsidRPr="00A47AEA">
        <w:t xml:space="preserve">The </w:t>
      </w:r>
      <w:r w:rsidR="00E6224D">
        <w:t>study's outcome can help the policymakers and corporates towards strategy formulation to</w:t>
      </w:r>
      <w:r w:rsidRPr="00A47AEA">
        <w:t xml:space="preserve"> improve the acceptance and usage of mobile banking among the people of chosen states.</w:t>
      </w:r>
    </w:p>
    <w:p w14:paraId="7ADD56D0" w14:textId="3834AE6C" w:rsidR="00C64B25" w:rsidRPr="00A47AEA" w:rsidRDefault="00A47AEA" w:rsidP="0020439A">
      <w:r w:rsidRPr="00A47AEA">
        <w:t xml:space="preserve">The present study has identified the key variables based on </w:t>
      </w:r>
      <w:r w:rsidR="00E6224D">
        <w:t xml:space="preserve">the </w:t>
      </w:r>
      <w:r w:rsidRPr="00A47AEA">
        <w:t>UTAUT</w:t>
      </w:r>
      <w:r w:rsidR="00785B52">
        <w:t xml:space="preserve"> model</w:t>
      </w:r>
      <w:r w:rsidRPr="00A47AEA">
        <w:t xml:space="preserve"> </w:t>
      </w:r>
      <w:r w:rsidRPr="00A47AEA">
        <w:fldChar w:fldCharType="begin" w:fldLock="1"/>
      </w:r>
      <w:r w:rsidR="00B12E5D">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A47AEA">
        <w:fldChar w:fldCharType="separate"/>
      </w:r>
      <w:r w:rsidR="00AF1E11" w:rsidRPr="00AF1E11">
        <w:rPr>
          <w:noProof/>
        </w:rPr>
        <w:t>(Venkatesh et al., 2012)</w:t>
      </w:r>
      <w:r w:rsidRPr="00A47AEA">
        <w:rPr>
          <w:lang w:val="en-US"/>
        </w:rPr>
        <w:fldChar w:fldCharType="end"/>
      </w:r>
      <w:r w:rsidR="00E6224D">
        <w:rPr>
          <w:lang w:val="en-US"/>
        </w:rPr>
        <w:t>,</w:t>
      </w:r>
      <w:r w:rsidRPr="00A47AEA">
        <w:t xml:space="preserve"> such as performance expectancy, effort expectancy, social influence</w:t>
      </w:r>
      <w:r w:rsidR="00785B52">
        <w:t>, facilitating conditions, habit, hedonic motivation, behavioral intention, use</w:t>
      </w:r>
      <w:r w:rsidR="00E6224D">
        <w:t>r</w:t>
      </w:r>
      <w:r w:rsidR="00785B52">
        <w:t xml:space="preserve"> behavior, </w:t>
      </w:r>
      <w:r w:rsidRPr="00A47AEA">
        <w:t xml:space="preserve">and demographic factors such as gender, </w:t>
      </w:r>
      <w:r w:rsidR="00D24D0F">
        <w:t>employment</w:t>
      </w:r>
      <w:r w:rsidRPr="00A47AEA">
        <w:t>, living settlement, and financial experience, to investigate the significant demographic factors influencing m</w:t>
      </w:r>
      <w:r w:rsidR="00785B52">
        <w:t xml:space="preserve">obile </w:t>
      </w:r>
      <w:r w:rsidRPr="00A47AEA">
        <w:t xml:space="preserve">banking acceptance and usage under the chosen theory in the context of </w:t>
      </w:r>
      <w:r w:rsidR="00785B52">
        <w:t>the Western Balkan</w:t>
      </w:r>
      <w:r w:rsidRPr="00A47AEA">
        <w:t xml:space="preserve"> consumers’ mobile banking adaptability and acceptance. To the best of the authors’ knowledge, no other study has covered gender, </w:t>
      </w:r>
      <w:r w:rsidR="00D24D0F">
        <w:t>employment</w:t>
      </w:r>
      <w:r w:rsidR="00A04B5D">
        <w:t>,</w:t>
      </w:r>
      <w:r w:rsidRPr="00A47AEA">
        <w:t xml:space="preserve"> living settlement,</w:t>
      </w:r>
      <w:r w:rsidR="00D24D0F">
        <w:t xml:space="preserve"> and</w:t>
      </w:r>
      <w:r w:rsidRPr="00A47AEA">
        <w:t xml:space="preserve"> financial experience extensively with UTAUT2 together</w:t>
      </w:r>
      <w:r w:rsidR="00785B52">
        <w:t>, representing</w:t>
      </w:r>
      <w:r w:rsidRPr="00A47AEA">
        <w:t xml:space="preserve"> the </w:t>
      </w:r>
      <w:r w:rsidR="00E6224D">
        <w:t>present study's core originalit</w:t>
      </w:r>
      <w:r w:rsidR="00785B52">
        <w:t>y.</w:t>
      </w:r>
      <w:r w:rsidRPr="00A47AEA">
        <w:t xml:space="preserve"> From the managerial and practical implication point of view, the effect of demographic factors on </w:t>
      </w:r>
      <w:r w:rsidR="00BC3CD7">
        <w:t>behavioral intention</w:t>
      </w:r>
      <w:r w:rsidRPr="00A47AEA">
        <w:t xml:space="preserve"> and </w:t>
      </w:r>
      <w:r w:rsidR="00BC3CD7">
        <w:t xml:space="preserve">user behavior </w:t>
      </w:r>
      <w:r w:rsidRPr="00A47AEA">
        <w:t xml:space="preserve">in the context of </w:t>
      </w:r>
      <w:r w:rsidR="002A1D61">
        <w:t xml:space="preserve">developing countries </w:t>
      </w:r>
      <w:r w:rsidRPr="00A47AEA">
        <w:t xml:space="preserve">provides useful insights. The study offers how the chosen demographic factors in each </w:t>
      </w:r>
      <w:r w:rsidR="0020439A">
        <w:t>selected</w:t>
      </w:r>
      <w:r w:rsidRPr="00A47AEA">
        <w:t xml:space="preserve"> state related to the extended UTAUT </w:t>
      </w:r>
      <w:r w:rsidR="00BC3CD7" w:rsidRPr="00A47AEA">
        <w:t xml:space="preserve">model </w:t>
      </w:r>
      <w:r w:rsidRPr="00A47AEA">
        <w:fldChar w:fldCharType="begin" w:fldLock="1"/>
      </w:r>
      <w:r w:rsidR="00B12E5D">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A47AEA">
        <w:fldChar w:fldCharType="separate"/>
      </w:r>
      <w:r w:rsidR="00AF1E11" w:rsidRPr="00AF1E11">
        <w:rPr>
          <w:noProof/>
        </w:rPr>
        <w:t>(Venkatesh et al., 2012)</w:t>
      </w:r>
      <w:r w:rsidRPr="00A47AEA">
        <w:rPr>
          <w:lang w:val="en-US"/>
        </w:rPr>
        <w:fldChar w:fldCharType="end"/>
      </w:r>
      <w:r w:rsidRPr="00A47AEA">
        <w:rPr>
          <w:lang w:val="en-US"/>
        </w:rPr>
        <w:t xml:space="preserve"> can help the chosen region to improve </w:t>
      </w:r>
      <w:r w:rsidR="0020439A">
        <w:rPr>
          <w:lang w:val="en-US"/>
        </w:rPr>
        <w:t>its</w:t>
      </w:r>
      <w:r w:rsidRPr="00A47AEA">
        <w:rPr>
          <w:lang w:val="en-US"/>
        </w:rPr>
        <w:t xml:space="preserve"> mobile banking acceptance and usage.</w:t>
      </w:r>
      <w:r w:rsidRPr="00A47AEA">
        <w:t xml:space="preserve"> </w:t>
      </w:r>
      <w:r w:rsidR="00E6224D">
        <w:t>Adopting this framework would add substantially to the literature, and the outcome will contribute to practical implications</w:t>
      </w:r>
      <w:r w:rsidRPr="00A47AEA">
        <w:t xml:space="preserve">. The necessity to understand and investigate the demographic factors </w:t>
      </w:r>
      <w:r w:rsidR="00E6224D">
        <w:t xml:space="preserve">that affect behavioral intention and user behavior in </w:t>
      </w:r>
      <w:r w:rsidRPr="00A47AEA">
        <w:t xml:space="preserve">referred transition countries motivated to conduct this research. Hence, this study seeks to </w:t>
      </w:r>
      <w:r w:rsidR="00E6224D">
        <w:t>examin</w:t>
      </w:r>
      <w:r w:rsidRPr="00A47AEA">
        <w:t>e the effect of demograph</w:t>
      </w:r>
      <w:r w:rsidR="00BC3CD7">
        <w:t xml:space="preserve">ic factors </w:t>
      </w:r>
      <w:r w:rsidR="00E6224D">
        <w:t>concerning</w:t>
      </w:r>
      <w:r w:rsidR="00BC3CD7">
        <w:t xml:space="preserve"> </w:t>
      </w:r>
      <w:r w:rsidR="0020439A">
        <w:t xml:space="preserve">the </w:t>
      </w:r>
      <w:r w:rsidR="00BC3CD7">
        <w:t>UTAUT</w:t>
      </w:r>
      <w:r w:rsidR="00C32914">
        <w:t>2</w:t>
      </w:r>
      <w:r w:rsidR="00BC3CD7">
        <w:t xml:space="preserve"> model</w:t>
      </w:r>
      <w:r w:rsidRPr="00A47AEA">
        <w:t xml:space="preserve"> on the intention to use </w:t>
      </w:r>
      <w:r w:rsidR="00BC3CD7">
        <w:t xml:space="preserve">mobile </w:t>
      </w:r>
      <w:r w:rsidRPr="00A47AEA">
        <w:t xml:space="preserve">banking in the context of post-communist transition countries of </w:t>
      </w:r>
      <w:r w:rsidR="00BC3CD7">
        <w:t xml:space="preserve">the Western </w:t>
      </w:r>
      <w:r w:rsidRPr="00A47AEA">
        <w:t xml:space="preserve">Balkan states. </w:t>
      </w:r>
    </w:p>
    <w:p w14:paraId="18585E9A" w14:textId="77777777" w:rsidR="008F3BB2" w:rsidRPr="00362A86" w:rsidRDefault="008F3BB2" w:rsidP="008F3BB2">
      <w:pPr>
        <w:pStyle w:val="Nadpis1"/>
        <w:rPr>
          <w:lang w:val="en-US"/>
        </w:rPr>
      </w:pPr>
      <w:r>
        <w:rPr>
          <w:lang w:val="en-US"/>
        </w:rPr>
        <w:t>Literature review</w:t>
      </w:r>
    </w:p>
    <w:p w14:paraId="1132094C" w14:textId="25C90970" w:rsidR="00A47AEA" w:rsidRDefault="00A47AEA" w:rsidP="00A47AEA">
      <w:pPr>
        <w:rPr>
          <w:lang w:val="en-US"/>
        </w:rPr>
      </w:pPr>
      <w:r w:rsidRPr="00A47AEA">
        <w:rPr>
          <w:lang w:val="en-US"/>
        </w:rPr>
        <w:t>Various studies have been conducted to study the relationship of antecedents of UTAUT2 with demographic factors such as age, qualification, marital status, occupation, etc. but majorly focused as a moderator. The present</w:t>
      </w:r>
      <w:r w:rsidR="009B3E1F">
        <w:rPr>
          <w:lang w:val="en-US"/>
        </w:rPr>
        <w:t xml:space="preserve"> study</w:t>
      </w:r>
      <w:r w:rsidRPr="00A47AEA">
        <w:rPr>
          <w:lang w:val="en-US"/>
        </w:rPr>
        <w:t xml:space="preserve"> </w:t>
      </w:r>
      <w:r w:rsidR="00F654AA">
        <w:rPr>
          <w:lang w:val="en-US"/>
        </w:rPr>
        <w:t>shed</w:t>
      </w:r>
      <w:r w:rsidR="00E6224D">
        <w:rPr>
          <w:lang w:val="en-US"/>
        </w:rPr>
        <w:t>s</w:t>
      </w:r>
      <w:r w:rsidR="00F654AA">
        <w:rPr>
          <w:lang w:val="en-US"/>
        </w:rPr>
        <w:t xml:space="preserve"> light on the relationships between each </w:t>
      </w:r>
      <w:r w:rsidR="00F654AA" w:rsidRPr="00A47AEA">
        <w:rPr>
          <w:lang w:val="en-US"/>
        </w:rPr>
        <w:t xml:space="preserve">component of UTAUT2 </w:t>
      </w:r>
      <w:r w:rsidR="00F654AA">
        <w:rPr>
          <w:lang w:val="en-US"/>
        </w:rPr>
        <w:t xml:space="preserve">and the </w:t>
      </w:r>
      <w:r w:rsidRPr="00A47AEA">
        <w:rPr>
          <w:lang w:val="en-US"/>
        </w:rPr>
        <w:t>chosen demographic factor</w:t>
      </w:r>
      <w:r w:rsidR="00F654AA">
        <w:rPr>
          <w:lang w:val="en-US"/>
        </w:rPr>
        <w:t>s</w:t>
      </w:r>
      <w:r w:rsidRPr="00A47AEA">
        <w:rPr>
          <w:lang w:val="en-US"/>
        </w:rPr>
        <w:t xml:space="preserve"> such as gender, employment, living settlement, and financial experience. The </w:t>
      </w:r>
      <w:r w:rsidR="00E6224D">
        <w:rPr>
          <w:lang w:val="en-US"/>
        </w:rPr>
        <w:t>study's objective</w:t>
      </w:r>
      <w:r w:rsidRPr="00A47AEA">
        <w:rPr>
          <w:lang w:val="en-US"/>
        </w:rPr>
        <w:t xml:space="preserve"> is to conclude the severity of selected demographic factors on each construct of UTAUT2 and recommend the policymakers and corporations</w:t>
      </w:r>
      <w:r w:rsidR="00E6224D">
        <w:rPr>
          <w:lang w:val="en-US"/>
        </w:rPr>
        <w:t xml:space="preserve"> to</w:t>
      </w:r>
      <w:r w:rsidRPr="00A47AEA">
        <w:rPr>
          <w:lang w:val="en-US"/>
        </w:rPr>
        <w:t xml:space="preserve"> focus on those factors specifically to improve </w:t>
      </w:r>
      <w:r w:rsidR="00BA78C8">
        <w:rPr>
          <w:lang w:val="en-US"/>
        </w:rPr>
        <w:t>mobile banking acceptance and usage</w:t>
      </w:r>
      <w:r w:rsidRPr="00A47AEA">
        <w:rPr>
          <w:lang w:val="en-US"/>
        </w:rPr>
        <w:t xml:space="preserve"> among the chosen regional states</w:t>
      </w:r>
      <w:r w:rsidRPr="00C32914">
        <w:rPr>
          <w:lang w:val="en-US"/>
        </w:rPr>
        <w:t>.</w:t>
      </w:r>
    </w:p>
    <w:p w14:paraId="479B69CC" w14:textId="77777777" w:rsidR="007E227E" w:rsidRPr="00A04B5D" w:rsidRDefault="007E227E" w:rsidP="00A47AEA">
      <w:pPr>
        <w:rPr>
          <w:color w:val="FF0000"/>
          <w:lang w:val="en-US"/>
        </w:rPr>
      </w:pPr>
      <w:r w:rsidRPr="00A04B5D">
        <w:rPr>
          <w:i/>
          <w:color w:val="FF0000"/>
          <w:lang w:val="en-US"/>
        </w:rPr>
        <w:t>UTAUT2</w:t>
      </w:r>
      <w:r w:rsidRPr="00A04B5D">
        <w:rPr>
          <w:color w:val="FF0000"/>
          <w:lang w:val="en-US"/>
        </w:rPr>
        <w:t xml:space="preserve"> </w:t>
      </w:r>
    </w:p>
    <w:p w14:paraId="388BCA24" w14:textId="56435E2C" w:rsidR="007E227E" w:rsidRPr="00A04B5D" w:rsidRDefault="007E227E" w:rsidP="00A47AEA">
      <w:pPr>
        <w:rPr>
          <w:color w:val="FF0000"/>
          <w:lang w:val="en-US"/>
        </w:rPr>
      </w:pPr>
      <w:r w:rsidRPr="00A04B5D">
        <w:rPr>
          <w:color w:val="FF0000"/>
          <w:lang w:val="en-US"/>
        </w:rPr>
        <w:t xml:space="preserve">The UTAUT model was given by </w:t>
      </w:r>
      <w:r w:rsidR="00AF1E11" w:rsidRPr="00A04B5D">
        <w:rPr>
          <w:color w:val="FF0000"/>
          <w:lang w:val="en-US"/>
        </w:rPr>
        <w:fldChar w:fldCharType="begin" w:fldLock="1"/>
      </w:r>
      <w:r w:rsidR="00B12E5D" w:rsidRPr="00A04B5D">
        <w:rPr>
          <w:color w:val="FF0000"/>
          <w:lang w:val="en-U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View","type":"article-journal","volume":"27"},"uris":["http://www.mendeley.com/documents/?uuid=07f868c3-3adf-4f1e-91bf-d93a91d07210"]}],"mendeley":{"formattedCitation":"(Venkatesh et al., 2003)","plainTextFormattedCitation":"(Venkatesh et al., 2003)","previouslyFormattedCitation":"(Venkatesh et al., 2003)"},"properties":{"noteIndex":0},"schema":"https://github.com/citation-style-language/schema/raw/master/csl-citation.json"}</w:instrText>
      </w:r>
      <w:r w:rsidR="00AF1E11" w:rsidRPr="00A04B5D">
        <w:rPr>
          <w:color w:val="FF0000"/>
          <w:lang w:val="en-US"/>
        </w:rPr>
        <w:fldChar w:fldCharType="separate"/>
      </w:r>
      <w:r w:rsidR="00AF1E11" w:rsidRPr="00A04B5D">
        <w:rPr>
          <w:noProof/>
          <w:color w:val="FF0000"/>
          <w:lang w:val="en-US"/>
        </w:rPr>
        <w:t>(Venkatesh et al., 2003)</w:t>
      </w:r>
      <w:r w:rsidR="00AF1E11" w:rsidRPr="00A04B5D">
        <w:rPr>
          <w:color w:val="FF0000"/>
          <w:lang w:val="en-US"/>
        </w:rPr>
        <w:fldChar w:fldCharType="end"/>
      </w:r>
      <w:r w:rsidR="00AF1E11" w:rsidRPr="00A04B5D">
        <w:rPr>
          <w:color w:val="FF0000"/>
          <w:lang w:val="en-US"/>
        </w:rPr>
        <w:t xml:space="preserve"> </w:t>
      </w:r>
      <w:r w:rsidR="00C060C6" w:rsidRPr="00A04B5D">
        <w:rPr>
          <w:color w:val="FF0000"/>
          <w:lang w:val="en-US"/>
        </w:rPr>
        <w:t>was developed as an interactive holistic model to understand better the consumers' behavior intention towards new technologies or systems acceptance and adoption.</w:t>
      </w:r>
      <w:r w:rsidR="00AF1E11" w:rsidRPr="00A04B5D">
        <w:rPr>
          <w:color w:val="FF0000"/>
          <w:lang w:val="en-US"/>
        </w:rPr>
        <w:t xml:space="preserve"> Further</w:t>
      </w:r>
      <w:r w:rsidR="00E6224D">
        <w:rPr>
          <w:color w:val="FF0000"/>
          <w:lang w:val="en-US"/>
        </w:rPr>
        <w:t>,</w:t>
      </w:r>
      <w:r w:rsidR="00AF1E11" w:rsidRPr="00A04B5D">
        <w:rPr>
          <w:color w:val="FF0000"/>
          <w:lang w:val="en-US"/>
        </w:rPr>
        <w:t xml:space="preserve"> </w:t>
      </w:r>
      <w:r w:rsidR="00AF1E11" w:rsidRPr="00A04B5D">
        <w:rPr>
          <w:noProof/>
          <w:color w:val="FF0000"/>
          <w:lang w:val="en-US"/>
        </w:rPr>
        <w:t xml:space="preserve">Venkatesh et al. </w:t>
      </w:r>
      <w:r w:rsidR="00AF1E11" w:rsidRPr="00A04B5D">
        <w:rPr>
          <w:color w:val="FF0000"/>
          <w:lang w:val="en-US"/>
        </w:rPr>
        <w:fldChar w:fldCharType="begin" w:fldLock="1"/>
      </w:r>
      <w:r w:rsidR="00B12E5D" w:rsidRPr="00A04B5D">
        <w:rPr>
          <w:color w:val="FF0000"/>
          <w:lang w:val="en-US"/>
        </w:rPr>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AF1E11" w:rsidRPr="00A04B5D">
        <w:rPr>
          <w:color w:val="FF0000"/>
          <w:lang w:val="en-US"/>
        </w:rPr>
        <w:fldChar w:fldCharType="separate"/>
      </w:r>
      <w:r w:rsidR="00B12E5D" w:rsidRPr="00A04B5D">
        <w:rPr>
          <w:noProof/>
          <w:color w:val="FF0000"/>
          <w:lang w:val="en-US"/>
        </w:rPr>
        <w:t>(Venkatesh et al., 2012)</w:t>
      </w:r>
      <w:r w:rsidR="00AF1E11" w:rsidRPr="00A04B5D">
        <w:rPr>
          <w:color w:val="FF0000"/>
          <w:lang w:val="en-US"/>
        </w:rPr>
        <w:fldChar w:fldCharType="end"/>
      </w:r>
      <w:r w:rsidR="00AF1E11" w:rsidRPr="00A04B5D">
        <w:rPr>
          <w:color w:val="FF0000"/>
          <w:lang w:val="en-US"/>
        </w:rPr>
        <w:t xml:space="preserve"> UTAUT2, </w:t>
      </w:r>
      <w:r w:rsidR="00305C03" w:rsidRPr="00A04B5D">
        <w:rPr>
          <w:color w:val="FF0000"/>
          <w:lang w:val="en-US"/>
        </w:rPr>
        <w:t xml:space="preserve">which is currently the </w:t>
      </w:r>
      <w:r w:rsidR="00E6224D">
        <w:rPr>
          <w:color w:val="FF0000"/>
          <w:lang w:val="en-US"/>
        </w:rPr>
        <w:t>lat</w:t>
      </w:r>
      <w:r w:rsidR="00305C03" w:rsidRPr="00A04B5D">
        <w:rPr>
          <w:color w:val="FF0000"/>
          <w:lang w:val="en-US"/>
        </w:rPr>
        <w:t>est model, has been increasingly adopted by researchers around the globe to explore the consumers' behavior intention for the adoption of various issues such as self-operative technology, adoption of smartphone devices, acceptance of learning management apps, etc.</w:t>
      </w:r>
      <w:r w:rsidR="00005592" w:rsidRPr="00A04B5D">
        <w:rPr>
          <w:color w:val="FF0000"/>
          <w:lang w:val="en-US"/>
        </w:rPr>
        <w:fldChar w:fldCharType="begin" w:fldLock="1"/>
      </w:r>
      <w:r w:rsidR="00B12E5D" w:rsidRPr="00A04B5D">
        <w:rPr>
          <w:color w:val="FF0000"/>
          <w:lang w:val="en-US"/>
        </w:rPr>
        <w:instrText>ADDIN CSL_CITATION {"citationItems":[{"id":"ITEM-1","itemData":{"DOI":"10.1155/2015/603747","ISSN":"1024-123X","abstract":"The smart mobile devices have emerged during the past decade and have become one of the most dominant consumer electronic products. Therefore, exploring and understanding the factors which can influence the acceptance of novel mobile technology have become the essential task for the vendors and distributors of mobile devices. The Phablets, integrated smart devices combining the functionality and characteristics of both tablet PCs and smart phones, have gradually become possible alternatives for smart phones. Therefore, predicting factors which can influence the acceptance of Phablets have become indispensable for designing, manufacturing, and marketing of such mobile devices. However, such predictions are not easy. Meanwhile, very few researches tried to study related issues. Consequently, the authors aim to explore and predict the intentions to use and use behaviors of Phablets. The second generation of the Unified Theory of Acceptance and Use of Technology (UTAUT2) is introduced as a theoretic basis. The Decision Making Trial and Evaluation Laboratory (DEMATEL) based Network Process (DNP) will be used to construct the analytic framework. In light of the analytic results, the causal relationships being derived by the DEMATEL demonstrate the direct influence of the habit on other dimensions. Also, based on the influence weights being derived, the use intention, hedonic motivation, and performance expectancy are the most important dimensions. The analytic results can serve as a basis for concept developments, marketing strategy definitions, and new product designs of the future Phablets. The proposed analytic framework can also be used for predicting and analyzing consumers’ preferences toward future mobile devices.","author":[{"dropping-particle":"","family":"Huang","given":"Chi-Yo","non-dropping-particle":"","parse-names":false,"suffix":""},{"dropping-particle":"","family":"Kao","given":"Yu-Sheng","non-dropping-particle":"","parse-names":false,"suffix":""}],"container-title":"Mathematical Problems in Engineering","id":"ITEM-1","issue":"5","issued":{"date-parts":[["2015"]]},"page":"1-23","title":"UTAUT2 Based Predictions of Factors Influencing the Technology Acceptance of Phablets by DNP","type":"article-journal","volume":"2015"},"uris":["http://www.mendeley.com/documents/?uuid=4053c468-852c-4e56-bc1f-864cc8e384d3","http://www.mendeley.com/documents/?uuid=8e270436-7b12-41d2-bf77-2a86a1a632d1"]}],"mendeley":{"formattedCitation":"(Huang and Kao, 2015)","plainTextFormattedCitation":"(Huang and Kao, 2015)","previouslyFormattedCitation":"(Huang and Kao, 2015)"},"properties":{"noteIndex":0},"schema":"https://github.com/citation-style-language/schema/raw/master/csl-citation.json"}</w:instrText>
      </w:r>
      <w:r w:rsidR="00005592" w:rsidRPr="00A04B5D">
        <w:rPr>
          <w:color w:val="FF0000"/>
          <w:lang w:val="en-US"/>
        </w:rPr>
        <w:fldChar w:fldCharType="separate"/>
      </w:r>
      <w:r w:rsidR="00005592" w:rsidRPr="00A04B5D">
        <w:rPr>
          <w:noProof/>
          <w:color w:val="FF0000"/>
          <w:lang w:val="en-US"/>
        </w:rPr>
        <w:t>(Huang and Kao, 2015)</w:t>
      </w:r>
      <w:r w:rsidR="00005592" w:rsidRPr="00A04B5D">
        <w:rPr>
          <w:color w:val="FF0000"/>
          <w:lang w:val="en-US"/>
        </w:rPr>
        <w:fldChar w:fldCharType="end"/>
      </w:r>
      <w:r w:rsidR="004954EC" w:rsidRPr="00A04B5D">
        <w:rPr>
          <w:color w:val="FF0000"/>
          <w:lang w:val="en-US"/>
        </w:rPr>
        <w:t>.</w:t>
      </w:r>
      <w:r w:rsidR="00005592" w:rsidRPr="00A04B5D">
        <w:rPr>
          <w:color w:val="FF0000"/>
          <w:lang w:val="en-US"/>
        </w:rPr>
        <w:t xml:space="preserve"> </w:t>
      </w:r>
      <w:r w:rsidR="00305C03" w:rsidRPr="00A04B5D">
        <w:rPr>
          <w:color w:val="FF0000"/>
          <w:lang w:val="en-US"/>
        </w:rPr>
        <w:t>UTAUT2 would efficiently illustrate and evaluate people's technology adoption behaviors for new products in information technology (IT). That is the reason the present study implemented UTAUT2 as an analytical model. Looking at the context of UTAUT2, the first antecedent is performance expectancy, which implies the degree to which the use of new technology or the latest technological product will provide customers the benefits of conducting or using particular activities</w:t>
      </w:r>
      <w:r w:rsidR="0075274F">
        <w:rPr>
          <w:color w:val="FF0000"/>
          <w:lang w:val="en-US"/>
        </w:rPr>
        <w:t xml:space="preserve"> </w:t>
      </w:r>
      <w:r w:rsidR="00174040" w:rsidRPr="00A04B5D">
        <w:rPr>
          <w:color w:val="FF0000"/>
          <w:lang w:val="en-US"/>
        </w:rPr>
        <w:fldChar w:fldCharType="begin" w:fldLock="1"/>
      </w:r>
      <w:r w:rsidR="00B12E5D" w:rsidRPr="00A04B5D">
        <w:rPr>
          <w:color w:val="FF0000"/>
          <w:lang w:val="en-US"/>
        </w:rPr>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174040" w:rsidRPr="00A04B5D">
        <w:rPr>
          <w:color w:val="FF0000"/>
          <w:lang w:val="en-US"/>
        </w:rPr>
        <w:fldChar w:fldCharType="separate"/>
      </w:r>
      <w:r w:rsidR="00174040" w:rsidRPr="00A04B5D">
        <w:rPr>
          <w:noProof/>
          <w:color w:val="FF0000"/>
          <w:lang w:val="en-US"/>
        </w:rPr>
        <w:t>(Venkatesh et al., 2012)</w:t>
      </w:r>
      <w:r w:rsidR="00174040" w:rsidRPr="00A04B5D">
        <w:rPr>
          <w:color w:val="FF0000"/>
          <w:lang w:val="en-US"/>
        </w:rPr>
        <w:fldChar w:fldCharType="end"/>
      </w:r>
      <w:r w:rsidR="00A7776F" w:rsidRPr="00A04B5D">
        <w:rPr>
          <w:color w:val="FF0000"/>
          <w:lang w:val="en-US"/>
        </w:rPr>
        <w:t>.</w:t>
      </w:r>
      <w:r w:rsidR="00174040" w:rsidRPr="00A04B5D">
        <w:rPr>
          <w:color w:val="FF0000"/>
          <w:lang w:val="en-US"/>
        </w:rPr>
        <w:t xml:space="preserve"> </w:t>
      </w:r>
      <w:r w:rsidR="00305C03" w:rsidRPr="00A04B5D">
        <w:rPr>
          <w:color w:val="FF0000"/>
          <w:lang w:val="en-US"/>
        </w:rPr>
        <w:t>The present study considers the performance expectancy a significant antecedent to measure consumer behavioral intention using mobile banking, similar to the other studies</w:t>
      </w:r>
      <w:r w:rsidR="00174040" w:rsidRPr="00A04B5D">
        <w:rPr>
          <w:color w:val="FF0000"/>
          <w:lang w:val="en-US"/>
        </w:rPr>
        <w:t xml:space="preserve"> </w:t>
      </w:r>
      <w:r w:rsidR="00174040" w:rsidRPr="00A04B5D">
        <w:rPr>
          <w:color w:val="FF0000"/>
          <w:lang w:val="en-US"/>
        </w:rPr>
        <w:fldChar w:fldCharType="begin" w:fldLock="1"/>
      </w:r>
      <w:r w:rsidR="00B12E5D" w:rsidRPr="00A04B5D">
        <w:rPr>
          <w:color w:val="FF0000"/>
          <w:lang w:val="en-U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services","type":"article-journal","volume":"27"},"uris":["http://www.mendeley.com/documents/?uuid=0b3f374e-8b77-42e6-bc77-b7919247f6cf"]},{"id":"ITEM-2","itemData":{"DOI":"10.1108/JSIT-01-2020-0005","ISSN":"1328-7265","abstract":"The extended unified theory of acceptance and use of technology (UTAUT2) model has been adapted and applied by scholars to gain insight into mobile banking (m-banking) usage. By combining three perspectives, UTAUT2, gamification (GM) and generational cohort theory, this study aims to investigate the factors which impact m-banking usage and examine the moderating effect of generations Y and Z on the relationship between GM and intention to use m-banking.,The adopted model was tested in a quantitative study by using partial least square structural equation modelling. A total of 380 valid questionnaires from a transition country, Albania, have been examined.,In the study, scientific evidence concerning the UTAUT2 model and GM elements are provided. Thus, facilitation conditions, habit and hedonic motivation were found to be significant determinants of GM. Moreover, the results revealed that age moderates the relationship between GM and behavioural intention (BI). Compared to generation Z, individuals born prior to 1996 (generation Y), exhibited a much stronger relationship.,Although Albania bears similarities with other transition countries in terms of regional, economic and political environments, the generalisation of these results to another context is rather limited.,This paper offers a model integrating UTAUT2, GM and generational cohorts in the context of a transition country. The findings can be applied in the form of guidelines for a number of financial institutions.,Besides identifying the determinants of m-banking adoption and GM, this study notably reveals the importance of generational cohorts because it governs the effect of GM on m-banking BI.","author":[{"dropping-particle":"","family":"Çera","given":"Gentjan","non-dropping-particle":"","parse-names":false,"suffix":""},{"dropping-particle":"","family":"Pagria","given":"Ina","non-dropping-particle":"","parse-names":false,"suffix":""},{"dropping-particle":"","family":"Khan","given":"Khurram Ajaz","non-dropping-particle":"","parse-names":false,"suffix":""},{"dropping-particle":"","family":"Muaremi","given":"Lindita","non-dropping-particle":"","parse-names":false,"suffix":""}],"container-title":"Journal of Systems and Information Technology","id":"ITEM-2","issue":"3","issued":{"date-parts":[["2020","11","26"]]},"page":"243-263","publisher":"Emerald Publishing Limited","title":"Mobile banking usage and gamification: the moderating effect of generational cohorts","type":"article-journal","volume":"12"},"uris":["http://www.mendeley.com/documents/?uuid=fa6a777d-be24-3ef0-9211-416bd89e53f0"]}],"mendeley":{"formattedCitation":"(Baptista and Oliveira, 2017; Çera et al., 2020)","plainTextFormattedCitation":"(Baptista and Oliveira, 2017; Çera et al., 2020)","previouslyFormattedCitation":"(Baptista and Oliveira, 2017; Çera et al., 2020)"},"properties":{"noteIndex":0},"schema":"https://github.com/citation-style-language/schema/raw/master/csl-citation.json"}</w:instrText>
      </w:r>
      <w:r w:rsidR="00174040" w:rsidRPr="00A04B5D">
        <w:rPr>
          <w:color w:val="FF0000"/>
          <w:lang w:val="en-US"/>
        </w:rPr>
        <w:fldChar w:fldCharType="separate"/>
      </w:r>
      <w:r w:rsidR="00174040" w:rsidRPr="00A04B5D">
        <w:rPr>
          <w:noProof/>
          <w:color w:val="FF0000"/>
          <w:lang w:val="en-US"/>
        </w:rPr>
        <w:t>(Baptista and Oliveira, 2017; Çera et al., 2020)</w:t>
      </w:r>
      <w:r w:rsidR="00174040" w:rsidRPr="00A04B5D">
        <w:rPr>
          <w:color w:val="FF0000"/>
          <w:lang w:val="en-US"/>
        </w:rPr>
        <w:fldChar w:fldCharType="end"/>
      </w:r>
      <w:r w:rsidR="00566FA7" w:rsidRPr="00A04B5D">
        <w:rPr>
          <w:color w:val="FF0000"/>
          <w:lang w:val="en-US"/>
        </w:rPr>
        <w:t xml:space="preserve">. </w:t>
      </w:r>
      <w:r w:rsidR="00305C03" w:rsidRPr="00A04B5D">
        <w:rPr>
          <w:color w:val="FF0000"/>
          <w:lang w:val="en-US"/>
        </w:rPr>
        <w:t xml:space="preserve">The second one is effort expectancy, which relates to </w:t>
      </w:r>
      <w:r w:rsidR="00E6224D">
        <w:rPr>
          <w:color w:val="FF0000"/>
          <w:lang w:val="en-US"/>
        </w:rPr>
        <w:t>users' level of convenience</w:t>
      </w:r>
      <w:r w:rsidR="00305C03" w:rsidRPr="00A04B5D">
        <w:rPr>
          <w:color w:val="FF0000"/>
          <w:lang w:val="en-US"/>
        </w:rPr>
        <w:t xml:space="preserve"> connected through a new technology service or product of a technology </w:t>
      </w:r>
      <w:r w:rsidR="00967BFA" w:rsidRPr="00A04B5D">
        <w:rPr>
          <w:color w:val="FF0000"/>
          <w:lang w:val="en-US"/>
        </w:rPr>
        <w:fldChar w:fldCharType="begin" w:fldLock="1"/>
      </w:r>
      <w:r w:rsidR="00B12E5D" w:rsidRPr="00A04B5D">
        <w:rPr>
          <w:color w:val="FF0000"/>
          <w:lang w:val="en-US"/>
        </w:rPr>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00967BFA" w:rsidRPr="00A04B5D">
        <w:rPr>
          <w:color w:val="FF0000"/>
          <w:lang w:val="en-US"/>
        </w:rPr>
        <w:fldChar w:fldCharType="separate"/>
      </w:r>
      <w:r w:rsidR="00967BFA" w:rsidRPr="00A04B5D">
        <w:rPr>
          <w:noProof/>
          <w:color w:val="FF0000"/>
          <w:lang w:val="en-US"/>
        </w:rPr>
        <w:t>(Venkatesh et al., 2012)</w:t>
      </w:r>
      <w:r w:rsidR="00967BFA" w:rsidRPr="00A04B5D">
        <w:rPr>
          <w:color w:val="FF0000"/>
          <w:lang w:val="en-US"/>
        </w:rPr>
        <w:fldChar w:fldCharType="end"/>
      </w:r>
      <w:r w:rsidR="00967BFA" w:rsidRPr="00A04B5D">
        <w:rPr>
          <w:color w:val="FF0000"/>
          <w:lang w:val="en-US"/>
        </w:rPr>
        <w:t>.</w:t>
      </w:r>
      <w:r w:rsidR="00B95EBD" w:rsidRPr="00A04B5D">
        <w:rPr>
          <w:color w:val="FF0000"/>
          <w:lang w:val="en-US"/>
        </w:rPr>
        <w:t xml:space="preserve"> </w:t>
      </w:r>
      <w:r w:rsidR="00305C03" w:rsidRPr="00A04B5D">
        <w:rPr>
          <w:color w:val="FF0000"/>
          <w:lang w:val="en-US"/>
        </w:rPr>
        <w:t>To determine the consumers' behavioral intention, the performance and effort expectancies are among the most significant predictors of technology use and adoption</w:t>
      </w:r>
      <w:r w:rsidR="00967BFA" w:rsidRPr="00A04B5D">
        <w:rPr>
          <w:color w:val="FF0000"/>
          <w:lang w:val="en-US"/>
        </w:rPr>
        <w:t xml:space="preserve"> </w:t>
      </w:r>
      <w:r w:rsidR="00967BFA" w:rsidRPr="00A04B5D">
        <w:rPr>
          <w:color w:val="FF0000"/>
          <w:lang w:val="en-US"/>
        </w:rPr>
        <w:fldChar w:fldCharType="begin" w:fldLock="1"/>
      </w:r>
      <w:r w:rsidR="00B12E5D" w:rsidRPr="00A04B5D">
        <w:rPr>
          <w:color w:val="FF0000"/>
          <w:lang w:val="en-US"/>
        </w:rPr>
        <w:instrText>ADDIN CSL_CITATION {"citationItems":[{"id":"ITEM-1","itemData":{"DOI":"10.1016/j.ijinfomgt.2018.09.002","ISSN":"02684012","abstract":"Mobile banking is one of the most promising technologies that has emerged in recent years and could prove to have considerable value to both banks and customers. Thus, this study recognises the need to test the main factors that could predict the use of mobile banking as well as how using such a system could contribute to both customer satisfaction and customer loyalty. The conceptual model of this study combines two models (i.e. UTAUT2 and the D&amp; M IS Success Model). A questionnaire survey was conducted to collect the required data from convenience sampling of Saudi bank customers. The main factors - performance expectancy, price value, facilitating conditions, hedonic motivation, habit, system quality and service quality - were found to have a significant impact on actual use behaviour. This study was cross-sectional, therefore future studies should implement longitudinal studies in order to re-collect the findings. Further, this study adopted convenience sampling of Saudi M- Banking users. This may adversely impact the issue of generalisability to the whole population. The gap in the M-Banking literature in Saudi Arabia would be bridged by proposing a comprehensive conceptual model that scrupulously clarifies the use of M-Banking from the perspective of Saudi users. Furthermore, this study would consider the adoption of numeric data in order to inferentially analyse them using SEM. This in turn would assist in generalising the findings to the whole Saudi population.","author":[{"dropping-particle":"","family":"Baabdullah","given":"Abdullah M.","non-dropping-particle":"","parse-names":false,"suffix":""},{"dropping-particle":"","family":"Alalwan","given":"Ali Abdallah","non-dropping-particle":"","parse-names":false,"suffix":""},{"dropping-particle":"","family":"Rana","given":"Nripendra P.","non-dropping-particle":"","parse-names":false,"suffix":""},{"dropping-particle":"","family":"Kizgin","given":"Hatice","non-dropping-particle":"","parse-names":false,"suffix":""},{"dropping-particle":"","family":"Patil","given":"Pushp","non-dropping-particle":"","parse-names":false,"suffix":""}],"container-title":"International Journal of Information Management","id":"ITEM-1","issued":{"date-parts":[["2019","2"]]},"page":"38-52","title":"Consumer use of mobile banking (M-Banking) in Saudi Arabia: Towards an integrated model","type":"article-journal","volume":"44"},"uris":["http://www.mendeley.com/documents/?uuid=e9421b6a-5730-4b8d-8859-10c70d6f45b2"]},{"id":"ITEM-2","itemData":{"DOI":"10.1108/JSIT-01-2020-0005","ISSN":"1328-7265","abstract":"The extended unified theory of acceptance and use of technology (UTAUT2) model has been adapted and applied by scholars to gain insight into mobile banking (m-banking) usage. By combining three perspectives, UTAUT2, gamification (GM) and generational cohort theory, this study aims to investigate the factors which impact m-banking usage and examine the moderating effect of generations Y and Z on the relationship between GM and intention to use m-banking.,The adopted model was tested in a quantitative study by using partial least square structural equation modelling. A total of 380 valid questionnaires from a transition country, Albania, have been examined.,In the study, scientific evidence concerning the UTAUT2 model and GM elements are provided. Thus, facilitation conditions, habit and hedonic motivation were found to be significant determinants of GM. Moreover, the results revealed that age moderates the relationship between GM and behavioural intention (BI). Compared to generation Z, individuals born prior to 1996 (generation Y), exhibited a much stronger relationship.,Although Albania bears similarities with other transition countries in terms of regional, economic and political environments, the generalisation of these results to another context is rather limited.,This paper offers a model integrating UTAUT2, GM and generational cohorts in the context of a transition country. The findings can be applied in the form of guidelines for a number of financial institutions.,Besides identifying the determinants of m-banking adoption and GM, this study notably reveals the importance of generational cohorts because it governs the effect of GM on m-banking BI.","author":[{"dropping-particle":"","family":"Çera","given":"Gentjan","non-dropping-particle":"","parse-names":false,"suffix":""},{"dropping-particle":"","family":"Pagria","given":"Ina","non-dropping-particle":"","parse-names":false,"suffix":""},{"dropping-particle":"","family":"Khan","given":"Khurram Ajaz","non-dropping-particle":"","parse-names":false,"suffix":""},{"dropping-particle":"","family":"Muaremi","given":"Lindita","non-dropping-particle":"","parse-names":false,"suffix":""}],"container-title":"Journal of Systems and Information Technology","id":"ITEM-2","issue":"3","issued":{"date-parts":[["2020","11","26"]]},"page":"243-263","publisher":"Emerald Publishing Limited","title":"Mobile banking usage and gamification: the moderating effect of generational cohorts","type":"article-journal","volume":"12"},"uris":["http://www.mendeley.com/documents/?uuid=fa6a777d-be24-3ef0-9211-416bd89e53f0"]},{"id":"ITEM-3","itemData":{"DOI":"10.1108/IntR-10-2015-0295","ISSN":"1066-2243","abstract":"Purpose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Research","id":"ITEM-3","issue":"1","issued":{"date-parts":[["2017","2"]]},"page":"118-139","publisher":"Emerald Publishing Limited","title":"Why so serious? Gamification impact in the acceptance of mobile banking services","type":"article-journal","volume":"27"},"uris":["http://www.mendeley.com/documents/?uuid=0b3f374e-8b77-42e6-bc77-b7919247f6cf"]}],"mendeley":{"formattedCitation":"(Baabdullah et al., 2019; Baptista and Oliveira, 2017; Çera et al., 2020)","plainTextFormattedCitation":"(Baabdullah et al., 2019; Baptista and Oliveira, 2017; Çera et al., 2020)","previouslyFormattedCitation":"(Baabdullah et al., 2019; Baptista and Oliveira, 2017; Çera et al., 2020)"},"properties":{"noteIndex":0},"schema":"https://github.com/citation-style-language/schema/raw/master/csl-citation.json"}</w:instrText>
      </w:r>
      <w:r w:rsidR="00967BFA" w:rsidRPr="00A04B5D">
        <w:rPr>
          <w:color w:val="FF0000"/>
          <w:lang w:val="en-US"/>
        </w:rPr>
        <w:fldChar w:fldCharType="separate"/>
      </w:r>
      <w:r w:rsidR="00B12E5D" w:rsidRPr="00A04B5D">
        <w:rPr>
          <w:noProof/>
          <w:color w:val="FF0000"/>
          <w:lang w:val="en-US"/>
        </w:rPr>
        <w:t>(Baabdullah et al., 2019; Baptista and Oliveira, 2017; Çera et al., 2020)</w:t>
      </w:r>
      <w:r w:rsidR="00967BFA" w:rsidRPr="00A04B5D">
        <w:rPr>
          <w:color w:val="FF0000"/>
          <w:lang w:val="en-US"/>
        </w:rPr>
        <w:fldChar w:fldCharType="end"/>
      </w:r>
      <w:r w:rsidR="00B95EBD" w:rsidRPr="00A04B5D">
        <w:rPr>
          <w:color w:val="FF0000"/>
          <w:lang w:val="en-US"/>
        </w:rPr>
        <w:t>.</w:t>
      </w:r>
      <w:r w:rsidR="007955AD" w:rsidRPr="00A04B5D">
        <w:rPr>
          <w:color w:val="FF0000"/>
          <w:lang w:val="en-US"/>
        </w:rPr>
        <w:t xml:space="preserve"> </w:t>
      </w:r>
      <w:r w:rsidR="00305C03" w:rsidRPr="00A04B5D">
        <w:rPr>
          <w:color w:val="FF0000"/>
          <w:lang w:val="en-US"/>
        </w:rPr>
        <w:t xml:space="preserve">Another antecedent of UTUAT2 is the social influence; it means others acknowledge the extent of the significance of using new technology. The other three antecedents considered in the present framework are facilitating conditions, habits, and hedonic motivation. Facilitating conditions refers to the individuals' belief about the availability of organizational and technology infrastructure support in technology usage </w:t>
      </w:r>
      <w:r w:rsidR="005860D3" w:rsidRPr="00A04B5D">
        <w:rPr>
          <w:color w:val="FF0000"/>
          <w:lang w:val="en-US"/>
        </w:rPr>
        <w:fldChar w:fldCharType="begin" w:fldLock="1"/>
      </w:r>
      <w:r w:rsidR="00B12E5D" w:rsidRPr="00A04B5D">
        <w:rPr>
          <w:color w:val="FF0000"/>
          <w:lang w:val="en-U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005860D3" w:rsidRPr="00A04B5D">
        <w:rPr>
          <w:color w:val="FF0000"/>
          <w:lang w:val="en-US"/>
        </w:rPr>
        <w:fldChar w:fldCharType="separate"/>
      </w:r>
      <w:r w:rsidR="005860D3" w:rsidRPr="00A04B5D">
        <w:rPr>
          <w:noProof/>
          <w:color w:val="FF0000"/>
          <w:lang w:val="en-US"/>
        </w:rPr>
        <w:t>(Venkatesh et al., 2003, 2012)</w:t>
      </w:r>
      <w:r w:rsidR="005860D3" w:rsidRPr="00A04B5D">
        <w:rPr>
          <w:color w:val="FF0000"/>
          <w:lang w:val="en-US"/>
        </w:rPr>
        <w:fldChar w:fldCharType="end"/>
      </w:r>
      <w:r w:rsidR="004E11A2" w:rsidRPr="00A04B5D">
        <w:rPr>
          <w:color w:val="FF0000"/>
          <w:lang w:val="en-US"/>
        </w:rPr>
        <w:t xml:space="preserve">. </w:t>
      </w:r>
      <w:r w:rsidR="00305C03" w:rsidRPr="00A04B5D">
        <w:rPr>
          <w:color w:val="FF0000"/>
          <w:lang w:val="en-US"/>
        </w:rPr>
        <w:t>Habit, which is about individuals' automatic behavior of using technology, concerns the extent to which consumers use technologies. The last is the hedonic motivation. It is about the fun or enjoyment consumers derived from using technology</w:t>
      </w:r>
      <w:r w:rsidR="00BA78C8">
        <w:rPr>
          <w:color w:val="FF0000"/>
          <w:lang w:val="en-US"/>
        </w:rPr>
        <w:t>. I</w:t>
      </w:r>
      <w:r w:rsidR="00305C03" w:rsidRPr="00A04B5D">
        <w:rPr>
          <w:color w:val="FF0000"/>
          <w:lang w:val="en-US"/>
        </w:rPr>
        <w:t>t reflects that hedonic motivation plays a vital role in determining acceptance and us</w:t>
      </w:r>
      <w:r w:rsidR="00BA78C8">
        <w:rPr>
          <w:color w:val="FF0000"/>
          <w:lang w:val="en-US"/>
        </w:rPr>
        <w:t>ing</w:t>
      </w:r>
      <w:r w:rsidR="00305C03" w:rsidRPr="00A04B5D">
        <w:rPr>
          <w:color w:val="FF0000"/>
          <w:lang w:val="en-US"/>
        </w:rPr>
        <w:t xml:space="preserve"> a particular technology </w:t>
      </w:r>
      <w:r w:rsidR="005860D3" w:rsidRPr="00A04B5D">
        <w:rPr>
          <w:color w:val="FF0000"/>
          <w:lang w:val="en-US"/>
        </w:rPr>
        <w:fldChar w:fldCharType="begin" w:fldLock="1"/>
      </w:r>
      <w:r w:rsidR="00B12E5D" w:rsidRPr="00A04B5D">
        <w:rPr>
          <w:color w:val="FF0000"/>
          <w:lang w:val="en-US"/>
        </w:rPr>
        <w:instrText>ADDIN CSL_CITATION {"citationItems":[{"id":"ITEM-1","itemData":{"DOI":"10.1016/j.ijhcs.2010.03.004","ISSN":"10959300","abstract":"The present research extends prior work on the relationship between users and technology by examining users' intention to explore a technology. Drawing on exploration and individual motivation theories, we developed and tested a model examining the effects of hedonic (i.e., personal innovativeness and cognitive absorption) and instrumental (i.e., performance expectancy and image enhancement) factors on individuals' intentions to explore a technology over time. Based on a study of 94 users exposed to a new technology, with measurements taken at two points in time, we found that both instrumental and hedonic factors affect individuals' intentions to explore, but their effects change over time such that as time goes by, the effect of personal innovativeness decreases and performance expectancy increases. In addition to our contributions and implications for research on technology acceptance, we present practical implications both for developers and managers, with a view toward helping the development and deployment of technologies that satisfy the evolution of users' needs over time. © 2010 Published by Elsevier Ltd.","author":[{"dropping-particle":"","family":"Magni","given":"Massimo","non-dropping-particle":"","parse-names":false,"suffix":""},{"dropping-particle":"","family":"Taylor","given":"M. Susan","non-dropping-particle":"","parse-names":false,"suffix":""},{"dropping-particle":"","family":"Venkatesh","given":"Viswanath","non-dropping-particle":"","parse-names":false,"suffix":""}],"container-title":"International Journal of Human Computer Studies","id":"ITEM-1","issue":"9","issued":{"date-parts":[["2010"]]},"page":"572-588","publisher":"Elsevier","title":"'To play or not to play': A cross-temporal investigation using hedonic and instrumental perspectives to explain user intentions to explore a technology","type":"article-journal","volume":"68"},"uris":["http://www.mendeley.com/documents/?uuid=4b6b80b7-7fe6-4826-b7fa-1e1c49ae9e2e","http://www.mendeley.com/documents/?uuid=7df07b48-c301-482d-8c6d-d313c3ba238c"]},{"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Technology","type":"article-journal","volume":"36"},"uris":["http://www.mendeley.com/documents/?uuid=47aaf082-83a2-46f0-b062-9c6987a306c3"]}],"mendeley":{"formattedCitation":"(Magni et al., 2010; Venkatesh et al., 2012)","plainTextFormattedCitation":"(Magni et al., 2010; Venkatesh et al., 2012)","previouslyFormattedCitation":"(Magni et al., 2010; Venkatesh et al., 2012)"},"properties":{"noteIndex":0},"schema":"https://github.com/citation-style-language/schema/raw/master/csl-citation.json"}</w:instrText>
      </w:r>
      <w:r w:rsidR="005860D3" w:rsidRPr="00A04B5D">
        <w:rPr>
          <w:color w:val="FF0000"/>
          <w:lang w:val="en-US"/>
        </w:rPr>
        <w:fldChar w:fldCharType="separate"/>
      </w:r>
      <w:r w:rsidR="008C2734" w:rsidRPr="00A04B5D">
        <w:rPr>
          <w:noProof/>
          <w:color w:val="FF0000"/>
          <w:lang w:val="en-US"/>
        </w:rPr>
        <w:t>(Magni et al., 2010; Venkatesh et al., 2012)</w:t>
      </w:r>
      <w:r w:rsidR="005860D3" w:rsidRPr="00A04B5D">
        <w:rPr>
          <w:color w:val="FF0000"/>
          <w:lang w:val="en-US"/>
        </w:rPr>
        <w:fldChar w:fldCharType="end"/>
      </w:r>
      <w:r w:rsidR="0077001C" w:rsidRPr="00A04B5D">
        <w:rPr>
          <w:color w:val="FF0000"/>
          <w:lang w:val="en-US"/>
        </w:rPr>
        <w:t xml:space="preserve">. </w:t>
      </w:r>
      <w:r w:rsidR="009B3E1F" w:rsidRPr="00A04B5D">
        <w:rPr>
          <w:color w:val="FF0000"/>
          <w:lang w:val="en-US"/>
        </w:rPr>
        <w:t>Considering</w:t>
      </w:r>
      <w:r w:rsidR="00305C03" w:rsidRPr="00A04B5D">
        <w:rPr>
          <w:color w:val="FF0000"/>
          <w:lang w:val="en-US"/>
        </w:rPr>
        <w:t xml:space="preserve"> the objective </w:t>
      </w:r>
      <w:r w:rsidR="009B3E1F" w:rsidRPr="00A04B5D">
        <w:rPr>
          <w:color w:val="FF0000"/>
          <w:lang w:val="en-US"/>
        </w:rPr>
        <w:t>of the</w:t>
      </w:r>
      <w:r w:rsidR="00305C03" w:rsidRPr="00A04B5D">
        <w:rPr>
          <w:color w:val="FF0000"/>
          <w:lang w:val="en-US"/>
        </w:rPr>
        <w:t xml:space="preserve"> present study, the antecedents of UTAUT2 are useful to determine the consumers' behavioral intention of mobile banking usage like several studies did in the past around the globe</w:t>
      </w:r>
      <w:r w:rsidR="0075274F">
        <w:rPr>
          <w:color w:val="FF0000"/>
          <w:lang w:val="en-US"/>
        </w:rPr>
        <w:t xml:space="preserve"> </w:t>
      </w:r>
      <w:r w:rsidR="0077001C" w:rsidRPr="00A04B5D">
        <w:rPr>
          <w:color w:val="FF0000"/>
          <w:lang w:val="en-US"/>
        </w:rPr>
        <w:fldChar w:fldCharType="begin" w:fldLock="1"/>
      </w:r>
      <w:r w:rsidR="00B12E5D" w:rsidRPr="00A04B5D">
        <w:rPr>
          <w:color w:val="FF0000"/>
          <w:lang w:val="en-US"/>
        </w:rPr>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services","type":"article-journal","volume":"27"},"uris":["http://www.mendeley.com/documents/?uuid=0b3f374e-8b77-42e6-bc77-b7919247f6cf"]},{"id":"ITEM-2","itemData":{"DOI":"10.1108/JSIT-01-2020-0005","ISSN":"1328-7265","abstract":"The extended unified theory of acceptance and use of technology (UTAUT2) model has been adapted and applied by scholars to gain insight into mobile banking (m-banking) usage. By combining three perspectives, UTAUT2, gamification (GM) and generational cohort theory, this study aims to investigate the factors which impact m-banking usage and examine the moderating effect of generations Y and Z on the relationship between GM and intention to use m-banking.,The adopted model was tested in a quantitative study by using partial least square structural equation modelling. A total of 380 valid questionnaires from a transition country, Albania, have been examined.,In the study, scientific evidence concerning the UTAUT2 model and GM elements are provided. Thus, facilitation conditions, habit and hedonic motivation were found to be significant determinants of GM. Moreover, the results revealed that age moderates the relationship between GM and behavioural intention (BI). Compared to generation Z, individuals born prior to 1996 (generation Y), exhibited a much stronger relationship.,Although Albania bears similarities with other transition countries in terms of regional, economic and political environments, the generalisation of these results to another context is rather limited.,This paper offers a model integrating UTAUT2, GM and generational cohorts in the context of a transition country. The findings can be applied in the form of guidelines for a number of financial institutions.,Besides identifying the determinants of m-banking adoption and GM, this study notably reveals the importance of generational cohorts because it governs the effect of GM on m-banking BI.","author":[{"dropping-particle":"","family":"Çera","given":"Gentjan","non-dropping-particle":"","parse-names":false,"suffix":""},{"dropping-particle":"","family":"Pagria","given":"Ina","non-dropping-particle":"","parse-names":false,"suffix":""},{"dropping-particle":"","family":"Khan","given":"Khurram Ajaz","non-dropping-particle":"","parse-names":false,"suffix":""},{"dropping-particle":"","family":"Muaremi","given":"Lindita","non-dropping-particle":"","parse-names":false,"suffix":""}],"container-title":"Journal of Systems and Information Technology","id":"ITEM-2","issue":"3","issued":{"date-parts":[["2020","11","26"]]},"page":"243-263","publisher":"Emerald Publishing Limited","title":"Mobile banking usage and gamification: the moderating effect of generational cohorts","type":"article-journal","volume":"12"},"uris":["http://www.mendeley.com/documents/?uuid=fa6a777d-be24-3ef0-9211-416bd89e53f0"]},{"id":"ITEM-3","itemData":{"DOI":"10.1016/j.ijinfomgt.2018.09.002","ISSN":"02684012","abstract":"Mobile banking is one of the most promising technologies that has emerged in recent years and could prove to have considerable value to both banks and customers. Thus, this study recognises the need to test the main factors that could predict the use of mobile banking as well as how using such a system could contribute to both customer satisfaction and customer loyalty. The conceptual model of this study combines two models (i.e. UTAUT2 and the D&amp; M IS Success Model). A questionnaire survey was conducted to collect the required data from convenience sampling of Saudi bank customers. The main factors - performance expectancy, price value, facilitating conditions, hedonic motivation, habit, system quality and service quality - were found to have a significant impact on actual use behaviour. This study was cross-sectional, therefore future studies should implement longitudinal studies in order to re-collect the findings. Further, this study adopted convenience sampling of Saudi M- Banking users. This may adversely impact the issue of generalisability to the whole population. The gap in the M-Banking literature in Saudi Arabia would be bridged by proposing a comprehensive conceptual model that scrupulously clarifies the use of M-Banking from the perspective of Saudi users. Furthermore, this study would consider the adoption of numeric data in order to inferentially analyse them using SEM. This in turn would assist in generalising the findings to the whole Saudi population.","author":[{"dropping-particle":"","family":"Baabdullah","given":"Abdullah M.","non-dropping-particle":"","parse-names":false,"suffix":""},{"dropping-particle":"","family":"Alalwan","given":"Ali Abdallah","non-dropping-particle":"","parse-names":false,"suffix":""},{"dropping-particle":"","family":"Rana","given":"Nripendra P.","non-dropping-particle":"","parse-names":false,"suffix":""},{"dropping-particle":"","family":"Kizgin","given":"Hatice","non-dropping-particle":"","parse-names":false,"suffix":""},{"dropping-particle":"","family":"Patil","given":"Pushp","non-dropping-particle":"","parse-names":false,"suffix":""}],"container-title":"International Journal of Information Management","id":"ITEM-3","issued":{"date-parts":[["2019","2"]]},"page":"38-52","title":"Consumer use of mobile banking (M-Banking) in Saudi Arabia: Towards an integrated model","type":"article-journal","volume":"44"},"uris":["http://www.mendeley.com/documents/?uuid=e9421b6a-5730-4b8d-8859-10c70d6f45b2"]},{"id":"ITEM-4","itemData":{"DOI":"10.1155/2015/603747","ISSN":"1024-123X","abstract":"The smart mobile devices have emerged during the past decade and have become one of the most dominant consumer electronic products. Therefore, exploring and understanding the factors which can influence the acceptance of novel mobile technology have become the essential task for the vendors and distributors of mobile devices. The Phablets, integrated smart devices combining the functionality and characteristics of both tablet PCs and smart phones, have gradually become possible alternatives for smart phones. Therefore, predicting factors which can influence the acceptance of Phablets have become indispensable for designing, manufacturing, and marketing of such mobile devices. However, such predictions are not easy. Meanwhile, very few researches tried to study related issues. Consequently, the authors aim to explore and predict the intentions to use and use behaviors of Phablets. The second generation of the Unified Theory of Acceptance and Use of Technology (UTAUT2) is introduced as a theoretic basis. The Decision Making Trial and Evaluation Laboratory (DEMATEL) based Network Process (DNP) will be used to construct the analytic framework. In light of the analytic results, the causal relationships being derived by the DEMATEL demonstrate the direct influence of the habit on other dimensions. Also, based on the influence weights being derived, the use intention, hedonic motivation, and performance expectancy are the most important dimensions. The analytic results can serve as a basis for concept developments, marketing strategy definitions, and new product designs of the future Phablets. The proposed analytic framework can also be used for predicting and analyzing consumers’ preferences toward future mobile devices.","author":[{"dropping-particle":"","family":"Huang","given":"Chi-Yo","non-dropping-particle":"","parse-names":false,"suffix":""},{"dropping-particle":"","family":"Kao","given":"Yu-Sheng","non-dropping-particle":"","parse-names":false,"suffix":""}],"container-title":"Mathematical Problems in Engineering","id":"ITEM-4","issue":"5","issued":{"date-parts":[["2015"]]},"page":"1-23","title":"UTAUT2 Based Predictions of Factors Influencing the Technology Acceptance of Phablets by DNP","type":"article-journal","volume":"2015"},"uris":["http://www.mendeley.com/documents/?uuid=8e270436-7b12-41d2-bf77-2a86a1a632d1","http://www.mendeley.com/documents/?uuid=4053c468-852c-4e56-bc1f-864cc8e384d3","http://www.mendeley.com/documents/?uuid=5ed96e0c-53eb-433d-a5a0-cd7dfcdd71a7"]}],"mendeley":{"formattedCitation":"(Baabdullah et al., 2019; Baptista and Oliveira, 2017; Çera et al., 2020; Huang and Kao, 2015)","plainTextFormattedCitation":"(Baabdullah et al., 2019; Baptista and Oliveira, 2017; Çera et al., 2020; Huang and Kao, 2015)","previouslyFormattedCitation":"(Baabdullah et al., 2019; Baptista and Oliveira, 2017; Çera et al., 2020; Huang and Kao, 2015)"},"properties":{"noteIndex":0},"schema":"https://github.com/citation-style-language/schema/raw/master/csl-citation.json"}</w:instrText>
      </w:r>
      <w:r w:rsidR="0077001C" w:rsidRPr="00A04B5D">
        <w:rPr>
          <w:color w:val="FF0000"/>
          <w:lang w:val="en-US"/>
        </w:rPr>
        <w:fldChar w:fldCharType="separate"/>
      </w:r>
      <w:r w:rsidR="00B12E5D" w:rsidRPr="00A04B5D">
        <w:rPr>
          <w:noProof/>
          <w:color w:val="FF0000"/>
          <w:lang w:val="en-US"/>
        </w:rPr>
        <w:t>(Baabdullah et al., 2019; Baptista and Oliveira, 2017; Çera et al., 2020; Huang and Kao, 2015)</w:t>
      </w:r>
      <w:r w:rsidR="0077001C" w:rsidRPr="00A04B5D">
        <w:rPr>
          <w:color w:val="FF0000"/>
          <w:lang w:val="en-US"/>
        </w:rPr>
        <w:fldChar w:fldCharType="end"/>
      </w:r>
      <w:r w:rsidR="00971C94" w:rsidRPr="00A04B5D">
        <w:rPr>
          <w:color w:val="FF0000"/>
          <w:lang w:val="en-US"/>
        </w:rPr>
        <w:t>. Hence the UTAUT2 model has been adopted considering the relevance of the present study.</w:t>
      </w:r>
    </w:p>
    <w:p w14:paraId="65D68D22" w14:textId="77777777" w:rsidR="0003321D" w:rsidRPr="0003321D" w:rsidRDefault="00877201" w:rsidP="0075274F">
      <w:pPr>
        <w:keepNext/>
        <w:rPr>
          <w:i/>
          <w:lang w:val="en-US"/>
        </w:rPr>
      </w:pPr>
      <w:r>
        <w:rPr>
          <w:i/>
          <w:lang w:val="en-US"/>
        </w:rPr>
        <w:t xml:space="preserve">Linking gender to </w:t>
      </w:r>
      <w:r w:rsidRPr="00877201">
        <w:rPr>
          <w:i/>
          <w:lang w:val="en-US"/>
        </w:rPr>
        <w:t>UTAUT2</w:t>
      </w:r>
      <w:r>
        <w:rPr>
          <w:i/>
          <w:lang w:val="en-US"/>
        </w:rPr>
        <w:t xml:space="preserve"> constructs</w:t>
      </w:r>
    </w:p>
    <w:p w14:paraId="05EA1B71" w14:textId="7188FA91" w:rsidR="00E6224D" w:rsidRDefault="00A47AEA" w:rsidP="0020439A">
      <w:pPr>
        <w:rPr>
          <w:lang w:val="en-US"/>
        </w:rPr>
      </w:pPr>
      <w:r w:rsidRPr="00A47AEA">
        <w:rPr>
          <w:lang w:val="en-US"/>
        </w:rPr>
        <w:t>The number of studies on gender states that males and females</w:t>
      </w:r>
      <w:r w:rsidR="0020439A">
        <w:rPr>
          <w:lang w:val="en-US"/>
        </w:rPr>
        <w:t>,</w:t>
      </w:r>
      <w:r w:rsidRPr="00A47AEA">
        <w:rPr>
          <w:lang w:val="en-US"/>
        </w:rPr>
        <w:t xml:space="preserve"> to some extent</w:t>
      </w:r>
      <w:r w:rsidR="0020439A">
        <w:rPr>
          <w:lang w:val="en-US"/>
        </w:rPr>
        <w:t>,</w:t>
      </w:r>
      <w:r w:rsidRPr="00A47AEA">
        <w:rPr>
          <w:lang w:val="en-US"/>
        </w:rPr>
        <w:t xml:space="preserve"> have different social roles, and personal characteristics. This difference can be traced through their perceptions, information assessment</w:t>
      </w:r>
      <w:r w:rsidR="0020439A">
        <w:rPr>
          <w:lang w:val="en-US"/>
        </w:rPr>
        <w:t>,</w:t>
      </w:r>
      <w:r w:rsidRPr="00A47AEA">
        <w:rPr>
          <w:lang w:val="en-US"/>
        </w:rPr>
        <w:t xml:space="preserve"> and information technologies use such as computers, the internet, mobile phones, etc. </w:t>
      </w:r>
      <w:r w:rsidRPr="00A47AEA">
        <w:rPr>
          <w:lang w:val="en-US"/>
        </w:rPr>
        <w:fldChar w:fldCharType="begin" w:fldLock="1"/>
      </w:r>
      <w:r w:rsidR="00B16657">
        <w:rPr>
          <w:lang w:val="en-US"/>
        </w:rPr>
        <w:instrText>ADDIN CSL_CITATION {"citationItems":[{"id":"ITEM-1","itemData":{"DOI":"10.1007/s10660-014-9150-7","ISSN":"15729362","abstract":"Understanding how genders differ in their acceptance patterns is a critical factor for successful market segmentation. Using a modified technology acceptance model with 105 participants from Malaysia, this paper examines how gender differences influence the adoption of Islamic mobile banking among Muslims in Malaysia. By means of a structural equation model based on the partial least squares technique, this study reveals two different and interesting models that influence the acceptance of Islamic mobile banking. Male Muslims favour status and values orientations, so their acceptance of Islamic mobile banking was significantly influenced by the perceived self-expressiveness. Female Muslims on the other hand, prefer social and utilitarian orientations, thus their acceptance of Islamic mobile banking was significantly influenced by perceived usefulness and social norms. The results of this survey should be interpreted as speculative and should not be relied upon as an accurate depiction of behavior in the surveyed communities.","author":[{"dropping-particle":"","family":"Goh","given":"Tiong Thye","non-dropping-particle":"","parse-names":false,"suffix":""},{"dropping-particle":"","family":"Sun","given":"Susan","non-dropping-particle":"","parse-names":false,"suffix":""}],"container-title":"Electronic Commerce Research","id":"ITEM-1","issue":"4","issued":{"date-parts":[["2014"]]},"page":"435-458","title":"Exploring gender differences in Islamic mobile banking acceptance","type":"article-journal","volume":"14"},"uris":["http://www.mendeley.com/documents/?uuid=1e966bbe-03e3-4b72-9628-8073285448de","http://www.mendeley.com/documents/?uuid=6adcd4c4-913e-4e7e-a2f2-ae5fd0199602"]}],"mendeley":{"formattedCitation":"(Goh and Sun, 2014)","plainTextFormattedCitation":"(Goh and Sun, 2014)","previouslyFormattedCitation":"(Goh and Sun, 2014)"},"properties":{"noteIndex":0},"schema":"https://github.com/citation-style-language/schema/raw/master/csl-citation.json"}</w:instrText>
      </w:r>
      <w:r w:rsidRPr="00A47AEA">
        <w:rPr>
          <w:lang w:val="en-US"/>
        </w:rPr>
        <w:fldChar w:fldCharType="separate"/>
      </w:r>
      <w:r w:rsidR="00AF2B42" w:rsidRPr="00AF2B42">
        <w:rPr>
          <w:noProof/>
          <w:lang w:val="en-US"/>
        </w:rPr>
        <w:t>(Goh and Sun, 2014)</w:t>
      </w:r>
      <w:r w:rsidRPr="00A47AEA">
        <w:rPr>
          <w:lang w:val="en-US"/>
        </w:rPr>
        <w:fldChar w:fldCharType="end"/>
      </w:r>
      <w:r w:rsidRPr="00A47AEA">
        <w:rPr>
          <w:lang w:val="en-US"/>
        </w:rPr>
        <w:t>. Various studies reveal gender differences in the different related fields also.</w:t>
      </w:r>
      <w:r w:rsidR="0075274F">
        <w:rPr>
          <w:lang w:val="en-US"/>
        </w:rPr>
        <w:t xml:space="preserve"> </w:t>
      </w:r>
      <w:r w:rsidRPr="00A47AEA">
        <w:rPr>
          <w:lang w:val="en-US"/>
        </w:rPr>
        <w:t>According to Zhang et al</w:t>
      </w:r>
      <w:r w:rsidR="004671F2">
        <w:rPr>
          <w:lang w:val="en-US"/>
        </w:rPr>
        <w:t>.</w:t>
      </w:r>
      <w:r w:rsidRPr="00A47AEA">
        <w:rPr>
          <w:lang w:val="en-US"/>
        </w:rPr>
        <w:t xml:space="preserve"> </w:t>
      </w:r>
      <w:r w:rsidRPr="00A47AEA">
        <w:rPr>
          <w:lang w:val="en-US"/>
        </w:rPr>
        <w:fldChar w:fldCharType="begin" w:fldLock="1"/>
      </w:r>
      <w:r w:rsidR="00B12E5D">
        <w:rPr>
          <w:lang w:val="en-US"/>
        </w:rPr>
        <w:instrText>ADDIN CSL_CITATION {"citationItems":[{"id":"ITEM-1","itemData":{"DOI":"10.1108/JHTT-03-2014-0008","ISBN":"0320140008","ISSN":"1757-9880","abstract":"This paper examines whether public sector reforms in a developing country is consistent with the principles of new public management (NPM). It examines whether Indonesian public sector reforms from the late 1990s to 2015, specifically the adoption of accrual accounting, are motivated by NPM philosophy. Reviewing and analysing Government regulations and reports, the study finds that the reforms are an attempt to implement NPM, specifically in relation to five financial management aspects (i.e. market-oriented, budgeting, performance management, financial reporting and auditing systems). However, the reforms are inconsistent with the NPM philosophy of efficiency and effectiveness in public service provisions. By requiring the use of the existing system, the reforms actually created inefficiency. This research is novel in investigating the gap between 'ideal concepts'and examining practices in an emerging country context.","author":[{"dropping-particle":"","family":"Zhang","given":"Lu","non-dropping-particle":"","parse-names":false,"suffix":""},{"dropping-particle":"","family":"Nyheim","given":"Peter","non-dropping-particle":"","parse-names":false,"suffix":""},{"dropping-particle":"","family":"S. Mattila","given":"Anna","non-dropping-particle":"","parse-names":false,"suffix":""}],"container-title":"Journal of Hospitality and Tourism Technology","id":"ITEM-1","issue":"3","issued":{"date-parts":[["2014","10"]]},"page":"299-314","title":"The effect of power and gender on technology acceptance","type":"article-journal","volume":"5"},"suppress-author":1,"uris":["http://www.mendeley.com/documents/?uuid=ee8988e9-b0de-4128-9d24-26cf0165598e","http://www.mendeley.com/documents/?uuid=58d337bf-3cae-4598-bb96-18b233cd2bd5"]}],"mendeley":{"formattedCitation":"(2014)","plainTextFormattedCitation":"(2014)","previouslyFormattedCitation":"(2014)"},"properties":{"noteIndex":0},"schema":"https://github.com/citation-style-language/schema/raw/master/csl-citation.json"}</w:instrText>
      </w:r>
      <w:r w:rsidRPr="00A47AEA">
        <w:rPr>
          <w:lang w:val="en-US"/>
        </w:rPr>
        <w:fldChar w:fldCharType="separate"/>
      </w:r>
      <w:r w:rsidR="007F49C2" w:rsidRPr="007F49C2">
        <w:rPr>
          <w:noProof/>
          <w:lang w:val="en-US"/>
        </w:rPr>
        <w:t>(2014)</w:t>
      </w:r>
      <w:r w:rsidRPr="00A47AEA">
        <w:rPr>
          <w:lang w:val="en-US"/>
        </w:rPr>
        <w:fldChar w:fldCharType="end"/>
      </w:r>
      <w:r w:rsidRPr="00A47AEA">
        <w:rPr>
          <w:lang w:val="en-US"/>
        </w:rPr>
        <w:t xml:space="preserve">, there are significant gender differences </w:t>
      </w:r>
      <w:r w:rsidR="007861F6">
        <w:rPr>
          <w:lang w:val="en-US"/>
        </w:rPr>
        <w:t>in</w:t>
      </w:r>
      <w:r w:rsidRPr="00A47AEA">
        <w:rPr>
          <w:lang w:val="en-US"/>
        </w:rPr>
        <w:t xml:space="preserve"> technology acceptance. A study by Todman </w:t>
      </w:r>
      <w:r w:rsidRPr="00A47AEA">
        <w:rPr>
          <w:lang w:val="en-US"/>
        </w:rPr>
        <w:fldChar w:fldCharType="begin" w:fldLock="1"/>
      </w:r>
      <w:r w:rsidR="007F49C2">
        <w:rPr>
          <w:lang w:val="en-US"/>
        </w:rPr>
        <w:instrText>ADDIN CSL_CITATION {"citationItems":[{"id":"ITEM-1","itemData":{"DOI":"10.1016/S0360-1315(99)00036-6","ISSN":"03601315","abstract":"It has been reported that the proportion of computerphobic adults, including those comprising the population of first-year university students, remained fairly constant over several years preceding 1992, with estimates ranging from 25% to 50%. There has been a rapid increase in availability of computers during the following years and it was predicted that the incidence of computerphobia will have declined since 1992. Self-report computer anxiety (CA) scores obtained for five samples of first-year university students between 1992 and 1998 confirmed a reduction in mean levels of CA and in the proportion of computerphobic students over that period. However, the overall reduction in CA concealed a widening gap between mean CA scores of female and male students (p&lt;0.01). Furthermore, female representation in the group at the high-scoring (computerphobic) end of the CA scale increased from 1992 to 1998 (p&lt;0.001). © 2000 Elsevier Science Ltd.","author":[{"dropping-particle":"","family":"Todman","given":"John","non-dropping-particle":"","parse-names":false,"suffix":""}],"container-title":"Computers and Education","id":"ITEM-1","issue":"1","issued":{"date-parts":[["2000"]]},"page":"27-35","title":"Gender differences in computer anxiety among university entrants since 1992","type":"article-journal","volume":"34"},"suppress-author":1,"uris":["http://www.mendeley.com/documents/?uuid=2743fc99-2b3f-4239-9da3-0d61a9fb4dde","http://www.mendeley.com/documents/?uuid=34ab23be-12f3-420c-986a-8b19e27127c0"]}],"mendeley":{"formattedCitation":"(2000)","plainTextFormattedCitation":"(2000)","previouslyFormattedCitation":"(2000)"},"properties":{"noteIndex":0},"schema":"https://github.com/citation-style-language/schema/raw/master/csl-citation.json"}</w:instrText>
      </w:r>
      <w:r w:rsidRPr="00A47AEA">
        <w:rPr>
          <w:lang w:val="en-US"/>
        </w:rPr>
        <w:fldChar w:fldCharType="separate"/>
      </w:r>
      <w:r w:rsidR="007F49C2" w:rsidRPr="007F49C2">
        <w:rPr>
          <w:noProof/>
          <w:lang w:val="en-US"/>
        </w:rPr>
        <w:t>(2000)</w:t>
      </w:r>
      <w:r w:rsidRPr="00A47AEA">
        <w:rPr>
          <w:lang w:val="en-US"/>
        </w:rPr>
        <w:fldChar w:fldCharType="end"/>
      </w:r>
      <w:r w:rsidRPr="00A47AEA">
        <w:rPr>
          <w:lang w:val="en-US"/>
        </w:rPr>
        <w:t xml:space="preserve">, stated that gender differences constantly found regarding technology acceptance as a higher level of computer anxiety and less positive attitude towards technology adoption were found in women than men. Another study supports this claim that women have greater </w:t>
      </w:r>
      <w:r w:rsidRPr="00A47AEA">
        <w:t xml:space="preserve">technology anxiety than men </w:t>
      </w:r>
      <w:r w:rsidRPr="00A47AEA">
        <w:fldChar w:fldCharType="begin" w:fldLock="1"/>
      </w:r>
      <w:r w:rsidR="00B16657">
        <w:instrText>ADDIN CSL_CITATION {"citationItems":[{"id":"ITEM-1","itemData":{"DOI":"10.1108/02634501011014606","ISSN":"02634503","abstract":"Purpose: The purpose of this paper is to explore the relationships among demographic factors (gender, age, education, and income), consumer traits (technology anxiety, need for interaction, and technology innovativeness), and intention to use retail self-checkouts. Design/methodology/approach: A total of 285 usable responses are obtained through a web-based survey after excluding non-qualified respondents. Structural equation modeling is developed and tested. Findings: The results of this paper demonstrate that demographic factors only indirectly influence intention to use retail self-checkouts through consumer traits and thus the authors conclude that individual differences in the use of retail self-checkouts can be attributed to consumer traits which are determined by some of the demographic factors. Research limitations/implications: Demographic factors and consumer traits are only included as determinants of intention to use retail self-checkouts. Therefore, future research could attempt to draw a comprehensive picture of retail self-checkouts by incorporating other relevant factors. Originality/value: By classifying individual difference traits into demographic factors and consumer traits, this paper provides more detailed explanations of the relationships among demographic factors, consumer traits, and intention to use retail self-checkouts. © Emerald Group Publishing Limited.","author":[{"dropping-particle":"","family":"Lee","given":"Hyun Joo","non-dropping-particle":"","parse-names":false,"suffix":""},{"dropping-particle":"","family":"Cho","given":"Hyeon Jeong","non-dropping-particle":"","parse-names":false,"suffix":""},{"dropping-particle":"","family":"Xu","given":"Wenwen","non-dropping-particle":"","parse-names":false,"suffix":""},{"dropping-particle":"","family":"Fairhurst","given":"Ann","non-dropping-particle":"","parse-names":false,"suffix":""}],"container-title":"Marketing Intelligence and Planning","id":"ITEM-1","issue":"1","issued":{"date-parts":[["2010"]]},"page":"46-58","title":"The influence of consumer traits and demographics on intention to use retail self-service checkouts","type":"article-journal","volume":"28"},"uris":["http://www.mendeley.com/documents/?uuid=90e3520e-e053-4447-a773-91bd78088f7c","http://www.mendeley.com/documents/?uuid=9aec9386-c8c1-40c7-8819-74767c4c4715"]}],"mendeley":{"formattedCitation":"(Lee et al., 2010)","plainTextFormattedCitation":"(Lee et al., 2010)","previouslyFormattedCitation":"(Lee et al., 2010)"},"properties":{"noteIndex":0},"schema":"https://github.com/citation-style-language/schema/raw/master/csl-citation.json"}</w:instrText>
      </w:r>
      <w:r w:rsidRPr="00A47AEA">
        <w:fldChar w:fldCharType="separate"/>
      </w:r>
      <w:r w:rsidR="00AF2B42" w:rsidRPr="00AF2B42">
        <w:rPr>
          <w:noProof/>
        </w:rPr>
        <w:t>(Lee et al., 2010)</w:t>
      </w:r>
      <w:r w:rsidRPr="00A47AEA">
        <w:rPr>
          <w:lang w:val="en-US"/>
        </w:rPr>
        <w:fldChar w:fldCharType="end"/>
      </w:r>
      <w:r w:rsidRPr="00A47AEA">
        <w:rPr>
          <w:lang w:val="en-US"/>
        </w:rPr>
        <w:t xml:space="preserve">. </w:t>
      </w:r>
      <w:r w:rsidR="00B16657" w:rsidRPr="00A04B5D">
        <w:rPr>
          <w:color w:val="FF0000"/>
          <w:lang w:val="en-US"/>
        </w:rPr>
        <w:t>Hence, it means female might feel more stressed to use technology. Supporting the same argument</w:t>
      </w:r>
      <w:r w:rsidR="00536C08" w:rsidRPr="00A04B5D">
        <w:rPr>
          <w:color w:val="FF0000"/>
          <w:lang w:val="en-US"/>
        </w:rPr>
        <w:t>,</w:t>
      </w:r>
      <w:r w:rsidR="00B16657" w:rsidRPr="00A04B5D">
        <w:rPr>
          <w:color w:val="FF0000"/>
          <w:lang w:val="en-US"/>
        </w:rPr>
        <w:t xml:space="preserve"> another study indicates that there is </w:t>
      </w:r>
      <w:r w:rsidR="00B16657" w:rsidRPr="00A04B5D">
        <w:rPr>
          <w:color w:val="FF0000"/>
        </w:rPr>
        <w:t>gender influence on the purchase intentions as th</w:t>
      </w:r>
      <w:r w:rsidR="00E6224D">
        <w:rPr>
          <w:color w:val="FF0000"/>
        </w:rPr>
        <w:t>e</w:t>
      </w:r>
      <w:r w:rsidR="00B16657" w:rsidRPr="00A04B5D">
        <w:rPr>
          <w:color w:val="FF0000"/>
        </w:rPr>
        <w:t xml:space="preserve"> women are more likely to be anxious about products </w:t>
      </w:r>
      <w:r w:rsidR="00BB2B33" w:rsidRPr="00A04B5D">
        <w:rPr>
          <w:color w:val="FF0000"/>
        </w:rPr>
        <w:t>with which</w:t>
      </w:r>
      <w:r w:rsidR="00B16657" w:rsidRPr="00A04B5D">
        <w:rPr>
          <w:color w:val="FF0000"/>
        </w:rPr>
        <w:t xml:space="preserve"> they are personally attached </w:t>
      </w:r>
      <w:r w:rsidR="00B16657" w:rsidRPr="00A04B5D">
        <w:rPr>
          <w:color w:val="FF0000"/>
        </w:rPr>
        <w:fldChar w:fldCharType="begin" w:fldLock="1"/>
      </w:r>
      <w:r w:rsidR="00B12E5D" w:rsidRPr="00A04B5D">
        <w:rPr>
          <w:color w:val="FF0000"/>
        </w:rPr>
        <w:instrText>ADDIN CSL_CITATION {"citationItems":[{"id":"ITEM-1","itemData":{"DOI":"10.3390/ijerph16060956","ISSN":"16604601","PMID":"30884921","abstract":"In the last few years, the market of organically grown products (OGPs) has continued to grow due to speculated concerns for the environment, food safety and health issues. The market for OGPs in South Africa appears to be under threat; with their demand outstripping their supply. In light of this background, there are relatively few studies on the consumer purchase intentions of OGPs in South Africa, and thus, less understanding about its demand market drivers. The purpose of this paper is to identify the factors influencing the purchase intentions of OGPs (fruits and vegetables) in Shelly Centre in Port Shepstone in Kwa-Zulu Natal Province of South Africa. Using a quantitative descriptive cross-sectional research design, a hundred and fifty (150) OGP consumers were selected through a systematic random sampling technique from three accredited OGP retail outlets namely Pick n’ Pay, Spar and Woolworths. Generally, descriptive results show that the interviewed consumers in Shelly Centre were reasonably educated and knowledgeable about OGPs. A higher proportion of the interviewed consumers in Shelly Centre consisted of women, employed and not of African descendant (ethnic group) consumers. Most were confident that OGPs are environmentally friendly, safe, high-quality products, and have a better taste compared to conventionally grown food products. A somewhat fair proportion expressed mixed feelings concerning the belief that OGPs are priced higher, their appeal to nature (smell), and their willingness to purchase OGPs regardless of price. Nonetheless, most were adamant that OGPs are difficult to find on the market. A multiple regression model analysis results reveal that consumer demographics; ethnicity (not of African descent) (p &lt; 0.001), and monthly household income (p &lt; 0.05) are statistically significant and positively influence the consumer purchase intentions of OGPs in Shelly Centre. Conversely, consumer perceptions that OGPs are priced higher (p &lt; 0.05), have a better taste and of quality (p &lt; 0.001), and the difficulty to find on the market (p &lt; 0.001) are statistically significant and negatively influence the consumer purchase intentions of OGPs in Shelly Centre. The findings of this paper stress the need to design strategies and elements (marketing mix) to make OGPs affordable and readily available to consumers. Likewise, consumers from all ethnic groups and income levels need to be conscious of the environmental and health benefits of OGPs to m…","author":[{"dropping-particle":"","family":"Wekeza","given":"Siphelele Vincent","non-dropping-particle":"","parse-names":false,"suffix":""},{"dropping-particle":"","family":"Sibanda","given":"Melusi","non-dropping-particle":"","parse-names":false,"suffix":""}],"container-title":"International Journal of Environmental Research and Public Health","id":"ITEM-1","issue":"6","issued":{"date-parts":[["2019"]]},"page":"26","title":"Factors influencing consumer purchase intentions of organically grown products in shelly centre, port shepstone, South Africa","type":"article-journal","volume":"16"},"uris":["http://www.mendeley.com/documents/?uuid=abc05d9a-ec5b-4397-9aaa-d86b18fecb48","http://www.mendeley.com/documents/?uuid=5015ec12-b9da-4166-a756-8b2c9a003518"]}],"mendeley":{"formattedCitation":"(Wekeza and Sibanda, 2019)","plainTextFormattedCitation":"(Wekeza and Sibanda, 2019)","previouslyFormattedCitation":"(Wekeza and Sibanda, 2019)"},"properties":{"noteIndex":0},"schema":"https://github.com/citation-style-language/schema/raw/master/csl-citation.json"}</w:instrText>
      </w:r>
      <w:r w:rsidR="00B16657" w:rsidRPr="00A04B5D">
        <w:rPr>
          <w:color w:val="FF0000"/>
        </w:rPr>
        <w:fldChar w:fldCharType="separate"/>
      </w:r>
      <w:r w:rsidR="00B16657" w:rsidRPr="00A04B5D">
        <w:rPr>
          <w:noProof/>
          <w:color w:val="FF0000"/>
        </w:rPr>
        <w:t>(Wekeza and Sibanda, 2019)</w:t>
      </w:r>
      <w:r w:rsidR="00B16657" w:rsidRPr="00A04B5D">
        <w:rPr>
          <w:color w:val="FF0000"/>
        </w:rPr>
        <w:fldChar w:fldCharType="end"/>
      </w:r>
      <w:r w:rsidR="00BB2B33" w:rsidRPr="00A04B5D">
        <w:rPr>
          <w:color w:val="FF0000"/>
        </w:rPr>
        <w:t xml:space="preserve">. Several other studies also found gender differences in </w:t>
      </w:r>
      <w:r w:rsidR="007A436A" w:rsidRPr="00A04B5D">
        <w:rPr>
          <w:color w:val="FF0000"/>
        </w:rPr>
        <w:t>technolog</w:t>
      </w:r>
      <w:r w:rsidR="00E6224D">
        <w:rPr>
          <w:color w:val="FF0000"/>
        </w:rPr>
        <w:t>y use and adoption, compared to boys girls using less computers and the</w:t>
      </w:r>
      <w:r w:rsidR="007A436A" w:rsidRPr="00A04B5D">
        <w:rPr>
          <w:color w:val="FF0000"/>
        </w:rPr>
        <w:t xml:space="preserve"> internet </w:t>
      </w:r>
      <w:r w:rsidR="007A436A" w:rsidRPr="00A04B5D">
        <w:rPr>
          <w:color w:val="FF0000"/>
        </w:rPr>
        <w:fldChar w:fldCharType="begin" w:fldLock="1"/>
      </w:r>
      <w:r w:rsidR="00B12E5D" w:rsidRPr="00A04B5D">
        <w:rPr>
          <w:color w:val="FF0000"/>
        </w:rPr>
        <w:instrText>ADDIN CSL_CITATION {"citationItems":[{"id":"ITEM-1","itemData":{"DOI":"10.1016/j.compedu.2008.01.003","ISSN":"03601315","abstract":"In this study, we examined relations between outside school computer experiences, perceived social support for using computers, and self-efficacy and value beliefs about computer learning for 340 Greek elementary school boys and girls. Participants responded to a questionnaire about their access to computer use outside school (e.g. frequency of use and nature of activities), perceived parental and peer support, and computer self-efficacy and value beliefs. Although almost all students used computers outside school, there were significant gender differences in frequency and type of computer use. Also, boys reported more perceived support from their parents and peers to use computers and more positive computer self-efficacy and value beliefs than girls. Parental support and, to a lesser extent, peer support were the factors more strongly associated with boys' and girls' computer self-efficacy and value beliefs, while home computer access was not related to students' motivation. Our findings highlight the role of socialization in the gender gap in computing and the need for research and educational interventions that focus on the social practices that communicate gendered expectations to young boys and girls. © 2008 Elsevier Ltd. All rights reserved.","author":[{"dropping-particle":"","family":"Vekiri","given":"Ioanna","non-dropping-particle":"","parse-names":false,"suffix":""},{"dropping-particle":"","family":"Chronaki","given":"Anna","non-dropping-particle":"","parse-names":false,"suffix":""}],"container-title":"Computers and Education","id":"ITEM-1","issue":"3","issued":{"date-parts":[["2008"]]},"page":"1392-1404","title":"Gender issues in technology use: Perceived social support, computer self-efficacy and value beliefs, and computer use beyond school","type":"article-journal","volume":"51"},"uris":["http://www.mendeley.com/documents/?uuid=c7eebf06-0c45-4e3e-a27f-03f03535aff8","http://www.mendeley.com/documents/?uuid=d1055492-00a6-48b6-a0a2-4f8fa3b10f0c"]},{"id":"ITEM-2","itemData":{"DOI":"10.1108/JHTT-03-2014-0008","ISBN":"0320140008","ISSN":"1757-9880","abstract":"This paper examines whether public sector reforms in a developing country is consistent with the principles of new public management (NPM). It examines whether Indonesian public sector reforms from the late 1990s to 2015, specifically the adoption of accrual accounting, are motivated by NPM philosophy. Reviewing and analysing Government regulations and reports, the study finds that the reforms are an attempt to implement NPM, specifically in relation to five financial management aspects (i.e. market-oriented, budgeting, performance management, financial reporting and auditing systems). However, the reforms are inconsistent with the NPM philosophy of efficiency and effectiveness in public service provisions. By requiring the use of the existing system, the reforms actually created inefficiency. This research is novel in investigating the gap between 'ideal concepts'and examining practices in an emerging country context.","author":[{"dropping-particle":"","family":"Zhang","given":"Lu","non-dropping-particle":"","parse-names":false,"suffix":""},{"dropping-particle":"","family":"Nyheim","given":"Peter","non-dropping-particle":"","parse-names":false,"suffix":""},{"dropping-particle":"","family":"S. Mattila","given":"Anna","non-dropping-particle":"","parse-names":false,"suffix":""}],"container-title":"Journal of Hospitality and Tourism Technology","id":"ITEM-2","issue":"3","issued":{"date-parts":[["2014","10"]]},"page":"299-314","title":"The effect of power and gender on technology acceptance","type":"article-journal","volume":"5"},"uris":["http://www.mendeley.com/documents/?uuid=58d337bf-3cae-4598-bb96-18b233cd2bd5"]}],"mendeley":{"formattedCitation":"(Vekiri and Chronaki, 2008; Zhang et al., 2014)","plainTextFormattedCitation":"(Vekiri and Chronaki, 2008; Zhang et al., 2014)","previouslyFormattedCitation":"(Vekiri and Chronaki, 2008; Zhang et al., 2014)"},"properties":{"noteIndex":0},"schema":"https://github.com/citation-style-language/schema/raw/master/csl-citation.json"}</w:instrText>
      </w:r>
      <w:r w:rsidR="007A436A" w:rsidRPr="00A04B5D">
        <w:rPr>
          <w:color w:val="FF0000"/>
        </w:rPr>
        <w:fldChar w:fldCharType="separate"/>
      </w:r>
      <w:r w:rsidR="001376C7" w:rsidRPr="00A04B5D">
        <w:rPr>
          <w:noProof/>
          <w:color w:val="FF0000"/>
        </w:rPr>
        <w:t>(Vekiri and Chronaki, 2008; Zhang et al., 2014)</w:t>
      </w:r>
      <w:r w:rsidR="007A436A" w:rsidRPr="00A04B5D">
        <w:rPr>
          <w:color w:val="FF0000"/>
        </w:rPr>
        <w:fldChar w:fldCharType="end"/>
      </w:r>
      <w:r w:rsidR="007A436A" w:rsidRPr="00A04B5D">
        <w:rPr>
          <w:color w:val="FF0000"/>
        </w:rPr>
        <w:t xml:space="preserve">. </w:t>
      </w:r>
      <w:r w:rsidRPr="00A47AEA">
        <w:rPr>
          <w:lang w:val="en-US"/>
        </w:rPr>
        <w:t xml:space="preserve">A study in Nigerian found gender significantly influence </w:t>
      </w:r>
      <w:r w:rsidR="00BA1187">
        <w:t>banking customers</w:t>
      </w:r>
      <w:r w:rsidRPr="00A47AEA">
        <w:t>’</w:t>
      </w:r>
      <w:r w:rsidR="00BA1187">
        <w:t xml:space="preserve"> </w:t>
      </w:r>
      <w:r w:rsidRPr="00A47AEA">
        <w:t>attitudes to internet banking adoption</w:t>
      </w:r>
      <w:r w:rsidRPr="00A47AEA">
        <w:rPr>
          <w:lang w:val="en-US"/>
        </w:rPr>
        <w:t xml:space="preserve"> </w:t>
      </w:r>
      <w:r w:rsidRPr="00A47AEA">
        <w:rPr>
          <w:lang w:val="en-US"/>
        </w:rPr>
        <w:fldChar w:fldCharType="begin" w:fldLock="1"/>
      </w:r>
      <w:r w:rsidR="00B12E5D">
        <w:rPr>
          <w:lang w:val="en-US"/>
        </w:rPr>
        <w:instrText>ADDIN CSL_CITATION {"citationItems":[{"id":"ITEM-1","itemData":{"DOI":"10.1057/fsm.2011.28","ISSN":"1363-0539","abstract":"This study provides an African perspective to the global research and literature on retail customer adoption of Internet banking (IB). It empirically examines the influence of seven demographic variables – age, gender, level of education, marital status, employment status, income level and area of residence – on retail banking customers’ behaviours toward IB adoption in a major developing African country – Nigeria. A sample of 500 customers was surveyed, and ANOVA and multiple regression analyses were used in testing the association of the variables with customer attitude and intention toward IB adoption. Although all seven variables were correlated with attitude and intention, only gender, level of education, and employment status showed significant ability to influence Nigerian customers’ attitude and intention toward IB adoption. The study therefore concludes that gender, level of education, and employment status are the major demographic affecters of Nigerian banking customers’ attitudes to IB adoption.","author":[{"dropping-particle":"","family":"Onyia","given":"Okey Peter","non-dropping-particle":"","parse-names":false,"suffix":""},{"dropping-particle":"","family":"Tagg","given":"Stephen K","non-dropping-particle":"","parse-names":false,"suffix":""}],"container-title":"Journal of Financial Services Marketing","id":"ITEM-1","issue":"3-4","issued":{"date-parts":[["2011","12","1"]]},"page":"294-315","publisher":"Palgrave Macmillan UK","title":"Effects of demographic factors on bank customers’ attitudes and intention toward Internet banking adoption in a major developing African country","type":"article-journal","volume":"16"},"uris":["http://www.mendeley.com/documents/?uuid=cfd854e6-e4f7-4b24-a8d3-a752dcafa004","http://www.mendeley.com/documents/?uuid=d21dab9e-0271-43f9-9099-5e286365f91d"]}],"mendeley":{"formattedCitation":"(Onyia and Tagg, 2011)","plainTextFormattedCitation":"(Onyia and Tagg, 2011)","previouslyFormattedCitation":"(Onyia and Tagg, 2011)"},"properties":{"noteIndex":0},"schema":"https://github.com/citation-style-language/schema/raw/master/csl-citation.json"}</w:instrText>
      </w:r>
      <w:r w:rsidRPr="00A47AEA">
        <w:rPr>
          <w:lang w:val="en-US"/>
        </w:rPr>
        <w:fldChar w:fldCharType="separate"/>
      </w:r>
      <w:r w:rsidR="00AF2B42" w:rsidRPr="00AF2B42">
        <w:rPr>
          <w:noProof/>
          <w:lang w:val="en-US"/>
        </w:rPr>
        <w:t>(Onyia and Tagg, 2011)</w:t>
      </w:r>
      <w:r w:rsidRPr="00A47AEA">
        <w:rPr>
          <w:lang w:val="en-US"/>
        </w:rPr>
        <w:fldChar w:fldCharType="end"/>
      </w:r>
      <w:r w:rsidRPr="00A47AEA">
        <w:rPr>
          <w:lang w:val="en-US"/>
        </w:rPr>
        <w:t>.</w:t>
      </w:r>
    </w:p>
    <w:p w14:paraId="72F14B2F" w14:textId="01FC7FF1" w:rsidR="00A47AEA" w:rsidRPr="00B12E5D" w:rsidRDefault="00A47AEA" w:rsidP="0020439A">
      <w:r w:rsidRPr="00A47AEA">
        <w:rPr>
          <w:lang w:val="en-US"/>
        </w:rPr>
        <w:t xml:space="preserve">On the other hand, anxiety is a behavioral state of humans </w:t>
      </w:r>
      <w:r w:rsidRPr="00A47AEA">
        <w:rPr>
          <w:lang w:val="en-US"/>
        </w:rPr>
        <w:fldChar w:fldCharType="begin" w:fldLock="1"/>
      </w:r>
      <w:r w:rsidR="007F49C2">
        <w:rPr>
          <w:lang w:val="en-US"/>
        </w:rPr>
        <w:instrText>ADDIN CSL_CITATION {"citationItems":[{"id":"ITEM-1","itemData":{"ISSN":"12948322","PMID":"22033741","abstract":"Anxiety is a psychological, physiological, and behavioral state induced in animals and humans by a threat to well-being or survival, either actual or potential. It is characterized by increased arousal, expectancy, autonomic and neuroendocrine activation, and specific behavior patterns. The function of these changes is to facilitate coping with an adverse or unexpected situation. Pathological anxiety interferes with the ability to cope successfully with life challenges. Vulnerability to psychopathology appears to be a consequence of predisposing factors (or traits), which result from numerous gene-environment interactions during development (particularly during the perinatal period) and experience (life events). In this review, the biology of fear and anxiety will be examined from systemic (brain-behavior relationships, neuronal circuitry, and functional neuroanatomy) and cellular/molecular (neurotransmitters, hormones, and other biochemical factors) points of view, with particular reference to animal models. These models have been instrumental in establishing the biological correlates of fear and anxiety although the recent development of noninvasive investigation methods in humans, such as the various neuroimaging techniques, certainly opens new avenues of research in this field. Our current knowledge of the biological bases of fear and anxiety is already impressive, and further progress toward models or theories integrating contributions from the medical, biological, and psychological sciences can be expected.","author":[{"dropping-particle":"","family":"Steimer","given":"Thierry","non-dropping-particle":"","parse-names":false,"suffix":""}],"container-title":"Dialogues in Clinical Neuroscience","id":"ITEM-1","issue":"3","issued":{"date-parts":[["2002"]]},"page":"231-249","title":"The biology of fear- and anxiety-related behaviors","type":"article-journal","volume":"4"},"uris":["http://www.mendeley.com/documents/?uuid=2132e164-c9ae-43d1-99a6-678318fcf93a","http://www.mendeley.com/documents/?uuid=60716053-6c1d-4b6a-9e38-c3b868704c7c"]}],"mendeley":{"formattedCitation":"(Steimer, 2002)","plainTextFormattedCitation":"(Steimer, 2002)","previouslyFormattedCitation":"(Steimer, 2002)"},"properties":{"noteIndex":0},"schema":"https://github.com/citation-style-language/schema/raw/master/csl-citation.json"}</w:instrText>
      </w:r>
      <w:r w:rsidRPr="00A47AEA">
        <w:rPr>
          <w:lang w:val="en-US"/>
        </w:rPr>
        <w:fldChar w:fldCharType="separate"/>
      </w:r>
      <w:r w:rsidR="007F49C2" w:rsidRPr="007F49C2">
        <w:rPr>
          <w:noProof/>
          <w:lang w:val="en-US"/>
        </w:rPr>
        <w:t>(Steimer, 2002)</w:t>
      </w:r>
      <w:r w:rsidRPr="00A47AEA">
        <w:rPr>
          <w:lang w:val="en-US"/>
        </w:rPr>
        <w:fldChar w:fldCharType="end"/>
      </w:r>
      <w:r w:rsidRPr="00A47AEA">
        <w:rPr>
          <w:lang w:val="en-US"/>
        </w:rPr>
        <w:t xml:space="preserve">. </w:t>
      </w:r>
      <w:r w:rsidRPr="00A47AEA">
        <w:t>Studies have exposed that females are usually less confident in te</w:t>
      </w:r>
      <w:r w:rsidR="00E6224D">
        <w:t>chnology usage than</w:t>
      </w:r>
      <w:r w:rsidRPr="00A47AEA">
        <w:t xml:space="preserve"> men </w:t>
      </w:r>
      <w:r w:rsidRPr="00A47AEA">
        <w:fldChar w:fldCharType="begin" w:fldLock="1"/>
      </w:r>
      <w:r w:rsidR="00B16657">
        <w:instrText>ADDIN CSL_CITATION {"citationItems":[{"id":"ITEM-1","itemData":{"DOI":"10.1007/s10660-014-9150-7","ISSN":"15729362","abstract":"Understanding how genders differ in their acceptance patterns is a critical factor for successful market segmentation. Using a modified technology acceptance model with 105 participants from Malaysia, this paper examines how gender differences influence the adoption of Islamic mobile banking among Muslims in Malaysia. By means of a structural equation model based on the partial least squares technique, this study reveals two different and interesting models that influence the acceptance of Islamic mobile banking. Male Muslims favour status and values orientations, so their acceptance of Islamic mobile banking was significantly influenced by the perceived self-expressiveness. Female Muslims on the other hand, prefer social and utilitarian orientations, thus their acceptance of Islamic mobile banking was significantly influenced by perceived usefulness and social norms. The results of this survey should be interpreted as speculative and should not be relied upon as an accurate depiction of behavior in the surveyed communities.","author":[{"dropping-particle":"","family":"Goh","given":"Tiong Thye","non-dropping-particle":"","parse-names":false,"suffix":""},{"dropping-particle":"","family":"Sun","given":"Susan","non-dropping-particle":"","parse-names":false,"suffix":""}],"container-title":"Electronic Commerce Research","id":"ITEM-1","issue":"4","issued":{"date-parts":[["2014"]]},"page":"435-458","title":"Exploring gender differences in Islamic mobile banking acceptance","type":"article-journal","volume":"14"},"uris":["http://www.mendeley.com/documents/?uuid=6adcd4c4-913e-4e7e-a2f2-ae5fd0199602","http://www.mendeley.com/documents/?uuid=1e966bbe-03e3-4b72-9628-8073285448de"]}],"mendeley":{"formattedCitation":"(Goh and Sun, 2014)","plainTextFormattedCitation":"(Goh and Sun, 2014)","previouslyFormattedCitation":"(Goh and Sun, 2014)"},"properties":{"noteIndex":0},"schema":"https://github.com/citation-style-language/schema/raw/master/csl-citation.json"}</w:instrText>
      </w:r>
      <w:r w:rsidRPr="00A47AEA">
        <w:fldChar w:fldCharType="separate"/>
      </w:r>
      <w:r w:rsidR="00AF2B42" w:rsidRPr="00AF2B42">
        <w:rPr>
          <w:noProof/>
        </w:rPr>
        <w:t>(Goh and Sun, 2014)</w:t>
      </w:r>
      <w:r w:rsidRPr="00A47AEA">
        <w:rPr>
          <w:lang w:val="en-US"/>
        </w:rPr>
        <w:fldChar w:fldCharType="end"/>
      </w:r>
      <w:r w:rsidR="00E0460A">
        <w:t>.</w:t>
      </w:r>
      <w:r w:rsidRPr="00A47AEA">
        <w:rPr>
          <w:lang w:val="en-US"/>
        </w:rPr>
        <w:t xml:space="preserve"> </w:t>
      </w:r>
      <w:r w:rsidR="001376C7" w:rsidRPr="00A04B5D">
        <w:rPr>
          <w:color w:val="FF0000"/>
        </w:rPr>
        <w:t xml:space="preserve">Having higher anxiety </w:t>
      </w:r>
      <w:r w:rsidR="001376C7" w:rsidRPr="00A04B5D">
        <w:rPr>
          <w:color w:val="FF0000"/>
          <w:lang w:val="en-US"/>
        </w:rPr>
        <w:t>and less confidence</w:t>
      </w:r>
      <w:r w:rsidR="00E6224D">
        <w:rPr>
          <w:color w:val="FF0000"/>
          <w:lang w:val="en-US"/>
        </w:rPr>
        <w:t>,</w:t>
      </w:r>
      <w:r w:rsidR="001376C7" w:rsidRPr="00A04B5D">
        <w:rPr>
          <w:color w:val="FF0000"/>
          <w:lang w:val="en-US"/>
        </w:rPr>
        <w:t xml:space="preserve"> which forms behavior</w:t>
      </w:r>
      <w:r w:rsidR="00E6224D">
        <w:rPr>
          <w:color w:val="FF0000"/>
          <w:lang w:val="en-US"/>
        </w:rPr>
        <w:t>,</w:t>
      </w:r>
      <w:r w:rsidR="001376C7" w:rsidRPr="00A04B5D">
        <w:rPr>
          <w:color w:val="FF0000"/>
          <w:lang w:val="en-US"/>
        </w:rPr>
        <w:t xml:space="preserve"> </w:t>
      </w:r>
      <w:r w:rsidR="004E5972" w:rsidRPr="00A04B5D">
        <w:rPr>
          <w:color w:val="FF0000"/>
          <w:lang w:val="en-US"/>
        </w:rPr>
        <w:t xml:space="preserve">can </w:t>
      </w:r>
      <w:r w:rsidR="00E6224D">
        <w:rPr>
          <w:color w:val="FF0000"/>
          <w:lang w:val="en-US"/>
        </w:rPr>
        <w:t>a</w:t>
      </w:r>
      <w:r w:rsidR="004E5972" w:rsidRPr="00A04B5D">
        <w:rPr>
          <w:color w:val="FF0000"/>
          <w:lang w:val="en-US"/>
        </w:rPr>
        <w:t>ffect purchase intentions.</w:t>
      </w:r>
      <w:r w:rsidR="001376C7" w:rsidRPr="00A04B5D">
        <w:rPr>
          <w:color w:val="FF0000"/>
          <w:lang w:val="en-US"/>
        </w:rPr>
        <w:t xml:space="preserve"> It </w:t>
      </w:r>
      <w:r w:rsidR="0084389F" w:rsidRPr="00A04B5D">
        <w:rPr>
          <w:color w:val="FF0000"/>
          <w:lang w:val="en-US"/>
        </w:rPr>
        <w:t xml:space="preserve">has been found </w:t>
      </w:r>
      <w:r w:rsidR="00E6224D">
        <w:rPr>
          <w:color w:val="FF0000"/>
          <w:lang w:val="en-US"/>
        </w:rPr>
        <w:t xml:space="preserve">that </w:t>
      </w:r>
      <w:r w:rsidR="0084389F" w:rsidRPr="00A04B5D">
        <w:rPr>
          <w:color w:val="FF0000"/>
          <w:lang w:val="en-US"/>
        </w:rPr>
        <w:t>fear, emotions etc</w:t>
      </w:r>
      <w:r w:rsidR="00E6224D">
        <w:rPr>
          <w:color w:val="FF0000"/>
          <w:lang w:val="en-US"/>
        </w:rPr>
        <w:t>.,</w:t>
      </w:r>
      <w:r w:rsidR="0084389F" w:rsidRPr="00A04B5D">
        <w:rPr>
          <w:color w:val="FF0000"/>
          <w:lang w:val="en-US"/>
        </w:rPr>
        <w:t xml:space="preserve"> </w:t>
      </w:r>
      <w:r w:rsidR="00E6224D">
        <w:rPr>
          <w:color w:val="FF0000"/>
          <w:lang w:val="en-US"/>
        </w:rPr>
        <w:t>influence</w:t>
      </w:r>
      <w:r w:rsidR="0084389F" w:rsidRPr="00A04B5D">
        <w:rPr>
          <w:color w:val="FF0000"/>
          <w:lang w:val="en-US"/>
        </w:rPr>
        <w:t xml:space="preserve"> purchase intentions </w:t>
      </w:r>
      <w:r w:rsidR="0084389F" w:rsidRPr="00A04B5D">
        <w:rPr>
          <w:color w:val="FF0000"/>
          <w:lang w:val="en-US"/>
        </w:rPr>
        <w:fldChar w:fldCharType="begin" w:fldLock="1"/>
      </w:r>
      <w:r w:rsidR="00B12E5D" w:rsidRPr="00A04B5D">
        <w:rPr>
          <w:color w:val="FF0000"/>
          <w:lang w:val="en-US"/>
        </w:rPr>
        <w:instrText>ADDIN CSL_CITATION {"citationItems":[{"id":"ITEM-1","itemData":{"DOI":"10.1007/s12525-014-0153-y","ISSN":"14228890","abstract":"Personalized services are diffusing rapidly in online shopping communities. However, the current understanding of the influence of personalization is limited. This study extends personalization literature into the area of emotions related to intention to purchase and into the context of online shopping. Responses from 182 online shoppers were used to examine the impact of personalization on customer emotions and intention to purchase. The results show that there is a direct positive association between personalization and purchase intentions. In addition, provision of personalization features in e-shops may evoke positive emotions to online shoppers but does not evoke nor mitigate negative ones. Finally, our study reports that emotions influence online shopping behavior either positively, through the formulation of positive emotions, or negatively, through negative emotions. These findings indicate that positive emotions mediate the relationship between personalization and purchase intentions. Our study concludes with a critical appraisal of our findings and a discussion of prospective theoretical and managerial implications for e-shop practitioners.","author":[{"dropping-particle":"","family":"Pappas","given":"Ilias O.","non-dropping-particle":"","parse-names":false,"suffix":""},{"dropping-particle":"","family":"Kourouthanassis","given":"Panos E.","non-dropping-particle":"","parse-names":false,"suffix":""},{"dropping-particle":"","family":"Giannakos","given":"Michail N.","non-dropping-particle":"","parse-names":false,"suffix":""},{"dropping-particle":"","family":"Chrissikopoulos","given":"Vassilios","non-dropping-particle":"","parse-names":false,"suffix":""}],"container-title":"Electronic Markets","id":"ITEM-1","issue":"3","issued":{"date-parts":[["2014"]]},"page":"193-206","title":"Shiny happy people buying: the role of emotions on personalized e-shopping","type":"article-journal","volume":"24"},"uris":["http://www.mendeley.com/documents/?uuid=ab08378e-806a-4037-9f1c-2de583ae3172","http://www.mendeley.com/documents/?uuid=5523b5e0-74a0-4a79-b32c-5b915d8cb2d7"]},{"id":"ITEM-2","itemData":{"author":[{"dropping-particle":"","family":"Hutjens","given":"Madelon","non-dropping-particle":"","parse-names":false,"suffix":""}],"id":"ITEM-2","issued":{"date-parts":[["2014"]]},"title":"Behaviour of Consumers in Case of an Animal Disease Outbreak","type":"book"},"uris":["http://www.mendeley.com/documents/?uuid=23bbbd47-98f4-4da2-8a85-d1a8c45ec9e3","http://www.mendeley.com/documents/?uuid=8d64f10a-ae6f-4004-a6a7-c6c2b23b13c9"]}],"mendeley":{"formattedCitation":"(Hutjens, 2014; Pappas et al., 2014)","plainTextFormattedCitation":"(Hutjens, 2014; Pappas et al., 2014)","previouslyFormattedCitation":"(Hutjens, 2014; Pappas et al., 2014)"},"properties":{"noteIndex":0},"schema":"https://github.com/citation-style-language/schema/raw/master/csl-citation.json"}</w:instrText>
      </w:r>
      <w:r w:rsidR="0084389F" w:rsidRPr="00A04B5D">
        <w:rPr>
          <w:color w:val="FF0000"/>
          <w:lang w:val="en-US"/>
        </w:rPr>
        <w:fldChar w:fldCharType="separate"/>
      </w:r>
      <w:r w:rsidR="0084389F" w:rsidRPr="00A04B5D">
        <w:rPr>
          <w:noProof/>
          <w:color w:val="FF0000"/>
          <w:lang w:val="en-US"/>
        </w:rPr>
        <w:t>(Hutjens, 2014; Pappas et al., 2014)</w:t>
      </w:r>
      <w:r w:rsidR="0084389F" w:rsidRPr="00A04B5D">
        <w:rPr>
          <w:color w:val="FF0000"/>
          <w:lang w:val="en-US"/>
        </w:rPr>
        <w:fldChar w:fldCharType="end"/>
      </w:r>
      <w:r w:rsidR="0084389F" w:rsidRPr="00A04B5D">
        <w:rPr>
          <w:color w:val="FF0000"/>
          <w:lang w:val="en-US"/>
        </w:rPr>
        <w:t xml:space="preserve">. </w:t>
      </w:r>
      <w:r w:rsidRPr="00A47AEA">
        <w:rPr>
          <w:lang w:val="en-US"/>
        </w:rPr>
        <w:t xml:space="preserve">The theory of planned behavior says attitude is related to behavioral intentions </w:t>
      </w:r>
      <w:r w:rsidRPr="00A47AEA">
        <w:rPr>
          <w:lang w:val="en-US"/>
        </w:rPr>
        <w:fldChar w:fldCharType="begin" w:fldLock="1"/>
      </w:r>
      <w:r w:rsidR="00B12E5D">
        <w:rPr>
          <w:lang w:val="en-US"/>
        </w:rPr>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behavior","type":"article-journal","volume":"50"},"uris":["http://www.mendeley.com/documents/?uuid=2340c3f6-f994-39f8-a286-7f861b48da4e"]}],"mendeley":{"formattedCitation":"(Ajzen, 1991)","plainTextFormattedCitation":"(Ajzen, 1991)","previouslyFormattedCitation":"(Ajzen, 1991)"},"properties":{"noteIndex":0},"schema":"https://github.com/citation-style-language/schema/raw/master/csl-citation.json"}</w:instrText>
      </w:r>
      <w:r w:rsidRPr="00A47AEA">
        <w:rPr>
          <w:lang w:val="en-US"/>
        </w:rPr>
        <w:fldChar w:fldCharType="separate"/>
      </w:r>
      <w:r w:rsidR="007F49C2" w:rsidRPr="007F49C2">
        <w:rPr>
          <w:noProof/>
          <w:lang w:val="en-US"/>
        </w:rPr>
        <w:t>(Ajzen, 1991)</w:t>
      </w:r>
      <w:r w:rsidRPr="00A47AEA">
        <w:rPr>
          <w:lang w:val="en-US"/>
        </w:rPr>
        <w:fldChar w:fldCharType="end"/>
      </w:r>
      <w:r w:rsidRPr="00A47AEA">
        <w:rPr>
          <w:lang w:val="en-US"/>
        </w:rPr>
        <w:t xml:space="preserve">, and the </w:t>
      </w:r>
      <w:r w:rsidRPr="00A47AEA">
        <w:t xml:space="preserve">theory of reasoned action by </w:t>
      </w:r>
      <w:r w:rsidRPr="00771688">
        <w:t>Fishbein</w:t>
      </w:r>
      <w:r w:rsidRPr="00A47AEA">
        <w:t xml:space="preserve"> in 1967 states that intentions have a strong relation with behavior and behavioral performance. It was found that the performance or non-performance of a given behavior is determined by the strength of an individual’s intention to do it </w:t>
      </w:r>
      <w:r w:rsidRPr="00A47AEA">
        <w:fldChar w:fldCharType="begin" w:fldLock="1"/>
      </w:r>
      <w:r w:rsidR="00B12E5D">
        <w:instrText>ADDIN CSL_CITATION {"citationItems":[{"id":"ITEM-1","itemData":{"DOI":"10.1002/9781405186407.wbiecr017","ISBN":"9781405186407","abstract":"The theory of reasoned action (TRA) is a general theory of behavior that was first introduced in 1967 by Martin Fishbein, and was extended by Fishbein and Icek Ajzen (e.g., Fishbein &amp; Ajzen 1975; Ajzen &amp; Fishbein 1980). Developed largely in response to the repeated failure of traditional [RIGHTWARDS ARROW] attitude measures to predict specific behaviors, the theory began with the premise that the simplest and most efficient way to predict a given behavior was to ask a person whether he or she was or was not going to perform that behavior. Thus, according to the theory, performance or non-performance of a given behavior is primarily determined by the strength of a person's intention to perform (or to not perform) that behavior, where intention is defined as the subjective likelihood that one will perform (or try to perform) the behavior in question ([RIGHTWARDS ARROW] Attitude-Behavior Consistency; Planned Behavior, Theory of).","author":[{"dropping-particle":"","family":"Fishbein","given":"Martin","non-dropping-particle":"","parse-names":false,"suffix":""}],"container-title":"The International Encyclopedia of Communication","id":"ITEM-1","issued":{"date-parts":[["2008"]]},"page":"1-4","title":"Theory of Reasoned Action","type":"article-journal"},"uris":["http://www.mendeley.com/documents/?uuid=8c5eebd9-02a0-498c-b83e-2909ef96df90","http://www.mendeley.com/documents/?uuid=1b8668d4-01b2-4ba4-a21b-b139eaeb5e30"]}],"mendeley":{"formattedCitation":"(Fishbein, 2008)","plainTextFormattedCitation":"(Fishbein, 2008)","previouslyFormattedCitation":"(Fishbein, 2008)"},"properties":{"noteIndex":0},"schema":"https://github.com/citation-style-language/schema/raw/master/csl-citation.json"}</w:instrText>
      </w:r>
      <w:r w:rsidRPr="00A47AEA">
        <w:fldChar w:fldCharType="separate"/>
      </w:r>
      <w:r w:rsidR="007F49C2" w:rsidRPr="007F49C2">
        <w:rPr>
          <w:noProof/>
        </w:rPr>
        <w:t>(Fishbein, 2008)</w:t>
      </w:r>
      <w:r w:rsidRPr="00A47AEA">
        <w:rPr>
          <w:lang w:val="en-US"/>
        </w:rPr>
        <w:fldChar w:fldCharType="end"/>
      </w:r>
      <w:r w:rsidRPr="00A47AEA">
        <w:t>.</w:t>
      </w:r>
      <w:r w:rsidR="00FD6973">
        <w:t xml:space="preserve"> </w:t>
      </w:r>
      <w:r w:rsidR="000F407D" w:rsidRPr="00A04B5D">
        <w:rPr>
          <w:color w:val="FF0000"/>
        </w:rPr>
        <w:t xml:space="preserve">In short, emotions impact purchase intentions and several studies found gender difference using theory of planned behavior to determine individuals purchase intentions </w:t>
      </w:r>
      <w:r w:rsidR="000F407D" w:rsidRPr="00A04B5D">
        <w:rPr>
          <w:color w:val="FF0000"/>
        </w:rPr>
        <w:fldChar w:fldCharType="begin" w:fldLock="1"/>
      </w:r>
      <w:r w:rsidR="00B12E5D" w:rsidRPr="00A04B5D">
        <w:rPr>
          <w:color w:val="FF0000"/>
        </w:rPr>
        <w:instrText>ADDIN CSL_CITATION {"citationItems":[{"id":"ITEM-1","itemData":{"DOI":"10.3390/ijerph16060956","ISSN":"16604601","PMID":"30884921","abstract":"In the last few years, the market of organically grown products (OGPs) has continued to grow due to speculated concerns for the environment, food safety and health issues. The market for OGPs in South Africa appears to be under threat; with their demand outstripping their supply. In light of this background, there are relatively few studies on the consumer purchase intentions of OGPs in South Africa, and thus, less understanding about its demand market drivers. The purpose of this paper is to identify the factors influencing the purchase intentions of OGPs (fruits and vegetables) in Shelly Centre in Port Shepstone in Kwa-Zulu Natal Province of South Africa. Using a quantitative descriptive cross-sectional research design, a hundred and fifty (150) OGP consumers were selected through a systematic random sampling technique from three accredited OGP retail outlets namely Pick n’ Pay, Spar and Woolworths. Generally, descriptive results show that the interviewed consumers in Shelly Centre were reasonably educated and knowledgeable about OGPs. A higher proportion of the interviewed consumers in Shelly Centre consisted of women, employed and not of African descendant (ethnic group) consumers. Most were confident that OGPs are environmentally friendly, safe, high-quality products, and have a better taste compared to conventionally grown food products. A somewhat fair proportion expressed mixed feelings concerning the belief that OGPs are priced higher, their appeal to nature (smell), and their willingness to purchase OGPs regardless of price. Nonetheless, most were adamant that OGPs are difficult to find on the market. A multiple regression model analysis results reveal that consumer demographics; ethnicity (not of African descent) (p &lt; 0.001), and monthly household income (p &lt; 0.05) are statistically significant and positively influence the consumer purchase intentions of OGPs in Shelly Centre. Conversely, consumer perceptions that OGPs are priced higher (p &lt; 0.05), have a better taste and of quality (p &lt; 0.001), and the difficulty to find on the market (p &lt; 0.001) are statistically significant and negatively influence the consumer purchase intentions of OGPs in Shelly Centre. The findings of this paper stress the need to design strategies and elements (marketing mix) to make OGPs affordable and readily available to consumers. Likewise, consumers from all ethnic groups and income levels need to be conscious of the environmental and health benefits of OGPs to m…","author":[{"dropping-particle":"","family":"Wekeza","given":"Siphelele Vincent","non-dropping-particle":"","parse-names":false,"suffix":""},{"dropping-particle":"","family":"Sibanda","given":"Melusi","non-dropping-particle":"","parse-names":false,"suffix":""}],"container-title":"International Journal of Environmental Research and Public Health","id":"ITEM-1","issue":"6","issued":{"date-parts":[["2019"]]},"page":"26","title":"Factors influencing consumer purchase intentions of organically grown products in shelly centre, port shepstone, South Africa","type":"article-journal","volume":"16"},"uris":["http://www.mendeley.com/documents/?uuid=5015ec12-b9da-4166-a756-8b2c9a003518","http://www.mendeley.com/documents/?uuid=abc05d9a-ec5b-4397-9aaa-d86b18fecb48"]},{"id":"ITEM-2","itemData":{"DOI":"10.1007/s12525-014-0153-y","ISSN":"14228890","abstract":"Personalized services are diffusing rapidly in online shopping communities. However, the current understanding of the influence of personalization is limited. This study extends personalization literature into the area of emotions related to intention to purchase and into the context of online shopping. Responses from 182 online shoppers were used to examine the impact of personalization on customer emotions and intention to purchase. The results show that there is a direct positive association between personalization and purchase intentions. In addition, provision of personalization features in e-shops may evoke positive emotions to online shoppers but does not evoke nor mitigate negative ones. Finally, our study reports that emotions influence online shopping behavior either positively, through the formulation of positive emotions, or negatively, through negative emotions. These findings indicate that positive emotions mediate the relationship between personalization and purchase intentions. Our study concludes with a critical appraisal of our findings and a discussion of prospective theoretical and managerial implications for e-shop practitioners.","author":[{"dropping-particle":"","family":"Pappas","given":"Ilias O.","non-dropping-particle":"","parse-names":false,"suffix":""},{"dropping-particle":"","family":"Kourouthanassis","given":"Panos E.","non-dropping-particle":"","parse-names":false,"suffix":""},{"dropping-particle":"","family":"Giannakos","given":"Michail N.","non-dropping-particle":"","parse-names":false,"suffix":""},{"dropping-particle":"","family":"Chrissikopoulos","given":"Vassilios","non-dropping-particle":"","parse-names":false,"suffix":""}],"container-title":"Electronic Markets","id":"ITEM-2","issue":"3","issued":{"date-parts":[["2014"]]},"page":"193-206","title":"Shiny happy people buying: the role of emotions on personalized e-shopping","type":"article-journal","volume":"24"},"uris":["http://www.mendeley.com/documents/?uuid=5523b5e0-74a0-4a79-b32c-5b915d8cb2d7","http://www.mendeley.com/documents/?uuid=ab08378e-806a-4037-9f1c-2de583ae3172","http://www.mendeley.com/documents/?uuid=f87e6b68-f057-40ef-885d-d2e795b1e9cb"]}],"mendeley":{"formattedCitation":"(Pappas et al., 2014; Wekeza and Sibanda, 2019)","plainTextFormattedCitation":"(Pappas et al., 2014; Wekeza and Sibanda, 2019)","previouslyFormattedCitation":"(Pappas et al., 2014; Wekeza and Sibanda, 2019)"},"properties":{"noteIndex":0},"schema":"https://github.com/citation-style-language/schema/raw/master/csl-citation.json"}</w:instrText>
      </w:r>
      <w:r w:rsidR="000F407D" w:rsidRPr="00A04B5D">
        <w:rPr>
          <w:color w:val="FF0000"/>
        </w:rPr>
        <w:fldChar w:fldCharType="separate"/>
      </w:r>
      <w:r w:rsidR="000F407D" w:rsidRPr="00A04B5D">
        <w:rPr>
          <w:noProof/>
          <w:color w:val="FF0000"/>
        </w:rPr>
        <w:t>(Pappas et al., 2014; Wekeza and Sibanda, 2019)</w:t>
      </w:r>
      <w:r w:rsidR="000F407D" w:rsidRPr="00A04B5D">
        <w:rPr>
          <w:color w:val="FF0000"/>
        </w:rPr>
        <w:fldChar w:fldCharType="end"/>
      </w:r>
      <w:r w:rsidR="00035B43" w:rsidRPr="00A04B5D">
        <w:rPr>
          <w:color w:val="FF0000"/>
        </w:rPr>
        <w:t xml:space="preserve">. </w:t>
      </w:r>
      <w:r w:rsidR="000F407D" w:rsidRPr="00A04B5D">
        <w:rPr>
          <w:color w:val="FF0000"/>
        </w:rPr>
        <w:t xml:space="preserve">Based on the consumer behavior theories mentioned above, several variables </w:t>
      </w:r>
      <w:r w:rsidR="00E6224D">
        <w:rPr>
          <w:color w:val="FF0000"/>
        </w:rPr>
        <w:t>a</w:t>
      </w:r>
      <w:r w:rsidR="000F407D" w:rsidRPr="00A04B5D">
        <w:rPr>
          <w:color w:val="FF0000"/>
        </w:rPr>
        <w:t>ffect the consumer purchase intentions</w:t>
      </w:r>
      <w:r w:rsidR="00E6224D">
        <w:rPr>
          <w:color w:val="FF0000"/>
        </w:rPr>
        <w:t>,</w:t>
      </w:r>
      <w:r w:rsidR="000F407D" w:rsidRPr="00A04B5D">
        <w:rPr>
          <w:color w:val="FF0000"/>
        </w:rPr>
        <w:t xml:space="preserve"> gender, employment status </w:t>
      </w:r>
      <w:r w:rsidR="000F407D" w:rsidRPr="00A04B5D">
        <w:rPr>
          <w:color w:val="FF0000"/>
        </w:rPr>
        <w:fldChar w:fldCharType="begin" w:fldLock="1"/>
      </w:r>
      <w:r w:rsidR="00B12E5D" w:rsidRPr="00A04B5D">
        <w:rPr>
          <w:color w:val="FF0000"/>
        </w:rPr>
        <w:instrText>ADDIN CSL_CITATION {"citationItems":[{"id":"ITEM-1","itemData":{"DOI":"10.3390/ijerph16060956","ISSN":"16604601","PMID":"30884921","abstract":"In the last few years, the market of organically grown products (OGPs) has continued to grow due to speculated concerns for the environment, food safety and health issues. The market for OGPs in South Africa appears to be under threat; with their demand outstripping their supply. In light of this background, there are relatively few studies on the consumer purchase intentions of OGPs in South Africa, and thus, less understanding about its demand market drivers. The purpose of this paper is to identify the factors influencing the purchase intentions of OGPs (fruits and vegetables) in Shelly Centre in Port Shepstone in Kwa-Zulu Natal Province of South Africa. Using a quantitative descriptive cross-sectional research design, a hundred and fifty (150) OGP consumers were selected through a systematic random sampling technique from three accredited OGP retail outlets namely Pick n’ Pay, Spar and Woolworths. Generally, descriptive results show that the interviewed consumers in Shelly Centre were reasonably educated and knowledgeable about OGPs. A higher proportion of the interviewed consumers in Shelly Centre consisted of women, employed and not of African descendant (ethnic group) consumers. Most were confident that OGPs are environmentally friendly, safe, high-quality products, and have a better taste compared to conventionally grown food products. A somewhat fair proportion expressed mixed feelings concerning the belief that OGPs are priced higher, their appeal to nature (smell), and their willingness to purchase OGPs regardless of price. Nonetheless, most were adamant that OGPs are difficult to find on the market. A multiple regression model analysis results reveal that consumer demographics; ethnicity (not of African descent) (p &lt; 0.001), and monthly household income (p &lt; 0.05) are statistically significant and positively influence the consumer purchase intentions of OGPs in Shelly Centre. Conversely, consumer perceptions that OGPs are priced higher (p &lt; 0.05), have a better taste and of quality (p &lt; 0.001), and the difficulty to find on the market (p &lt; 0.001) are statistically significant and negatively influence the consumer purchase intentions of OGPs in Shelly Centre. The findings of this paper stress the need to design strategies and elements (marketing mix) to make OGPs affordable and readily available to consumers. Likewise, consumers from all ethnic groups and income levels need to be conscious of the environmental and health benefits of OGPs to m…","author":[{"dropping-particle":"","family":"Wekeza","given":"Siphelele Vincent","non-dropping-particle":"","parse-names":false,"suffix":""},{"dropping-particle":"","family":"Sibanda","given":"Melusi","non-dropping-particle":"","parse-names":false,"suffix":""}],"container-title":"International Journal of Environmental Research and Public Health","id":"ITEM-1","issue":"6","issued":{"date-parts":[["2019"]]},"page":"26","title":"Factors influencing consumer purchase intentions of organically grown products in shelly centre, port shepstone, South Africa","type":"article-journal","volume":"16"},"uris":["http://www.mendeley.com/documents/?uuid=5015ec12-b9da-4166-a756-8b2c9a003518","http://www.mendeley.com/documents/?uuid=abc05d9a-ec5b-4397-9aaa-d86b18fecb48"]}],"mendeley":{"formattedCitation":"(Wekeza and Sibanda, 2019)","plainTextFormattedCitation":"(Wekeza and Sibanda, 2019)","previouslyFormattedCitation":"(Wekeza and Sibanda, 2019)"},"properties":{"noteIndex":0},"schema":"https://github.com/citation-style-language/schema/raw/master/csl-citation.json"}</w:instrText>
      </w:r>
      <w:r w:rsidR="000F407D" w:rsidRPr="00A04B5D">
        <w:rPr>
          <w:color w:val="FF0000"/>
        </w:rPr>
        <w:fldChar w:fldCharType="separate"/>
      </w:r>
      <w:r w:rsidR="000F407D" w:rsidRPr="00A04B5D">
        <w:rPr>
          <w:noProof/>
          <w:color w:val="FF0000"/>
        </w:rPr>
        <w:t>(Wekeza and Sibanda, 2019)</w:t>
      </w:r>
      <w:r w:rsidR="000F407D" w:rsidRPr="00A04B5D">
        <w:rPr>
          <w:color w:val="FF0000"/>
        </w:rPr>
        <w:fldChar w:fldCharType="end"/>
      </w:r>
      <w:r w:rsidR="00035B43" w:rsidRPr="00A04B5D">
        <w:rPr>
          <w:color w:val="FF0000"/>
        </w:rPr>
        <w:t>.</w:t>
      </w:r>
      <w:r w:rsidR="00A04B5D">
        <w:rPr>
          <w:color w:val="FF0000"/>
        </w:rPr>
        <w:t xml:space="preserve"> </w:t>
      </w:r>
      <w:r w:rsidRPr="00A47AEA">
        <w:t>Therefore, it can be summari</w:t>
      </w:r>
      <w:r w:rsidR="00E6224D">
        <w:t>zed in simple words that anxiety, confidence, attitude, etc., influence females' behavioral intention</w:t>
      </w:r>
      <w:r w:rsidR="00BA78C8">
        <w:t>. The previous studies' claims that there are significant gender differences towards acceptance of technology or internet banking seem</w:t>
      </w:r>
      <w:r w:rsidRPr="00A47AEA">
        <w:t xml:space="preserve"> logical. Therefore, it is relevant to find the differences regarding mobile banking acceptance too. Based on this</w:t>
      </w:r>
      <w:r w:rsidR="0020439A">
        <w:t>,</w:t>
      </w:r>
      <w:r w:rsidRPr="00A47AEA">
        <w:t xml:space="preserve"> the literature review further </w:t>
      </w:r>
      <w:r w:rsidRPr="00A47AEA">
        <w:rPr>
          <w:lang w:val="en-US"/>
        </w:rPr>
        <w:t xml:space="preserve">identifies the relationship between gender and UTAUT2 components. The study </w:t>
      </w:r>
      <w:r w:rsidR="00BA78C8">
        <w:rPr>
          <w:lang w:val="en-US"/>
        </w:rPr>
        <w:t>also</w:t>
      </w:r>
      <w:r w:rsidRPr="00A47AEA">
        <w:rPr>
          <w:lang w:val="en-US"/>
        </w:rPr>
        <w:t xml:space="preserve"> related each component with gender differences found in related fields. </w:t>
      </w:r>
    </w:p>
    <w:p w14:paraId="2DDE3140" w14:textId="537A4552" w:rsidR="00A47AEA" w:rsidRPr="00A47AEA" w:rsidRDefault="00A47AEA" w:rsidP="00A47AEA">
      <w:pPr>
        <w:rPr>
          <w:lang w:val="en-US"/>
        </w:rPr>
      </w:pPr>
      <w:r w:rsidRPr="00A47AEA">
        <w:rPr>
          <w:lang w:val="en-US"/>
        </w:rPr>
        <w:t>According to Venkatesh et al</w:t>
      </w:r>
      <w:r w:rsidR="00E45BD4">
        <w:rPr>
          <w:lang w:val="en-US"/>
        </w:rPr>
        <w:t>.</w:t>
      </w:r>
      <w:r w:rsidRPr="00A47AEA">
        <w:rPr>
          <w:lang w:val="en-US"/>
        </w:rPr>
        <w:t xml:space="preserve"> </w:t>
      </w:r>
      <w:r w:rsidRPr="00A47AEA">
        <w:rPr>
          <w:lang w:val="en-US"/>
        </w:rPr>
        <w:fldChar w:fldCharType="begin" w:fldLock="1"/>
      </w:r>
      <w:r w:rsidR="0075274F">
        <w:rPr>
          <w:lang w:val="en-U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suppress-author":1,"uris":["http://www.mendeley.com/documents/?uuid=07f868c3-3adf-4f1e-91bf-d93a91d07210"]}],"mendeley":{"formattedCitation":"(2003)","plainTextFormattedCitation":"(2003)","previouslyFormattedCitation":"(2003)"},"properties":{"noteIndex":0},"schema":"https://github.com/citation-style-language/schema/raw/master/csl-citation.json"}</w:instrText>
      </w:r>
      <w:r w:rsidRPr="00A47AEA">
        <w:rPr>
          <w:lang w:val="en-US"/>
        </w:rPr>
        <w:fldChar w:fldCharType="separate"/>
      </w:r>
      <w:r w:rsidR="005D2834" w:rsidRPr="005D2834">
        <w:rPr>
          <w:noProof/>
          <w:lang w:val="en-US"/>
        </w:rPr>
        <w:t>(2003)</w:t>
      </w:r>
      <w:r w:rsidRPr="00A47AEA">
        <w:rPr>
          <w:lang w:val="en-US"/>
        </w:rPr>
        <w:fldChar w:fldCharType="end"/>
      </w:r>
      <w:r w:rsidRPr="00A47AEA">
        <w:rPr>
          <w:lang w:val="en-US"/>
        </w:rPr>
        <w:t>, the relationship between behavioral intention and performance expectancy, effort expectancy</w:t>
      </w:r>
      <w:r w:rsidR="0020439A">
        <w:rPr>
          <w:lang w:val="en-US"/>
        </w:rPr>
        <w:t>,</w:t>
      </w:r>
      <w:r w:rsidRPr="00A47AEA">
        <w:rPr>
          <w:lang w:val="en-US"/>
        </w:rPr>
        <w:t xml:space="preserve"> and social influence individually are moderately influenced by gender difference</w:t>
      </w:r>
      <w:r w:rsidR="0020439A">
        <w:rPr>
          <w:lang w:val="en-US"/>
        </w:rPr>
        <w:t>,</w:t>
      </w:r>
      <w:r w:rsidRPr="00A47AEA">
        <w:rPr>
          <w:lang w:val="en-US"/>
        </w:rPr>
        <w:t xml:space="preserve"> and the designed model confirmed gender as an integral part of UTAUT. </w:t>
      </w:r>
      <w:r w:rsidRPr="00A47AEA">
        <w:t xml:space="preserve">Social norms affect acceptance more powerfully among female respondents than male </w:t>
      </w:r>
      <w:r w:rsidRPr="00A47AEA">
        <w:fldChar w:fldCharType="begin" w:fldLock="1"/>
      </w:r>
      <w:r w:rsidR="00B16657">
        <w:instrText>ADDIN CSL_CITATION {"citationItems":[{"id":"ITEM-1","itemData":{"DOI":"10.1108/02652321011064872","ISBN":"1463715071083","ISSN":"02652323","abstract":"Purpose – This paper seeks to test the factors that can influence adoption of mobile banking among current users of internet banking in Singapore and gender as a moderating variable. Design/ methodology/ approach – A sample of more than 600 current users of electronic banking provided opinions about their intention to use mobile banking, perceptions of relative advantage of the mobile device, perception of risk, social norms, ease of use and usefulness of the device for banking purposes. The data were submitted to LISREL for structural equation modeling. Findings – Usefulness, social norms and social risk, in this order, are the factors that influence the intention to adopt mobile banking services the most. Ease of use has a stronger influence on female respondents than male, whereas relative advantage has a stronger effect on perception of usefulness on male respondents. Social norms (or the importance of others in the decision), also influence adoption more strongly among female respondents than male. Research limitations/implications – The sample is biased towards people who are currently using internet for banking. However, mobile banking innovators may not come mainly from current users of internet banking. Practical implications – Since gender plays a moderating role in the perception of ease of use, social norms and relative advantage, companies are advised to target their communication tactics according to gender. Social norm is more important to females than males as well as ease of use, whereas, relative advantage is more important for males. Originality/ value – The study purposefully uses gender as a moderator and risk as an independent variable not often considered in previous studies. © 2010, Emerald Group Publishing Limited","author":[{"dropping-particle":"","family":"Riquelme","given":"Hernan E.","non-dropping-particle":"","parse-names":false,"suffix":""},{"dropping-particle":"","family":"Rios","given":"Rosa E.","non-dropping-particle":"","parse-names":false,"suffix":""}],"container-title":"International Journal of Bank Marketing","id":"ITEM-1","issue":"5","issued":{"date-parts":[["2010"]]},"page":"328-341","title":"The moderating effect of gender in the adoption of mobile banking","type":"article-journal","volume":"28"},"uris":["http://www.mendeley.com/documents/?uuid=c8eda525-3ccf-47b9-9578-1f1ec1a36c54","http://www.mendeley.com/documents/?uuid=8feb5a6c-e262-4cf4-a6aa-e321a44103ba"]}],"mendeley":{"formattedCitation":"(Riquelme and Rios, 2010)","plainTextFormattedCitation":"(Riquelme and Rios, 2010)","previouslyFormattedCitation":"(Riquelme and Rios, 2010)"},"properties":{"noteIndex":0},"schema":"https://github.com/citation-style-language/schema/raw/master/csl-citation.json"}</w:instrText>
      </w:r>
      <w:r w:rsidRPr="00A47AEA">
        <w:fldChar w:fldCharType="separate"/>
      </w:r>
      <w:r w:rsidR="00AF2B42" w:rsidRPr="00AF2B42">
        <w:rPr>
          <w:noProof/>
        </w:rPr>
        <w:t>(Riquelme and Rios, 2010)</w:t>
      </w:r>
      <w:r w:rsidRPr="00A47AEA">
        <w:rPr>
          <w:lang w:val="en-US"/>
        </w:rPr>
        <w:fldChar w:fldCharType="end"/>
      </w:r>
      <w:r w:rsidRPr="00A47AEA">
        <w:t>.</w:t>
      </w:r>
      <w:r w:rsidRPr="00A47AEA">
        <w:rPr>
          <w:lang w:val="en-US"/>
        </w:rPr>
        <w:t xml:space="preserve"> Hence, proving the relevance of gender to determine technology usage and acceptance. Similarly, other studies </w:t>
      </w:r>
      <w:r w:rsidR="00E6224D">
        <w:rPr>
          <w:lang w:val="en-US"/>
        </w:rPr>
        <w:t>that</w:t>
      </w:r>
      <w:r w:rsidRPr="00A47AEA">
        <w:rPr>
          <w:lang w:val="en-US"/>
        </w:rPr>
        <w:t xml:space="preserve"> adapted and applied UTAUT and/or UTAUT2 also confirmed that gender has </w:t>
      </w:r>
      <w:r w:rsidR="00E6224D">
        <w:rPr>
          <w:lang w:val="en-US"/>
        </w:rPr>
        <w:t xml:space="preserve">a </w:t>
      </w:r>
      <w:r w:rsidRPr="00A47AEA">
        <w:rPr>
          <w:lang w:val="en-US"/>
        </w:rPr>
        <w:t xml:space="preserve">significant moderate influence on user adoption </w:t>
      </w:r>
      <w:r w:rsidRPr="00A47AEA">
        <w:rPr>
          <w:lang w:val="en-US"/>
        </w:rPr>
        <w:fldChar w:fldCharType="begin" w:fldLock="1"/>
      </w:r>
      <w:r w:rsidR="00B12E5D">
        <w:rPr>
          <w:lang w:val="en-US"/>
        </w:rPr>
        <w:instrText>ADDIN CSL_CITATION {"citationItems":[{"id":"ITEM-1","itemData":{"DOI":"10.1.1.92.2520","ISBN":"15266133","ISSN":"15266133","abstract":"When it comes to mobile communication technology, China is the largest market in the world. However, due to its rapidly changing economic environment causing disparities between geographical regions, it presents unique marketing problems. In order to attain a better understanding of China as a potentially highly valuable mobile communication technology market, we conducted a survey of 221 Chinese nationals and tested a proposed conceptual framework based on UTAUT with moderating variables. The results from SEM multi-group analysis indicate that gender and education level are significant moderating factors while internet usage experience does not register as significant. The results of this research suggest the necessity to take cultural background and disposition into consideration for the UTAUT. [PUBLICATION ABSTRACT]","author":[{"dropping-particle":"","family":"Park","given":"JungKun","non-dropping-particle":"","parse-names":false,"suffix":""},{"dropping-particle":"","family":"Yang","given":"SuJin","non-dropping-particle":"","parse-names":false,"suffix":""},{"dropping-particle":"","family":"Lehto","given":"Xinran","non-dropping-particle":"","parse-names":false,"suffix":""}],"container-title":"Journal of Electronic Commerce Research","id":"ITEM-1","issue":"3","issued":{"date-parts":[["2007"]]},"page":"196-206","title":"Adoption of Mobile Technologies for Chinese Consumers","type":"article-journal","volume":"8"},"uris":["http://www.mendeley.com/documents/?uuid=2cf87e96-8557-4dcb-9743-056fbd0526ab"]}],"mendeley":{"formattedCitation":"(Park et al., 2007)","plainTextFormattedCitation":"(Park et al., 2007)","previouslyFormattedCitation":"(Park et al., 2007)"},"properties":{"noteIndex":0},"schema":"https://github.com/citation-style-language/schema/raw/master/csl-citation.json"}</w:instrText>
      </w:r>
      <w:r w:rsidRPr="00A47AEA">
        <w:rPr>
          <w:lang w:val="en-US"/>
        </w:rPr>
        <w:fldChar w:fldCharType="separate"/>
      </w:r>
      <w:r w:rsidR="007F49C2" w:rsidRPr="007F49C2">
        <w:rPr>
          <w:noProof/>
          <w:lang w:val="en-US"/>
        </w:rPr>
        <w:t>(Park et al., 2007)</w:t>
      </w:r>
      <w:r w:rsidRPr="00A47AEA">
        <w:rPr>
          <w:lang w:val="en-US"/>
        </w:rPr>
        <w:fldChar w:fldCharType="end"/>
      </w:r>
      <w:r w:rsidRPr="00A47AEA">
        <w:rPr>
          <w:lang w:val="en-US"/>
        </w:rPr>
        <w:t xml:space="preserve"> as well as </w:t>
      </w:r>
      <w:r w:rsidRPr="00A47AEA">
        <w:t xml:space="preserve">performance expectancy and effort expectancy on behavior intention have </w:t>
      </w:r>
      <w:r w:rsidR="00BA78C8">
        <w:t>a</w:t>
      </w:r>
      <w:r w:rsidRPr="00A47AEA">
        <w:t xml:space="preserve"> moderate impact o</w:t>
      </w:r>
      <w:r w:rsidR="00E6224D">
        <w:t>f</w:t>
      </w:r>
      <w:r w:rsidRPr="00A47AEA">
        <w:t xml:space="preserve"> gender </w:t>
      </w:r>
      <w:r w:rsidRPr="00A47AEA">
        <w:fldChar w:fldCharType="begin" w:fldLock="1"/>
      </w:r>
      <w:r w:rsidR="00B16657">
        <w:instrText>ADDIN CSL_CITATION {"citationItems":[{"id":"ITEM-1","itemData":{"DOI":"10.1016/j.jbef.2018.01.008","ISSN":"22146369","abstract":"The study aims to investigate the impact of M-Shwari financial services on small scale traders in Kenya. A number of hypotheses were developed and tested to find out the role of various moderators; such as age, gender, religious beliefs, trust and social influences on the behavioural intention of these traders. The study has investigated the interaction among various moderators that affect the behavioural intention of this target group. The study found that gender moderates the effects of performance expectancy and effort expectancy on behaviour intention. Similarly, the impact of religious beliefs was also moderate on behaviour intention. The interaction between behavioural intention, age, and gender affect the use of behaviour of M-Shwari loan services. The research has made some notable contributions to the provision of mobile-banking and microfinance services to small traders in Kenya.","author":[{"dropping-particle":"","family":"Warsame","given":"Mohammed Hersi","non-dropping-particle":"","parse-names":false,"suffix":""},{"dropping-particle":"","family":"Ireri","given":"Edward Mugambi","non-dropping-particle":"","parse-names":false,"suffix":""}],"container-title":"Journal of Behavioral and Experimental Finance","id":"ITEM-1","issued":{"date-parts":[["2018"]]},"page":"67-75","publisher":"Elsevier B.V.","title":"Moderation effect on mobile microfinance services in Kenya:An extended UTAUT model","type":"article-journal","volume":"18"},"uris":["http://www.mendeley.com/documents/?uuid=9cfac3e8-6c36-47ee-9b38-f5af6919e095","http://www.mendeley.com/documents/?uuid=b5b32fcc-bcaa-42dc-8da2-d04d0888fdf3"]}],"mendeley":{"formattedCitation":"(Warsame and Ireri, 2018)","plainTextFormattedCitation":"(Warsame and Ireri, 2018)","previouslyFormattedCitation":"(Warsame and Ireri, 2018)"},"properties":{"noteIndex":0},"schema":"https://github.com/citation-style-language/schema/raw/master/csl-citation.json"}</w:instrText>
      </w:r>
      <w:r w:rsidRPr="00A47AEA">
        <w:fldChar w:fldCharType="separate"/>
      </w:r>
      <w:r w:rsidR="00AF2B42" w:rsidRPr="00AF2B42">
        <w:rPr>
          <w:noProof/>
        </w:rPr>
        <w:t>(Warsame and Ireri, 2018)</w:t>
      </w:r>
      <w:r w:rsidRPr="00A47AEA">
        <w:rPr>
          <w:lang w:val="en-US"/>
        </w:rPr>
        <w:fldChar w:fldCharType="end"/>
      </w:r>
      <w:r w:rsidRPr="00A47AEA">
        <w:t>.</w:t>
      </w:r>
      <w:r w:rsidRPr="00A47AEA">
        <w:rPr>
          <w:lang w:val="en-US"/>
        </w:rPr>
        <w:t xml:space="preserve"> </w:t>
      </w:r>
      <w:r w:rsidRPr="00A47AEA">
        <w:t>Behavioral intention is more positively influence</w:t>
      </w:r>
      <w:r w:rsidR="00E45BD4">
        <w:t>d</w:t>
      </w:r>
      <w:r w:rsidRPr="00A47AEA">
        <w:t xml:space="preserve"> by personal innovativeness for males than females </w:t>
      </w:r>
      <w:r w:rsidRPr="00A47AEA">
        <w:fldChar w:fldCharType="begin" w:fldLock="1"/>
      </w:r>
      <w:r w:rsidR="00B16657">
        <w:instrText>ADDIN CSL_CITATION {"citationItems":[{"id":"ITEM-1","itemData":{"DOI":"10.1108/IntR-02-2014-0053","ISSN":"10662243","abstract":"Purpose – The purpose of this paper is to examine how consumers’ value evaluation and personality factors influence consumers’ intention to adopt mobile coupon (M-coupon) applications in China. The moderating effect of gender on the relationships between personality factors and consumers’ adoption intention is also tested. Design/methodology/approach – This study conducted a survey to collect data from M-coupon application users. In total, 271 valid responses were analyzed using structural equation modeling (SEM) technology. Findings – The results indicate that perceived value, personal innovativeness, and coupon proneness positively affect consumers’ acceptance of M-coupon applications. Personal innovativeness has more positive impact on behavioral intention for males than for females. However, the differential effects of coupon proneness on behavioral intention are not significant between males and females. In addition, the findings show that perceived convenience, perceived enjoyment, and perceived money savings positively influence perceived value, whereas perceived fees and perceived privacy risk negatively influence it. Practical implications – This study helps M-coupon application providers to identify who is positive toward their services and how to improve consumers’ perceived value of the services, eventually expanding their user base. Originality/value – Prior studies mainly focussed on the usage behavior of M-coupons and overlooked the important role of M-coupon applications in promoting M-coupon use. This research fills this gap. The research findings offer insights into the factors influencing consumers’ behavioral intention to adopt M-coupon applications. Besides, the results of gender’s moderating effect advance the understanding of the differences in males’ coupon usage intentions between the contexts of M-coupon applications and paper-based coupon services, which enrich couponing research.","author":[{"dropping-particle":"","family":"Liu","given":"Fen","non-dropping-particle":"","parse-names":false,"suffix":""},{"dropping-particle":"","family":"Zhao","given":"Xuefeng","non-dropping-particle":"","parse-names":false,"suffix":""},{"dropping-particle":"","family":"Chau","given":"Patrick Y.K.","non-dropping-particle":"","parse-names":false,"suffix":""},{"dropping-particle":"","family":"Tang","given":"Qing","non-dropping-particle":"","parse-names":false,"suffix":""}],"container-title":"Internet Research","id":"ITEM-1","issue":"3","issued":{"date-parts":[["2015"]]},"page":"471-495","title":"Roles of perceived value and individual differences in the acceptance of mobile coupon applications","type":"article-journal","volume":"25"},"uris":["http://www.mendeley.com/documents/?uuid=3fbaeb4f-520e-40d5-9c0d-f100044a1f99","http://www.mendeley.com/documents/?uuid=fdee0c7b-3e7c-4828-9343-15cf95a651a2"]}],"mendeley":{"formattedCitation":"(Liu et al., 2015)","plainTextFormattedCitation":"(Liu et al., 2015)","previouslyFormattedCitation":"(Liu et al., 2015)"},"properties":{"noteIndex":0},"schema":"https://github.com/citation-style-language/schema/raw/master/csl-citation.json"}</w:instrText>
      </w:r>
      <w:r w:rsidRPr="00A47AEA">
        <w:fldChar w:fldCharType="separate"/>
      </w:r>
      <w:r w:rsidR="00AF2B42" w:rsidRPr="00AF2B42">
        <w:rPr>
          <w:noProof/>
        </w:rPr>
        <w:t>(Liu et al., 2015)</w:t>
      </w:r>
      <w:r w:rsidRPr="00A47AEA">
        <w:rPr>
          <w:lang w:val="en-US"/>
        </w:rPr>
        <w:fldChar w:fldCharType="end"/>
      </w:r>
      <w:r w:rsidRPr="00A47AEA">
        <w:t xml:space="preserve">. A study reflects </w:t>
      </w:r>
      <w:r w:rsidR="00E6224D">
        <w:t>users' gender</w:t>
      </w:r>
      <w:r w:rsidRPr="00A47AEA">
        <w:t xml:space="preserve"> ha</w:t>
      </w:r>
      <w:r w:rsidR="00E45BD4">
        <w:t>s</w:t>
      </w:r>
      <w:r w:rsidRPr="00A47AEA">
        <w:t xml:space="preserve"> a significant moderating impact on </w:t>
      </w:r>
      <w:r w:rsidR="00E6224D">
        <w:t>social media sites' evaluation and usage behavior</w:t>
      </w:r>
      <w:r w:rsidRPr="00A47AEA">
        <w:t xml:space="preserve"> </w:t>
      </w:r>
      <w:r w:rsidRPr="00A47AEA">
        <w:fldChar w:fldCharType="begin" w:fldLock="1"/>
      </w:r>
      <w:r w:rsidR="00B16657">
        <w:instrText>ADDIN CSL_CITATION {"citationItems":[{"id":"ITEM-1","itemData":{"DOI":"10.1080/08911762.2017.1308615","ISSN":"15286975","abstract":"This study investigates how the user's gender and hedonic usage motive differences influence evaluation and usage of social media sites. This study develops and tests a conceptual model that captures the relationship among four social media site usage determining factors, social media involvement, satisfaction, and usage intention. The moderating role of two user characteristics on the social media site usage behavior is also empirically tested. Structural equation analysis results show significant moderating effects of gender and the hedonic usage motive of users on the evaluation and usage behavior of social media sites. Managerial implications and future research directions are discussed.","author":[{"dropping-particle":"","family":"Lim","given":"Jeen Su","non-dropping-particle":"","parse-names":false,"suffix":""},{"dropping-particle":"","family":"Heinrichs","given":"John H.","non-dropping-particle":"","parse-names":false,"suffix":""},{"dropping-particle":"","family":"Lim","given":"Kee Sook","non-dropping-particle":"","parse-names":false,"suffix":""}],"container-title":"Journal of Global Marketing","id":"ITEM-1","issue":"3","issued":{"date-parts":[["2017"]]},"page":"161-173","publisher":"Taylor &amp; Francis","title":"Gender and Hedonic Usage Motive Differences in Social Media Site Usage Behavior","type":"article-journal","volume":"30"},"uris":["http://www.mendeley.com/documents/?uuid=72be3426-3237-4553-a242-29c1a9195640","http://www.mendeley.com/documents/?uuid=26b4ced2-31b6-4d04-ac74-7f1542afa385"]}],"mendeley":{"formattedCitation":"(Lim et al., 2017)","plainTextFormattedCitation":"(Lim et al., 2017)","previouslyFormattedCitation":"(Lim et al., 2017)"},"properties":{"noteIndex":0},"schema":"https://github.com/citation-style-language/schema/raw/master/csl-citation.json"}</w:instrText>
      </w:r>
      <w:r w:rsidRPr="00A47AEA">
        <w:fldChar w:fldCharType="separate"/>
      </w:r>
      <w:r w:rsidR="00AF2B42" w:rsidRPr="00AF2B42">
        <w:rPr>
          <w:noProof/>
        </w:rPr>
        <w:t>(Lim et al., 2017)</w:t>
      </w:r>
      <w:r w:rsidRPr="00A47AEA">
        <w:rPr>
          <w:lang w:val="en-US"/>
        </w:rPr>
        <w:fldChar w:fldCharType="end"/>
      </w:r>
      <w:r w:rsidRPr="00A47AEA">
        <w:t xml:space="preserve">. Another study concluded that hedonic shopping among female consumers is predominantly higher in comparison to men. Thus, hedonic shopping behavior differs according to gender </w:t>
      </w:r>
      <w:r w:rsidRPr="00A47AEA">
        <w:fldChar w:fldCharType="begin" w:fldLock="1"/>
      </w:r>
      <w:r w:rsidR="007F49C2">
        <w:instrText>ADDIN CSL_CITATION {"citationItems":[{"id":"ITEM-1","itemData":{"abstract":"One of the most distinctive features of today’s modern consumption societies is the fact that the emotional side of consumption is becoming prominent. Brands’ symbolic meanings and the emotional values they add have become one of the most important means of securing a competitive advantage. Consumers in the modern age seek to derive pleasure from the experience of consumption and at the same time meet their needs. Hedonism, which has been defined as “an understanding that prioritizes delight as the ultimate goodness, a life doctrine focused on the pursuit of, and addiction to, delight,” comes into being as emotional satisfaction in particular preferences concerning taste, smell, sound, sight and touch, and these constitute the essential motives behind such consumption. In this study, hedonism is described within a theoretical framework that is based on the concepts of consumers and consumption, and consumers’ shopping habits are assessed in terms of the pleasure derived from shopping. In particular, the study attempts to bring to light any existing differences between female and male consumers in terms of the pleasure they get from shopping. Face to face survey methods were carried out in the city of Edirne in Turkey, the results of which were then analyzed to reveal and evaluate","author":[{"dropping-particle":"","family":"Kirgiz","given":"Ayc</w:instrText>
      </w:r>
      <w:r w:rsidR="007F49C2">
        <w:rPr>
          <w:rFonts w:ascii="Times New Roman" w:hAnsi="Times New Roman" w:cs="Times New Roman"/>
        </w:rPr>
        <w:instrText>̧</w:instrText>
      </w:r>
      <w:r w:rsidR="007F49C2">
        <w:instrText>a","non-dropping-particle":"","parse-names":false,"suffix":""}],"container-title":"Global Media Journal","id":"ITEM-1","issue":"8","issued":{"date-parts":[["2014"]]},"page":"200-213","title":"Hedonism, A consumer disease of the modern age: Gender and Hedonic shopping in Turkey","type":"article-journal","volume":"4"},"uris":["http://www.mendeley.com/documents/?uuid=760e36a3-2c64-4c80-8d39-7fa1806c689f","http://www.mendeley.com/documents/?uuid=c35a07df-a269-431c-aa6d-469cb604a32d"]}],"mendeley":{"formattedCitation":"(Kirgiz, 2014)","plainTextFormattedCitation":"(Kirgiz, 2014)","previouslyFormattedCitation":"(Kirgiz, 2014)"},"properties":{"noteIndex":0},"schema":"https://github.com/citation-style-language/schema/raw/master/csl-citation.json"}</w:instrText>
      </w:r>
      <w:r w:rsidRPr="00A47AEA">
        <w:fldChar w:fldCharType="separate"/>
      </w:r>
      <w:r w:rsidR="007F49C2" w:rsidRPr="007F49C2">
        <w:rPr>
          <w:noProof/>
        </w:rPr>
        <w:t>(Kirgiz, 2014)</w:t>
      </w:r>
      <w:r w:rsidRPr="00A47AEA">
        <w:rPr>
          <w:lang w:val="en-US"/>
        </w:rPr>
        <w:fldChar w:fldCharType="end"/>
      </w:r>
      <w:r w:rsidRPr="00A47AEA">
        <w:t>.</w:t>
      </w:r>
    </w:p>
    <w:p w14:paraId="401442BC" w14:textId="5D8E259E" w:rsidR="00A47AEA" w:rsidRPr="00A47AEA" w:rsidRDefault="00A47AEA" w:rsidP="00101684">
      <w:r w:rsidRPr="00A47AEA">
        <w:t xml:space="preserve">Some research denied the moderate influence of gender between the elements of mobile technology adoption and behavioral intention. It also tested the moderate effect of gender between the relationship of facilitating conditions on behavioral intention </w:t>
      </w:r>
      <w:r w:rsidRPr="00A47AEA">
        <w:fldChar w:fldCharType="begin" w:fldLock="1"/>
      </w:r>
      <w:r w:rsidR="007F49C2">
        <w:instrText>ADDIN CSL_CITATION {"citationItems":[{"id":"ITEM-1","itemData":{"DOI":"10.5829/idosi.wasj.2013.22.09.2748","ISSN":"18184952","abstract":"This research aims to investigate the factors that influence the behavioral intention of the adoption of Mobile Technology in the Learning Environment (MTLE) of Malaysia. The rapid growth of Third generation (3G) mobile technology has radically changed the lifestyle of our students. 3G mobile technology incorporates voice data and Internet access, making smart phones similar to personal computers. These mobile features attract the patronage of the entire student population. As a result, Malaysia has the second-highest number of phone users in the region. This study aims to identify the determinants that influence MTLE adoption and propose the incorporation of such technology into the educational environment of students and universities. A total of 351 participants from private universities participated in the study. The Modified Unified Theory of Acceptance and Use of Technology (UTAUT) model is adopted to determine the factors that influence the behavioral intention behind the use of MTLE. The result indicates that performance expectancy, affordability and pedagogy have a significant impact on student adoption of MTLE. Moreover, there is no significant effect on both age and gender as moderators is observed. This paper is a significant contribution to the UTUAT model. In addition, it addresses educational issues with regard to the shift from a traditional learning environment to a blended learning environment.© IDOSI Publications, 2013.","author":[{"dropping-particle":"","family":"Jambulingam","given":"Manimekalai","non-dropping-particle":"","parse-names":false,"suffix":""}],"container-title":"World Applied Sciences Journal","id":"ITEM-1","issue":"9","issued":{"date-parts":[["2013"]]},"page":"1262-1271","title":"Behavioural intention to adopt mobile technology among tertiary students","type":"article-journal","volume":"22"},"uris":["http://www.mendeley.com/documents/?uuid=966e0eec-f15f-45be-a601-716d7e413eda","http://www.mendeley.com/documents/?uuid=f38ee85a-3691-496c-a041-effe41616341"]}],"mendeley":{"formattedCitation":"(Jambulingam, 2013)","plainTextFormattedCitation":"(Jambulingam, 2013)","previouslyFormattedCitation":"(Jambulingam, 2013)"},"properties":{"noteIndex":0},"schema":"https://github.com/citation-style-language/schema/raw/master/csl-citation.json"}</w:instrText>
      </w:r>
      <w:r w:rsidRPr="00A47AEA">
        <w:fldChar w:fldCharType="separate"/>
      </w:r>
      <w:r w:rsidR="007F49C2" w:rsidRPr="007F49C2">
        <w:rPr>
          <w:noProof/>
        </w:rPr>
        <w:t>(Jambulingam, 2013)</w:t>
      </w:r>
      <w:r w:rsidRPr="00A47AEA">
        <w:rPr>
          <w:lang w:val="en-US"/>
        </w:rPr>
        <w:fldChar w:fldCharType="end"/>
      </w:r>
      <w:r w:rsidRPr="00A47AEA">
        <w:t xml:space="preserve">. Another study claims that there are no gender differences concerning mobile phone usage in the educational process </w:t>
      </w:r>
      <w:r w:rsidRPr="00A47AEA">
        <w:fldChar w:fldCharType="begin" w:fldLock="1"/>
      </w:r>
      <w:r w:rsidR="00B16657">
        <w:instrText>ADDIN CSL_CITATION {"citationItems":[{"id":"ITEM-1","itemData":{"DOI":"10.2304/elea.2012.9.4.419","ISSN":"17418887","abstract":"The primary purpose of this study is to determine the level of mobile phone applications in university classrooms in Jordan. A sample of 313 undergraduate students participated in the study by completing the researchers' designed questionnaire, which is composed of 13 items. The results of the study indicate that participants perceived a high level of mobile phone use for five items, a moderate level of use for five items, and a low level of use for three items. Overall, the students under study used mobile phones mainly to exchange education-related messages and academic files with classmates, search the Internet and library databases for academic materials, and hold discussions with classmates about missed lectures. Moreover, based on a t-test, significant differences were not found in the students' perceptions based on gender. The study ends by offering a number of recommendations for the field of study.","author":[{"dropping-particle":"","family":"Ashour","given":"Rateb","non-dropping-particle":"","parse-names":false,"suffix":""},{"dropping-particle":"","family":"Alzghool","given":"Haneen","non-dropping-particle":"","parse-names":false,"suffix":""},{"dropping-particle":"","family":"Iyadat","given":"Yousef","non-dropping-particle":"","parse-names":false,"suffix":""},{"dropping-particle":"","family":"Abu-Alruz","given":"Jamal","non-dropping-particle":"","parse-names":false,"suffix":""}],"container-title":"E-Learning and Digital Media","id":"ITEM-1","issue":"4","issued":{"date-parts":[["2012"]]},"page":"419-425","title":"Mobile phone applications in the university classroom: Perceptions of undergraduate students in Jordan","type":"article-journal","volume":"9"},"uris":["http://www.mendeley.com/documents/?uuid=4491e099-1f67-474d-ad83-37b0fd811537","http://www.mendeley.com/documents/?uuid=da1cfc8d-8167-4cbf-b23f-da356b104dd2"]}],"mendeley":{"formattedCitation":"(Ashour et al., 2012)","plainTextFormattedCitation":"(Ashour et al., 2012)","previouslyFormattedCitation":"(Ashour et al., 2012)"},"properties":{"noteIndex":0},"schema":"https://github.com/citation-style-language/schema/raw/master/csl-citation.json"}</w:instrText>
      </w:r>
      <w:r w:rsidRPr="00A47AEA">
        <w:fldChar w:fldCharType="separate"/>
      </w:r>
      <w:r w:rsidR="00AF2B42" w:rsidRPr="00AF2B42">
        <w:rPr>
          <w:noProof/>
        </w:rPr>
        <w:t>(Ashour et al., 2012)</w:t>
      </w:r>
      <w:r w:rsidRPr="00A47AEA">
        <w:rPr>
          <w:lang w:val="en-US"/>
        </w:rPr>
        <w:fldChar w:fldCharType="end"/>
      </w:r>
      <w:r w:rsidRPr="00A47AEA">
        <w:t>. Therefore, based on this mixed result, where various authors found gender has a significant mo</w:t>
      </w:r>
      <w:r w:rsidR="006648F3">
        <w:t>derate impact</w:t>
      </w:r>
      <w:r w:rsidR="0020439A">
        <w:t>,</w:t>
      </w:r>
      <w:r w:rsidR="006648F3">
        <w:t xml:space="preserve"> and few reject it.</w:t>
      </w:r>
      <w:r w:rsidRPr="00A47AEA">
        <w:t xml:space="preserve"> </w:t>
      </w:r>
      <w:r w:rsidR="006648F3">
        <w:t>I</w:t>
      </w:r>
      <w:r w:rsidRPr="00A47AEA">
        <w:t>n this scenario</w:t>
      </w:r>
      <w:r w:rsidR="006648F3">
        <w:t>,</w:t>
      </w:r>
      <w:r w:rsidRPr="00A47AEA">
        <w:t xml:space="preserve"> the present study tried to investigate the direct </w:t>
      </w:r>
      <w:r w:rsidR="00E6224D">
        <w:t>effe</w:t>
      </w:r>
      <w:r w:rsidRPr="00A47AEA">
        <w:t xml:space="preserve">ct on the factors of the UTUAT2 model. </w:t>
      </w:r>
      <w:r w:rsidR="00BA78C8">
        <w:t>Rowntree's (2019) report</w:t>
      </w:r>
      <w:r w:rsidRPr="00A47AEA">
        <w:t xml:space="preserve"> </w:t>
      </w:r>
      <w:r w:rsidR="003A4251" w:rsidRPr="00A47AEA">
        <w:t>reveals</w:t>
      </w:r>
      <w:r w:rsidRPr="00A47AEA">
        <w:t xml:space="preserve"> that the gender gap regarding mobile ownership and mobile internet usage is lowest in Europe compare</w:t>
      </w:r>
      <w:r w:rsidR="00E6224D">
        <w:t>d to eighteen low and middle-income countries worldwid</w:t>
      </w:r>
      <w:r w:rsidRPr="00A47AEA">
        <w:t xml:space="preserve">e. Hence, it also supports </w:t>
      </w:r>
      <w:r w:rsidR="00E6224D">
        <w:t>investigating</w:t>
      </w:r>
      <w:r w:rsidRPr="00A47AEA">
        <w:t xml:space="preserve"> the gender difference specifically towards mobile banking in selected eastern European countries. Pieces of evidence identify a lack of information on how gender influences the acceptance, adoption, and usage of mobile banking, especially in the Balkans states context. </w:t>
      </w:r>
      <w:r w:rsidR="003A4251" w:rsidRPr="00A04B5D">
        <w:rPr>
          <w:color w:val="FF0000"/>
        </w:rPr>
        <w:t>Even studies found that specifically for mobile banking use</w:t>
      </w:r>
      <w:r w:rsidR="00E6224D">
        <w:rPr>
          <w:color w:val="FF0000"/>
        </w:rPr>
        <w:t>,</w:t>
      </w:r>
      <w:r w:rsidR="003A4251" w:rsidRPr="00A04B5D">
        <w:rPr>
          <w:color w:val="FF0000"/>
        </w:rPr>
        <w:t xml:space="preserve"> there is a gender difference in mobile baking usage</w:t>
      </w:r>
      <w:r w:rsidR="00BA78C8">
        <w:rPr>
          <w:color w:val="FF0000"/>
        </w:rPr>
        <w:t>. The</w:t>
      </w:r>
      <w:r w:rsidR="003A4251" w:rsidRPr="00A04B5D">
        <w:rPr>
          <w:color w:val="FF0000"/>
        </w:rPr>
        <w:t xml:space="preserve"> female intention to use mobile banking is significantly </w:t>
      </w:r>
      <w:r w:rsidR="00B12E5D" w:rsidRPr="00A04B5D">
        <w:rPr>
          <w:color w:val="FF0000"/>
        </w:rPr>
        <w:t>affected</w:t>
      </w:r>
      <w:r w:rsidR="003A4251" w:rsidRPr="00A04B5D">
        <w:rPr>
          <w:color w:val="FF0000"/>
        </w:rPr>
        <w:t xml:space="preserve"> </w:t>
      </w:r>
      <w:r w:rsidR="005C1F64" w:rsidRPr="00A04B5D">
        <w:rPr>
          <w:color w:val="FF0000"/>
        </w:rPr>
        <w:t>by</w:t>
      </w:r>
      <w:r w:rsidR="003A4251" w:rsidRPr="00A04B5D">
        <w:rPr>
          <w:color w:val="FF0000"/>
        </w:rPr>
        <w:t xml:space="preserve"> perceived usefulness, which is part of performance expectancy </w:t>
      </w:r>
      <w:r w:rsidR="003A4251" w:rsidRPr="00A04B5D">
        <w:rPr>
          <w:color w:val="FF0000"/>
        </w:rPr>
        <w:fldChar w:fldCharType="begin" w:fldLock="1"/>
      </w:r>
      <w:r w:rsidR="00B12E5D" w:rsidRPr="00A04B5D">
        <w:rPr>
          <w:color w:val="FF0000"/>
        </w:rPr>
        <w:instrText>ADDIN CSL_CITATION {"citationItems":[{"id":"ITEM-1","itemData":{"author":[{"dropping-particle":"","family":"Hyde-clarke","given":"Nathalie","non-dropping-particle":"","parse-names":false,"suffix":""},{"dropping-particle":"","family":"Mnisi","given":"Jabulani","non-dropping-particle":"","parse-names":false,"suffix":""}],"container-title":"International Journal of Humanities and Social Science","id":"ITEM-1","issue":"9(1)","issued":{"date-parts":[["2015"]]},"page":"10","title":"A Gender Gap ? Uses and Perceptions of Mobile Phone Banking in South Africa A Gender Gap ? Uses and Perceptions of Mobile Phone Banking in South Africa","type":"article-journal","volume":"4"},"uris":["http://www.mendeley.com/documents/?uuid=2906ad3b-4c71-48de-a634-8942f0797c31","http://www.mendeley.com/documents/?uuid=65f51c9b-eb07-474d-81e1-7d91d125275d"]},{"id":"ITEM-2","itemData":{"abstract":"If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Abstract Purpose –Tremendous growth and worldwide expansion of Islamic banking industry has gained widespread attention of economist, bankers, investors and financial experts regardless of economic and political volatility in global banking industry. In order to compete with conventional banking, Islamic banks are setting up themselves with innovative technologies to gain competitive edge and market share. The establishment of mobile banking has been proven a technological wonder by eliminating time and space boundaries and one can access financial services anywhere and at any time. For effective market segmentation, recognizing gender differences in factors affecting the adoption patterns of m-banking may provide competitive edge. Therefore, the present study is aimed to investigate how gender differences impact the intention to adopt Islamic mobile banking in Pakistan. Design/Methodology/Approach – The study employs extended technology acceptance model (TAM) on final 243 participants from Pakistan. Confirmatory factor analysis (CFA) and structural equation modeling (SEM) methodology has been applied for data analysis using SPSS 21 and AMOS 21. Findings – Results have identified two interesting and different models for males and females in intention to adopt Islamic mobile banking. It is inferred that males are more task driven and desire for personality, value and status, so their intention is significantly impacted by perceived usefulness and perceived self-expressiveness. Whereas, females have found lack of IT knowledge and trust, therefore, their intention is significantly impacted by perceived credibility. However, th…","author":[{"dropping-particle":"","family":"Jamal Haider","given":"Muhammad","non-dropping-particle":"","parse-names":false,"suffix":""},{"dropping-particle":"","family":"Changchun","given":"Gao","non-dropping-particle":"","parse-names":false,"suffix":""},{"dropping-particle":"","family":"Akram","given":"Tayyaba","non-dropping-particle":"","parse-names":false,"suffix":""},{"dropping-particle":"","family":"Hussain","given":"Syed Talib","non-dropping-particle":"","parse-names":false,"suffix":""}],"container-title":"Journal of Islamic Marketing","id":"ITEM-2","issued":{"date-parts":[["2016"]]},"title":"Does gender differences play any role in intention to adopt Islamic mobile banking ? An empirical study Abstract","type":"article-journal"},"uris":["http://www.mendeley.com/documents/?uuid=85993ec1-acea-4d2b-86f4-8385dbc179d4","http://www.mendeley.com/documents/?uuid=375eaa5c-017f-4339-b59d-5af12cfb60e6"]}],"mendeley":{"formattedCitation":"(Hyde-clarke and Mnisi, 2015; Jamal Haider et al., 2016)","plainTextFormattedCitation":"(Hyde-clarke and Mnisi, 2015; Jamal Haider et al., 2016)","previouslyFormattedCitation":"(Hyde-clarke and Mnisi, 2015; Jamal Haider et al., 2016)"},"properties":{"noteIndex":0},"schema":"https://github.com/citation-style-language/schema/raw/master/csl-citation.json"}</w:instrText>
      </w:r>
      <w:r w:rsidR="003A4251" w:rsidRPr="00A04B5D">
        <w:rPr>
          <w:color w:val="FF0000"/>
        </w:rPr>
        <w:fldChar w:fldCharType="separate"/>
      </w:r>
      <w:r w:rsidR="003A4251" w:rsidRPr="00A04B5D">
        <w:rPr>
          <w:noProof/>
          <w:color w:val="FF0000"/>
        </w:rPr>
        <w:t>(Hyde-clarke and Mnisi, 2015; Jamal Haider et al., 2016)</w:t>
      </w:r>
      <w:r w:rsidR="003A4251" w:rsidRPr="00A04B5D">
        <w:rPr>
          <w:color w:val="FF0000"/>
        </w:rPr>
        <w:fldChar w:fldCharType="end"/>
      </w:r>
      <w:r w:rsidR="003A4251" w:rsidRPr="00A04B5D">
        <w:rPr>
          <w:color w:val="FF0000"/>
        </w:rPr>
        <w:t>.</w:t>
      </w:r>
      <w:r w:rsidR="005C1F64" w:rsidRPr="00A04B5D">
        <w:rPr>
          <w:color w:val="FF0000"/>
        </w:rPr>
        <w:t xml:space="preserve"> Based on </w:t>
      </w:r>
      <w:r w:rsidR="00B12E5D" w:rsidRPr="00A04B5D">
        <w:rPr>
          <w:color w:val="FF0000"/>
        </w:rPr>
        <w:t xml:space="preserve">the above, </w:t>
      </w:r>
      <w:r w:rsidRPr="00A47AEA">
        <w:t>the present paper is intended to scout the gender differences related to the UTAUT2 model.</w:t>
      </w:r>
    </w:p>
    <w:p w14:paraId="64510202" w14:textId="77777777" w:rsidR="00877201" w:rsidRPr="0003321D" w:rsidRDefault="00877201" w:rsidP="00877201">
      <w:pPr>
        <w:rPr>
          <w:i/>
          <w:lang w:val="en-US"/>
        </w:rPr>
      </w:pPr>
      <w:r>
        <w:rPr>
          <w:i/>
          <w:lang w:val="en-US"/>
        </w:rPr>
        <w:t xml:space="preserve">Linking employment to </w:t>
      </w:r>
      <w:r w:rsidRPr="00877201">
        <w:rPr>
          <w:i/>
          <w:lang w:val="en-US"/>
        </w:rPr>
        <w:t>UTAUT2</w:t>
      </w:r>
      <w:r>
        <w:rPr>
          <w:i/>
          <w:lang w:val="en-US"/>
        </w:rPr>
        <w:t xml:space="preserve"> constructs</w:t>
      </w:r>
    </w:p>
    <w:p w14:paraId="12C6ED28" w14:textId="031DA34B" w:rsidR="00A47AEA" w:rsidRPr="00A47AEA" w:rsidRDefault="00101684" w:rsidP="00101684">
      <w:pPr>
        <w:rPr>
          <w:lang w:val="en-US"/>
        </w:rPr>
      </w:pPr>
      <w:r>
        <w:rPr>
          <w:lang w:val="en-US"/>
        </w:rPr>
        <w:t>V</w:t>
      </w:r>
      <w:r w:rsidR="00A47AEA" w:rsidRPr="00A47AEA">
        <w:rPr>
          <w:lang w:val="en-US"/>
        </w:rPr>
        <w:t>ery few studies have considered employment a vital demographic variable</w:t>
      </w:r>
      <w:r>
        <w:rPr>
          <w:lang w:val="en-US"/>
        </w:rPr>
        <w:t>,</w:t>
      </w:r>
      <w:r w:rsidR="00A47AEA" w:rsidRPr="00A47AEA">
        <w:rPr>
          <w:lang w:val="en-US"/>
        </w:rPr>
        <w:t xml:space="preserve"> and it failed to attract the researcher’s attention. Neither quantitative nor qualitative studies are much available regarding mobile banking that </w:t>
      </w:r>
      <w:r w:rsidR="00E6224D">
        <w:rPr>
          <w:lang w:val="en-US"/>
        </w:rPr>
        <w:t>analyzes</w:t>
      </w:r>
      <w:r w:rsidR="00A47AEA" w:rsidRPr="00A47AEA">
        <w:rPr>
          <w:lang w:val="en-US"/>
        </w:rPr>
        <w:t xml:space="preserve"> mobile banking acceptance from occupational perspectives such as full-time employees or full-time students </w:t>
      </w:r>
      <w:r w:rsidR="00A47AEA" w:rsidRPr="00A47AEA">
        <w:rPr>
          <w:lang w:val="en-US"/>
        </w:rPr>
        <w:fldChar w:fldCharType="begin" w:fldLock="1"/>
      </w:r>
      <w:r w:rsidR="00B12E5D">
        <w:rPr>
          <w:lang w:val="en-US"/>
        </w:rPr>
        <w:instrText>ADDIN CSL_CITATION {"citationItems":[{"id":"ITEM-1","itemData":{"DOI":"10.1177/0266666915570764","abstract":"This research attempts to identify the factors leading to the adoption of mobile banking and the degree of influence of each one of the factors in Thailand. It proposes a comprehensive framework that extends the existing UTAUT model with important constructs such as perceived credibility, perceived cost, and perceived convenience. A three-pronged approach, consisting of an extensive review of the literature, expert interviews, and a field survey of mobile banking adoption is put forward. A field survey of respondents was undertaken with both convergent and discriminant validities being conducted. The results of the structural equation modeling show that performance expectancy, effort expectancy, social influence, perceived credibility, perceived convenience, and behavioral intention to use mobile banking posited a positive relationship. Contrary to previous studies, the hypotheses testing perceived that financial cost and facilitation conditions in the adoption of mobile banking were not supported. Discussions and conclusions including academic and practical implications are also presented.","author":[{"dropping-particle":"","family":"Bhatiasevi","given":"Veera","non-dropping-particle":"","parse-names":false,"suffix":""}],"container-title":"Information Development","id":"ITEM-1","issue":"4","issued":{"date-parts":[["2016","9"]]},"page":"799-814","title":"An extended UTAUT model to explain the adoption of mobile banking","type":"article-journal","volume":"32"},"uris":["http://www.mendeley.com/documents/?uuid=9b1a0ccb-cc9b-42fe-95ce-dd2ee25df525"]}],"mendeley":{"formattedCitation":"(Bhatiasevi, 2016)","plainTextFormattedCitation":"(Bhatiasevi, 2016)","previouslyFormattedCitation":"(Bhatiasevi, 2016)"},"properties":{"noteIndex":0},"schema":"https://github.com/citation-style-language/schema/raw/master/csl-citation.json"}</w:instrText>
      </w:r>
      <w:r w:rsidR="00A47AEA" w:rsidRPr="00A47AEA">
        <w:rPr>
          <w:lang w:val="en-US"/>
        </w:rPr>
        <w:fldChar w:fldCharType="separate"/>
      </w:r>
      <w:r w:rsidR="007F49C2" w:rsidRPr="007F49C2">
        <w:rPr>
          <w:noProof/>
          <w:lang w:val="en-US"/>
        </w:rPr>
        <w:t>(Bhatiasevi, 2016)</w:t>
      </w:r>
      <w:r w:rsidR="00A47AEA" w:rsidRPr="00A47AEA">
        <w:rPr>
          <w:lang w:val="en-US"/>
        </w:rPr>
        <w:fldChar w:fldCharType="end"/>
      </w:r>
      <w:r w:rsidR="00A47AEA" w:rsidRPr="00A47AEA">
        <w:rPr>
          <w:lang w:val="en-US"/>
        </w:rPr>
        <w:t xml:space="preserve">. </w:t>
      </w:r>
      <w:r w:rsidR="00E6224D">
        <w:rPr>
          <w:lang w:val="en-US"/>
        </w:rPr>
        <w:t>It</w:t>
      </w:r>
      <w:r w:rsidR="00A47AEA" w:rsidRPr="00A47AEA">
        <w:rPr>
          <w:lang w:val="en-US"/>
        </w:rPr>
        <w:t xml:space="preserve"> is probably the first-time employment will be considered a potential factor to measure the effect antecedents of UTAUT2. To the extent of the authors’ knowledge</w:t>
      </w:r>
      <w:r>
        <w:rPr>
          <w:lang w:val="en-US"/>
        </w:rPr>
        <w:t>,</w:t>
      </w:r>
      <w:r w:rsidR="00A47AEA" w:rsidRPr="00A47AEA">
        <w:rPr>
          <w:lang w:val="en-US"/>
        </w:rPr>
        <w:t xml:space="preserve"> only two st</w:t>
      </w:r>
      <w:r w:rsidR="006648F3">
        <w:rPr>
          <w:lang w:val="en-US"/>
        </w:rPr>
        <w:t>udied were traced</w:t>
      </w:r>
      <w:r w:rsidR="00E6224D">
        <w:rPr>
          <w:lang w:val="en-US"/>
        </w:rPr>
        <w:t>:</w:t>
      </w:r>
      <w:r w:rsidR="006648F3">
        <w:rPr>
          <w:lang w:val="en-US"/>
        </w:rPr>
        <w:t xml:space="preserve"> Onyia and</w:t>
      </w:r>
      <w:r w:rsidR="00A47AEA" w:rsidRPr="00A47AEA">
        <w:rPr>
          <w:lang w:val="en-US"/>
        </w:rPr>
        <w:t xml:space="preserve"> Tagg </w:t>
      </w:r>
      <w:r w:rsidR="00A47AEA" w:rsidRPr="00A47AEA">
        <w:rPr>
          <w:lang w:val="en-US"/>
        </w:rPr>
        <w:fldChar w:fldCharType="begin" w:fldLock="1"/>
      </w:r>
      <w:r w:rsidR="005D2834">
        <w:rPr>
          <w:lang w:val="en-US"/>
        </w:rPr>
        <w:instrText>ADDIN CSL_CITATION {"citationItems":[{"id":"ITEM-1","itemData":{"DOI":"10.1057/fsm.2011.28","ISSN":"1363-0539","abstract":"This study provides an African perspective to the global research and literature on retail customer adoption of Internet banking (IB). It empirically examines the influence of seven demographic variables – age, gender, level of education, marital status, employment status, income level and area of residence – on retail banking customers’ behaviours toward IB adoption in a major developing African country – Nigeria. A sample of 500 customers was surveyed, and ANOVA and multiple regression analyses were used in testing the association of the variables with customer attitude and intention toward IB adoption. Although all seven variables were correlated with attitude and intention, only gender, level of education, and employment status showed significant ability to influence Nigerian customers’ attitude and intention toward IB adoption. The study therefore concludes that gender, level of education, and employment status are the major demographic affecters of Nigerian banking customers’ attitudes to IB adoption.","author":[{"dropping-particle":"","family":"Onyia","given":"Okey Peter","non-dropping-particle":"","parse-names":false,"suffix":""},{"dropping-particle":"","family":"Tagg","given":"Stephen K","non-dropping-particle":"","parse-names":false,"suffix":""}],"container-title":"Journal of Financial Services Marketing","id":"ITEM-1","issue":"3-4","issued":{"date-parts":[["2011","12","1"]]},"page":"294-315","publisher":"Palgrave Macmillan UK","title":"Effects of demographic factors on bank customers’ attitudes and intention toward Internet banking adoption in a major developing African country","type":"article-journal","volume":"16"},"suppress-author":1,"uris":["http://www.mendeley.com/documents/?uuid=d21dab9e-0271-43f9-9099-5e286365f91d","http://www.mendeley.com/documents/?uuid=cfd854e6-e4f7-4b24-a8d3-a752dcafa004"]}],"mendeley":{"formattedCitation":"(2011)","plainTextFormattedCitation":"(2011)","previouslyFormattedCitation":"(2011)"},"properties":{"noteIndex":0},"schema":"https://github.com/citation-style-language/schema/raw/master/csl-citation.json"}</w:instrText>
      </w:r>
      <w:r w:rsidR="00A47AEA" w:rsidRPr="00A47AEA">
        <w:rPr>
          <w:lang w:val="en-US"/>
        </w:rPr>
        <w:fldChar w:fldCharType="separate"/>
      </w:r>
      <w:r w:rsidR="005D2834" w:rsidRPr="005D2834">
        <w:rPr>
          <w:noProof/>
          <w:lang w:val="en-US"/>
        </w:rPr>
        <w:t>(2011)</w:t>
      </w:r>
      <w:r w:rsidR="00A47AEA" w:rsidRPr="00A47AEA">
        <w:rPr>
          <w:lang w:val="en-US"/>
        </w:rPr>
        <w:fldChar w:fldCharType="end"/>
      </w:r>
      <w:r w:rsidR="00A47AEA" w:rsidRPr="00A47AEA">
        <w:rPr>
          <w:lang w:val="en-US"/>
        </w:rPr>
        <w:t xml:space="preserve"> about internet banking adoption where employment status reflected the significant impact on Nigerian customers’ attitude and intention towards internet banking accep</w:t>
      </w:r>
      <w:r w:rsidR="006648F3">
        <w:rPr>
          <w:lang w:val="en-US"/>
        </w:rPr>
        <w:t>tance. Another study by Chawla and</w:t>
      </w:r>
      <w:r w:rsidR="00A47AEA" w:rsidRPr="00A47AEA">
        <w:rPr>
          <w:lang w:val="en-US"/>
        </w:rPr>
        <w:t xml:space="preserve"> Joshi </w:t>
      </w:r>
      <w:r w:rsidR="00A47AEA" w:rsidRPr="00A47AEA">
        <w:rPr>
          <w:lang w:val="en-US"/>
        </w:rPr>
        <w:fldChar w:fldCharType="begin" w:fldLock="1"/>
      </w:r>
      <w:r w:rsidR="0075274F">
        <w:rPr>
          <w:lang w:val="en-US"/>
        </w:rPr>
        <w:instrText>ADDIN CSL_CITATION {"citationItems":[{"id":"ITEM-1","itemData":{"DOI":"10.1177/0972150918757883","ISSN":"0972-1509","abstract":"The objective of this article is to analyze if demographic characteristics influence user attitude towards mobile banking. The sample comprise of current users of online banking. Although earlier studies on technology adoption models have received considerable empirical validation, most of the studies did not consider moderating variables. Among those, which consider moderating variables, primarily explored are gender, age and income. By including other moderator variables in the model, we hope to lessen the inconsistencies found in past research studies. To test the moderating effect, two methods, viz. multiple linear regression and Fisher Z transformation are used. Results show that gender, age, qualification, experience, occupation, income and marital status were significant moderating variables. However, educational background did not show any moderating effect. Our results suggest that by extending the Technology Acceptance Model (TAM) and Diffusion of Innovations (DoI) theory, the research provide insights into the factors influencing consumers’ attitude to adopt mobile banking applications. Besides, the results of moderating effect improve our understanding of the demographic differences, which influence the degree of mobile banking adoption. This study will help researchers and practitioners to come up with improved mobile adoption frameworks and applications with greater understanding of the influence of demographic factors.","author":[{"dropping-particle":"","family":"Chawla","given":"Deepak","non-dropping-particle":"","parse-names":false,"suffix":""},{"dropping-particle":"","family":"Joshi","given":"Himanshu","non-dropping-particle":"","parse-names":false,"suffix":""}],"container-title":"Global Business Review","id":"ITEM-1","issue":"3_suppl","issued":{"date-parts":[["2018","6","7"]]},"page":"S90-S113","title":"The Moderating Effect of Demographic Variables on Mobile Banking Adoption: An Empirical Investigation","type":"article-journal","volume":"19"},"suppress-author":1,"uris":["http://www.mendeley.com/documents/?uuid=312bb979-8396-42fc-bc61-0fa62c6810a7"]}],"mendeley":{"formattedCitation":"(2018)","plainTextFormattedCitation":"(2018)","previouslyFormattedCitation":"(2018)"},"properties":{"noteIndex":0},"schema":"https://github.com/citation-style-language/schema/raw/master/csl-citation.json"}</w:instrText>
      </w:r>
      <w:r w:rsidR="00A47AEA" w:rsidRPr="00A47AEA">
        <w:rPr>
          <w:lang w:val="en-US"/>
        </w:rPr>
        <w:fldChar w:fldCharType="separate"/>
      </w:r>
      <w:r w:rsidR="0075274F" w:rsidRPr="0075274F">
        <w:rPr>
          <w:noProof/>
          <w:lang w:val="en-US"/>
        </w:rPr>
        <w:t>(2018)</w:t>
      </w:r>
      <w:r w:rsidR="00A47AEA" w:rsidRPr="00A47AEA">
        <w:rPr>
          <w:lang w:val="en-US"/>
        </w:rPr>
        <w:fldChar w:fldCharType="end"/>
      </w:r>
      <w:r w:rsidR="00A47AEA" w:rsidRPr="00A47AEA">
        <w:rPr>
          <w:lang w:val="en-US"/>
        </w:rPr>
        <w:t xml:space="preserve"> considered occupation as a moderator but included both professional</w:t>
      </w:r>
      <w:r w:rsidR="00E6224D">
        <w:rPr>
          <w:lang w:val="en-US"/>
        </w:rPr>
        <w:t>s</w:t>
      </w:r>
      <w:r w:rsidR="00A47AEA" w:rsidRPr="00A47AEA">
        <w:rPr>
          <w:lang w:val="en-US"/>
        </w:rPr>
        <w:t xml:space="preserve"> and students</w:t>
      </w:r>
      <w:r w:rsidR="008E4458">
        <w:rPr>
          <w:lang w:val="en-US"/>
        </w:rPr>
        <w:t xml:space="preserve"> </w:t>
      </w:r>
      <w:r w:rsidR="008E4458" w:rsidRPr="00A04B5D">
        <w:rPr>
          <w:color w:val="FF0000"/>
          <w:lang w:val="en-US"/>
        </w:rPr>
        <w:t>and found the occupation moderates between the antecedents and behavior intention</w:t>
      </w:r>
      <w:r w:rsidR="00A47AEA" w:rsidRPr="00A04B5D">
        <w:rPr>
          <w:color w:val="FF0000"/>
          <w:lang w:val="en-US"/>
        </w:rPr>
        <w:t>.</w:t>
      </w:r>
      <w:r w:rsidR="008E4458" w:rsidRPr="00A04B5D">
        <w:rPr>
          <w:color w:val="FF0000"/>
          <w:lang w:val="en-US"/>
        </w:rPr>
        <w:t xml:space="preserve"> Another study conducted a comparison between different </w:t>
      </w:r>
      <w:r w:rsidR="00E6224D">
        <w:rPr>
          <w:color w:val="FF0000"/>
          <w:lang w:val="en-US"/>
        </w:rPr>
        <w:t>occupations and found that occupation affects internet banking usage. S</w:t>
      </w:r>
      <w:r w:rsidR="008E4458" w:rsidRPr="00A04B5D">
        <w:rPr>
          <w:color w:val="FF0000"/>
          <w:lang w:val="en-US"/>
        </w:rPr>
        <w:t>ome occupation</w:t>
      </w:r>
      <w:r w:rsidR="00E6224D">
        <w:rPr>
          <w:color w:val="FF0000"/>
          <w:lang w:val="en-US"/>
        </w:rPr>
        <w:t>s</w:t>
      </w:r>
      <w:r w:rsidR="008E4458" w:rsidRPr="00A04B5D">
        <w:rPr>
          <w:color w:val="FF0000"/>
          <w:lang w:val="en-US"/>
        </w:rPr>
        <w:t xml:space="preserve"> have higher internet usage</w:t>
      </w:r>
      <w:r w:rsidR="00E6224D">
        <w:rPr>
          <w:color w:val="FF0000"/>
          <w:lang w:val="en-US"/>
        </w:rPr>
        <w:t>,</w:t>
      </w:r>
      <w:r w:rsidR="008E4458" w:rsidRPr="00A04B5D">
        <w:rPr>
          <w:color w:val="FF0000"/>
          <w:lang w:val="en-US"/>
        </w:rPr>
        <w:t xml:space="preserve"> and some have less </w:t>
      </w:r>
      <w:r w:rsidR="008E4458" w:rsidRPr="00A04B5D">
        <w:rPr>
          <w:color w:val="FF0000"/>
          <w:lang w:val="en-US"/>
        </w:rPr>
        <w:fldChar w:fldCharType="begin" w:fldLock="1"/>
      </w:r>
      <w:r w:rsidR="00B12E5D" w:rsidRPr="00A04B5D">
        <w:rPr>
          <w:color w:val="FF0000"/>
          <w:lang w:val="en-US"/>
        </w:rPr>
        <w:instrText>ADDIN CSL_CITATION {"citationItems":[{"id":"ITEM-1","itemData":{"abstract":"The banks, however, are trying to popularize the concept of Internet banking among their customers, to meet up with the ever increasing traffic in physical bank premises. Compared to some developed and developing countries, the usage of Internet to engage in banking activities is at a primary stage in Sri Lanka, mainly restricted to checking bank balances. Through this research it was identified that lack of knowledge on facilities of e-banking compared to traditional banking is one of the most influential factor towards the lack of usage of Internet Banking. Further, it was found that lack of knowledge on accessing Internet and lack of facilities for Internet access too, contribute to the negative attitude towards e-banking. Increasing the banking users' knowledge of benefits of e-banking services and increasing facilities and knowledge for Internet access can be seen as improvement plans to engage more traditional banking customers to use Internet Banking facilities.","author":[{"dropping-particle":"","family":"Jayasiri","given":"Nuradhi","non-dropping-particle":"","parse-names":false,"suffix":""},{"dropping-particle":"","family":"Kariyawasam Graduate","given":"N J","non-dropping-particle":"","parse-names":false,"suffix":""},{"dropping-particle":"","family":"Jayasiri","given":"Nuradhi K","non-dropping-particle":"","parse-names":false,"suffix":""}],"container-title":"International Journal of Scientific Research and Innovative Technology","id":"ITEM-1","issue":"6","issued":{"date-parts":[["2016"]]},"page":"2313-3759","title":"Awareness and Usage of Internet Banking Facilities in Sri Lanka","type":"article-journal","volume":"3"},"uris":["http://www.mendeley.com/documents/?uuid=73675eba-e931-452e-acc0-f5e7ea12ab1b","http://www.mendeley.com/documents/?uuid=9fcca6a8-67df-4b0b-992c-a28fda172062"]}],"mendeley":{"formattedCitation":"(Jayasiri et al., 2016)","plainTextFormattedCitation":"(Jayasiri et al., 2016)","previouslyFormattedCitation":"(Jayasiri et al., 2016)"},"properties":{"noteIndex":0},"schema":"https://github.com/citation-style-language/schema/raw/master/csl-citation.json"}</w:instrText>
      </w:r>
      <w:r w:rsidR="008E4458" w:rsidRPr="00A04B5D">
        <w:rPr>
          <w:color w:val="FF0000"/>
          <w:lang w:val="en-US"/>
        </w:rPr>
        <w:fldChar w:fldCharType="separate"/>
      </w:r>
      <w:r w:rsidR="008E4458" w:rsidRPr="00A04B5D">
        <w:rPr>
          <w:noProof/>
          <w:color w:val="FF0000"/>
          <w:lang w:val="en-US"/>
        </w:rPr>
        <w:t>(Jayasiri et al., 2016)</w:t>
      </w:r>
      <w:r w:rsidR="008E4458" w:rsidRPr="00A04B5D">
        <w:rPr>
          <w:color w:val="FF0000"/>
          <w:lang w:val="en-US"/>
        </w:rPr>
        <w:fldChar w:fldCharType="end"/>
      </w:r>
      <w:r w:rsidR="008E4458" w:rsidRPr="00A04B5D">
        <w:rPr>
          <w:color w:val="FF0000"/>
          <w:lang w:val="en-US"/>
        </w:rPr>
        <w:t>.</w:t>
      </w:r>
      <w:r w:rsidR="005C6516" w:rsidRPr="00A04B5D">
        <w:rPr>
          <w:color w:val="FF0000"/>
          <w:lang w:val="en-US"/>
        </w:rPr>
        <w:t xml:space="preserve"> It becomes imperative to re-examine occupation as a</w:t>
      </w:r>
      <w:r w:rsidR="00B12E5D" w:rsidRPr="00A04B5D">
        <w:rPr>
          <w:color w:val="FF0000"/>
          <w:lang w:val="en-US"/>
        </w:rPr>
        <w:t>n</w:t>
      </w:r>
      <w:r w:rsidR="005C6516" w:rsidRPr="00A04B5D">
        <w:rPr>
          <w:color w:val="FF0000"/>
          <w:lang w:val="en-US"/>
        </w:rPr>
        <w:t xml:space="preserve"> independent variable to </w:t>
      </w:r>
      <w:r w:rsidR="00E6224D">
        <w:rPr>
          <w:color w:val="FF0000"/>
          <w:lang w:val="en-US"/>
        </w:rPr>
        <w:t>determine how employment affects</w:t>
      </w:r>
      <w:r w:rsidR="005C6516" w:rsidRPr="00A04B5D">
        <w:rPr>
          <w:color w:val="FF0000"/>
          <w:lang w:val="en-US"/>
        </w:rPr>
        <w:t xml:space="preserve"> consumers’ mobile banking usage </w:t>
      </w:r>
      <w:r w:rsidR="005D2834" w:rsidRPr="00A04B5D">
        <w:rPr>
          <w:color w:val="FF0000"/>
          <w:lang w:val="en-US"/>
        </w:rPr>
        <w:t>behavioral</w:t>
      </w:r>
      <w:r w:rsidR="005C6516" w:rsidRPr="00A04B5D">
        <w:rPr>
          <w:color w:val="FF0000"/>
          <w:lang w:val="en-US"/>
        </w:rPr>
        <w:t xml:space="preserve"> </w:t>
      </w:r>
      <w:r w:rsidR="005D2834" w:rsidRPr="00A04B5D">
        <w:rPr>
          <w:color w:val="FF0000"/>
          <w:lang w:val="en-US"/>
        </w:rPr>
        <w:t xml:space="preserve">intention. </w:t>
      </w:r>
      <w:r w:rsidR="005D2834">
        <w:rPr>
          <w:lang w:val="en-US"/>
        </w:rPr>
        <w:t>The</w:t>
      </w:r>
      <w:r w:rsidR="00A47AEA" w:rsidRPr="00A47AEA">
        <w:rPr>
          <w:lang w:val="en-US"/>
        </w:rPr>
        <w:t xml:space="preserve"> present study consider</w:t>
      </w:r>
      <w:r w:rsidR="009136F1">
        <w:rPr>
          <w:lang w:val="en-US"/>
        </w:rPr>
        <w:t>s</w:t>
      </w:r>
      <w:r w:rsidR="00A47AEA" w:rsidRPr="00A47AEA">
        <w:rPr>
          <w:lang w:val="en-US"/>
        </w:rPr>
        <w:t xml:space="preserve"> </w:t>
      </w:r>
      <w:r>
        <w:rPr>
          <w:lang w:val="en-US"/>
        </w:rPr>
        <w:t>only</w:t>
      </w:r>
      <w:r w:rsidR="00A47AEA" w:rsidRPr="00A47AEA">
        <w:rPr>
          <w:lang w:val="en-US"/>
        </w:rPr>
        <w:t xml:space="preserve"> full-time employment status and will be a value addition in the literature as it is not yet covered</w:t>
      </w:r>
      <w:r>
        <w:rPr>
          <w:lang w:val="en-US"/>
        </w:rPr>
        <w:t>,</w:t>
      </w:r>
      <w:r w:rsidR="00A47AEA" w:rsidRPr="00A47AEA">
        <w:rPr>
          <w:lang w:val="en-US"/>
        </w:rPr>
        <w:t xml:space="preserve"> and the same is the novelty of the present paper. </w:t>
      </w:r>
    </w:p>
    <w:p w14:paraId="7484D69E" w14:textId="77777777" w:rsidR="00877201" w:rsidRPr="0003321D" w:rsidRDefault="00877201" w:rsidP="007F49C2">
      <w:pPr>
        <w:keepNext/>
        <w:rPr>
          <w:i/>
          <w:lang w:val="en-US"/>
        </w:rPr>
      </w:pPr>
      <w:r>
        <w:rPr>
          <w:i/>
          <w:lang w:val="en-US"/>
        </w:rPr>
        <w:t xml:space="preserve">Linking living settlement to </w:t>
      </w:r>
      <w:r w:rsidRPr="00877201">
        <w:rPr>
          <w:i/>
          <w:lang w:val="en-US"/>
        </w:rPr>
        <w:t>UTAUT2</w:t>
      </w:r>
      <w:r>
        <w:rPr>
          <w:i/>
          <w:lang w:val="en-US"/>
        </w:rPr>
        <w:t xml:space="preserve"> constructs</w:t>
      </w:r>
    </w:p>
    <w:p w14:paraId="272A695B" w14:textId="3146178F" w:rsidR="00A47AEA" w:rsidRPr="00B12E5D" w:rsidRDefault="00A47AEA" w:rsidP="00101684">
      <w:r w:rsidRPr="00A47AEA">
        <w:rPr>
          <w:lang w:val="en-US"/>
        </w:rPr>
        <w:t xml:space="preserve">Another chosen demographic factor is the living settlement, chosen based on the living settlement to determine the effect of living location in two different </w:t>
      </w:r>
      <w:r w:rsidR="00E6224D">
        <w:rPr>
          <w:lang w:val="en-US"/>
        </w:rPr>
        <w:t>urban and rural segments</w:t>
      </w:r>
      <w:r w:rsidRPr="00A47AEA">
        <w:rPr>
          <w:lang w:val="en-US"/>
        </w:rPr>
        <w:t xml:space="preserve"> on the antecedents of mobile banking acceptance and usage. A study in Iran stated that the digital gap between </w:t>
      </w:r>
      <w:r w:rsidRPr="00A47AEA">
        <w:t xml:space="preserve">urban and rural societies is alarming. As ICT plays a noteworthy role in rural growth processes, it must reach </w:t>
      </w:r>
      <w:r w:rsidR="00BA78C8">
        <w:t>rural areas</w:t>
      </w:r>
      <w:r w:rsidRPr="00A47AEA">
        <w:t xml:space="preserve"> </w:t>
      </w:r>
      <w:r w:rsidRPr="00A47AEA">
        <w:fldChar w:fldCharType="begin" w:fldLock="1"/>
      </w:r>
      <w:r w:rsidR="00B12E5D">
        <w:instrText>ADDIN CSL_CITATION {"citationItems":[{"id":"ITEM-1","itemData":{"DOI":"10.1016/j.telpol.2013.02.005","ISSN":"03085961","abstract":"Rural ICT centers are the initiative of the third millennium and widen the accessibility horizons of information and Communication Technology among disadvantaged groups of societies, and play a significant role in rural development processes. Adoption of new technology in rural Iran has been the main challenge and focal point of all agricultural extension activities since the modernization era of the 1950s. Consequently the rapidly growing gap between urban and rural economy has reinforced the critical role of ICT in creating an equal society. Identifying the factors which foster adoption of ICT is among the important challenges of alleviating digital divide. ICT centers attract different groups within rural communities and create a forum for unprivileged rural settlers to learn about and to use computer and internet. This paper attempts to identify the factors influencing the adoption of ICT in rural Gharn Abad's ICT center of Golestan Province. The sample included 218 individuals, who were selected by stratified random sampling method. Survey method was used, and data was analyzed by correlation as well as multiple regression techniques. Based on the results, the existence of ICT center itself, with various funding sources, reinforced the adoption regardless of the users' economic status. At the same time, the other factors such as individual, social, the households' informative &amp; communicative, as well as the innovation related factors were found influential. This case study could be used as a sample for planning, establishing, and developing the ICT centers in the other similar situations. © 2013 Elsevier Ltd. Allrights reserved.","author":[{"dropping-particle":"","family":"Moghaddam","given":"B. Khalil","non-dropping-particle":"","parse-names":false,"suffix":""},{"dropping-particle":"","family":"Khatoon-Abadi","given":"A.","non-dropping-particle":"","parse-names":false,"suffix":""}],"container-title":"Telecommunications Policy","id":"ITEM-1","issue":"11","issued":{"date-parts":[["2013"]]},"page":"1083-1094","title":"Factors affecting ICT adoption among rural users: A case study of ICT Center in Iran","type":"article-journal","volume":"37"},"uris":["http://www.mendeley.com/documents/?uuid=810cf232-fe90-4008-ba37-3d9c7507d752","http://www.mendeley.com/documents/?uuid=f594af47-aad6-4677-839e-3bf0f10a4208"]}],"mendeley":{"formattedCitation":"(Moghaddam and Khatoon-Abadi, 2013)","plainTextFormattedCitation":"(Moghaddam and Khatoon-Abadi, 2013)","previouslyFormattedCitation":"(Moghaddam and Khatoon-Abadi, 2013)"},"properties":{"noteIndex":0},"schema":"https://github.com/citation-style-language/schema/raw/master/csl-citation.json"}</w:instrText>
      </w:r>
      <w:r w:rsidRPr="00A47AEA">
        <w:fldChar w:fldCharType="separate"/>
      </w:r>
      <w:r w:rsidR="00B12E5D" w:rsidRPr="00B12E5D">
        <w:rPr>
          <w:noProof/>
        </w:rPr>
        <w:t>(Moghaddam and Khatoon-Abadi, 2013)</w:t>
      </w:r>
      <w:r w:rsidRPr="00A47AEA">
        <w:rPr>
          <w:lang w:val="en-US"/>
        </w:rPr>
        <w:fldChar w:fldCharType="end"/>
      </w:r>
      <w:r w:rsidRPr="00A47AEA">
        <w:t xml:space="preserve">. No other prior study so far has covered the living location urban and rural in their </w:t>
      </w:r>
      <w:r w:rsidR="00101684">
        <w:t>research</w:t>
      </w:r>
      <w:r w:rsidRPr="00A47AEA">
        <w:t xml:space="preserve"> to measure its influence on the factors of UTAUT2 in terms of mobile banking usage and acceptance. Few countries </w:t>
      </w:r>
      <w:r w:rsidR="00BA78C8">
        <w:t>witness</w:t>
      </w:r>
      <w:r w:rsidRPr="00A47AEA">
        <w:t xml:space="preserve"> the fast conversion of rural areas into urban or </w:t>
      </w:r>
      <w:r w:rsidR="00101684">
        <w:t>rapid</w:t>
      </w:r>
      <w:r w:rsidRPr="00A47AEA">
        <w:t xml:space="preserve"> migration of rural people towards the urban area</w:t>
      </w:r>
      <w:r w:rsidR="00BA78C8">
        <w:t>. I</w:t>
      </w:r>
      <w:r w:rsidRPr="00A47AEA">
        <w:t xml:space="preserve">t becomes easy to adopt the urban style of living where the penetration of mobile ownership and internet usage is better </w:t>
      </w:r>
      <w:r w:rsidRPr="00A47AEA">
        <w:fldChar w:fldCharType="begin" w:fldLock="1"/>
      </w:r>
      <w:r w:rsidR="007F49C2">
        <w:instrText>ADDIN CSL_CITATION {"citationItems":[{"id":"ITEM-1","itemData":{"abstract":"Theres an app for that is Apples catch phrase to promote the literally thousands of applications that can be downloaded to an iPhone. Whether you want to check the weather or traffic, bide time playing a game, or study a new language, there is likely a free or paid application that you can access. While Apple may be best known for In 2018, almost 300 million people connected to mobile internet for the first time, bringing the total connected population to more than 3.5 billion people globally. For many of these individuals, mobile is the only method of accessing the internet, so growth in mobile internet adoption also drives digital inclusion, especially in low- and middle-income countries (LMICs)","author":[{"dropping-particle":"","family":"GSMA","given":"","non-dropping-particle":"","parse-names":false,"suffix":""}],"container-title":"comScore Mobilens","id":"ITEM-1","issued":{"date-parts":[["2019"]]},"number-of-pages":"01-56","title":"Connected Society The State of Mobile Internet Connectivity 2019","type":"report"},"uris":["http://www.mendeley.com/documents/?uuid=842caeb9-774b-4dae-930e-c50eb397e2ce","http://www.mendeley.com/documents/?uuid=b06207c1-8c07-4771-968f-1849ab96cc74"]}],"mendeley":{"formattedCitation":"(GSMA, 2019)","plainTextFormattedCitation":"(GSMA, 2019)","previouslyFormattedCitation":"(GSMA, 2019)"},"properties":{"noteIndex":0},"schema":"https://github.com/citation-style-language/schema/raw/master/csl-citation.json"}</w:instrText>
      </w:r>
      <w:r w:rsidRPr="00A47AEA">
        <w:fldChar w:fldCharType="separate"/>
      </w:r>
      <w:r w:rsidR="007F49C2" w:rsidRPr="007F49C2">
        <w:rPr>
          <w:noProof/>
        </w:rPr>
        <w:t>(GSMA, 2019)</w:t>
      </w:r>
      <w:r w:rsidRPr="00A47AEA">
        <w:rPr>
          <w:lang w:val="en-US"/>
        </w:rPr>
        <w:fldChar w:fldCharType="end"/>
      </w:r>
      <w:r w:rsidRPr="00A47AEA">
        <w:t xml:space="preserve">. </w:t>
      </w:r>
      <w:r w:rsidR="00E6224D">
        <w:t>M</w:t>
      </w:r>
      <w:r w:rsidRPr="00A47AEA">
        <w:t>any studies related to ICT usage and acceptance, mobile ownership</w:t>
      </w:r>
      <w:r w:rsidR="00E6224D">
        <w:t>,</w:t>
      </w:r>
      <w:r w:rsidRPr="00A47AEA">
        <w:t xml:space="preserve"> and internet usage in rural and urban areas, but no study has ever covered living location as a factor </w:t>
      </w:r>
      <w:r w:rsidR="00E6224D">
        <w:t>affecting</w:t>
      </w:r>
      <w:r w:rsidRPr="00A47AEA">
        <w:t xml:space="preserve"> mobile banking usage and acceptance. Another study in South Africa by Ramavhona </w:t>
      </w:r>
      <w:r w:rsidR="009136F1">
        <w:t xml:space="preserve">and </w:t>
      </w:r>
      <w:r w:rsidRPr="00A47AEA">
        <w:t xml:space="preserve">Mokwena </w:t>
      </w:r>
      <w:r w:rsidRPr="00A47AEA">
        <w:fldChar w:fldCharType="begin" w:fldLock="1"/>
      </w:r>
      <w:r w:rsidR="00B12E5D">
        <w:instrText>ADDIN CSL_CITATION {"citationItems":[{"id":"ITEM-1","itemData":{"DOI":"10.4102/sajim.v18i2.642","ISSN":"1560-683X","abstract":"Background: The banking industry globally provides Internet banking to offer their customers easy access to banking services. The banks in South Africa, like their counterparts in other parts of the world, offer Internet banking to customers. However, the majority of South Africans in rural areas do not adopt and use Internet banking despite its convenience, the availability of Internet banking infrastructure, the effort of banks in promoting Internet banking awareness and Internet security.Objectives: This research investigated factors which influence the adoption and use of Internet banking in the context of South African rural areas.Method: In this study, a quantitative research approach was used. Data were collected through questionnaires and analysed using Statistical Package for Social Sciences (SPSS) tool.Results: The perceived compatibility, trialability and external variables such as awareness and security were found to have significant influence in the adoption of Internet banking in South African rural areas, whereas relative advantage was found not to be a significant factor. Security and the complexity of Internet banking were also revealed as some of the factors hampering the intention to adopt Internet banking in South African rural areas.Conclusion: The lack of awareness on Internet banking services and its benefits such as its convenience and the possibility to conduct banking transactions from any location with Internet is found to be the reason for South African rural area retail bank consumers’ reluctance to adopt Internet banking. The majority of retail bank customers in South African rural areas do not use Internet banking because of the lack of resources, such as computers with Internet access. The security of transactions conducted over the Internet is the main concern and significant element that customers consider before adopting Internet banking in South African rural areas as they perceive it as being easily exposed to fraud. As a result, this perception erodes retail bank customers’ confidence to adopt Internet banking. The majority of retail bank customers in South African rural areas will be willing to adopt Internet banking if their lifestyle, values and specific need are met. Retail bank customers in South African rural areas will adopt Internet banking if the Internet banking processes are simplified and user-friendly.","author":[{"dropping-particle":"","family":"Ramavhona","given":"Thinamano C.","non-dropping-particle":"","parse-names":false,"suffix":""},{"dropping-particle":"","family":"Mokwena","given":"Sello","non-dropping-particle":"","parse-names":false,"suffix":""}],"container-title":"SA Journal of Information Management","id":"ITEM-1","issue":"2","issued":{"date-parts":[["2016","12"]]},"page":"1443-1455","title":"Factors influencing Internet banking adoption in South African rural areas","type":"article-journal","volume":"18"},"suppress-author":1,"uris":["http://www.mendeley.com/documents/?uuid=61af9eab-180a-428a-9ce4-52012c723e2f","http://www.mendeley.com/documents/?uuid=7213f409-b1ab-4711-b959-9286c6aef147"]}],"mendeley":{"formattedCitation":"(2016)","plainTextFormattedCitation":"(2016)","previouslyFormattedCitation":"(2016)"},"properties":{"noteIndex":0},"schema":"https://github.com/citation-style-language/schema/raw/master/csl-citation.json"}</w:instrText>
      </w:r>
      <w:r w:rsidRPr="00A47AEA">
        <w:fldChar w:fldCharType="separate"/>
      </w:r>
      <w:r w:rsidR="007F49C2" w:rsidRPr="007F49C2">
        <w:rPr>
          <w:noProof/>
        </w:rPr>
        <w:t>(2016)</w:t>
      </w:r>
      <w:r w:rsidRPr="00A47AEA">
        <w:rPr>
          <w:lang w:val="en-US"/>
        </w:rPr>
        <w:fldChar w:fldCharType="end"/>
      </w:r>
      <w:r w:rsidRPr="00A47AEA">
        <w:t xml:space="preserve"> stated that in rural areas</w:t>
      </w:r>
      <w:r w:rsidR="00101684">
        <w:t>,</w:t>
      </w:r>
      <w:r w:rsidRPr="00A47AEA">
        <w:t xml:space="preserve"> people are reluctant to adopt internet banking because of </w:t>
      </w:r>
      <w:r w:rsidR="00E6224D">
        <w:t>low</w:t>
      </w:r>
      <w:r w:rsidRPr="00A47AEA">
        <w:t xml:space="preserve"> awareness about its benefits, wrong perception about its conveniences, and fear of fraud. </w:t>
      </w:r>
      <w:r w:rsidR="00BA78C8">
        <w:t>Also,</w:t>
      </w:r>
      <w:r w:rsidRPr="00A47AEA">
        <w:t xml:space="preserve"> poor infrastructure support regarding internet access and computer availability </w:t>
      </w:r>
      <w:r w:rsidR="00E6224D">
        <w:t>is</w:t>
      </w:r>
      <w:r w:rsidRPr="00A47AEA">
        <w:t xml:space="preserve"> the reason for not accepting internet banking. In simple words, the acceptance and usage of internet banking in rural areas of South Africa is </w:t>
      </w:r>
      <w:r w:rsidR="00E6224D">
        <w:t>low</w:t>
      </w:r>
      <w:r w:rsidRPr="00A47AEA">
        <w:t xml:space="preserve"> because of poor infrastructure and people’s wrong perceived intentions. </w:t>
      </w:r>
      <w:r w:rsidR="00B573D9" w:rsidRPr="00A04B5D">
        <w:rPr>
          <w:color w:val="FF0000"/>
        </w:rPr>
        <w:t>The bank-led mobile banking model is seen as a useful and easy</w:t>
      </w:r>
      <w:r w:rsidR="00E6224D">
        <w:rPr>
          <w:color w:val="FF0000"/>
        </w:rPr>
        <w:t>-to-</w:t>
      </w:r>
      <w:r w:rsidR="00B573D9" w:rsidRPr="00A04B5D">
        <w:rPr>
          <w:color w:val="FF0000"/>
        </w:rPr>
        <w:t xml:space="preserve">use tool by people in unbanked and underbanked rural areas </w:t>
      </w:r>
      <w:r w:rsidR="00B573D9" w:rsidRPr="00A04B5D">
        <w:rPr>
          <w:color w:val="FF0000"/>
        </w:rPr>
        <w:fldChar w:fldCharType="begin" w:fldLock="1"/>
      </w:r>
      <w:r w:rsidR="00B12E5D" w:rsidRPr="00A04B5D">
        <w:rPr>
          <w:color w:val="FF0000"/>
        </w:rPr>
        <w:instrText>ADDIN CSL_CITATION {"citationItems":[{"id":"ITEM-1","itemData":{"DOI":"10.1109/ISTAFRICA.2016.7530701","ISBN":"9781905824557","abstract":"Branchless banking is a distribution channel used for delivering financial services without necessarily relying on constructing bank branches. This offers customers the ability to conduct banking transactions at a whole range of retail agents instead of accessing banking services at bank branches. The study attempted to answer the question on whether Branchless banking can be used to reach the unbanked and underbanked rural areas in Malawi. Data were collected through a self-Administered questionnaire that was developed based on the three main dimensions of the Technology Acceptance model, Perceived Usefulness, Perceived Ease of Use and Attitude towards use, and the two main requirements in branchless banking; Availability of Telecommunication Infrastructure and retail agents. The sample was drawn from a population in unbanked rural areas. The results shows that Branchless banking is feasible in the unbanked rural areas in Malawi.","author":[{"dropping-particle":"","family":"Mtambalika","given":"Augustine","non-dropping-particle":"","parse-names":false,"suffix":""},{"dropping-particle":"","family":"Davis Manda","given":"Tiwonge","non-dropping-particle":"","parse-names":false,"suffix":""},{"dropping-particle":"","family":"Gombachika","given":"Harry","non-dropping-particle":"","parse-names":false,"suffix":""},{"dropping-particle":"","family":"Kunyenje","given":"Gregory","non-dropping-particle":"","parse-names":false,"suffix":""}],"container-title":"2016 IST-Africa Conference, IST-Africa 2016","id":"ITEM-1","issued":{"date-parts":[["2016"]]},"page":"1-11","publisher":"IIMC","title":"Branchless banking in rural Malawi: Potential customers' perspective on bank-led mobile banking","type":"article-journal"},"uris":["http://www.mendeley.com/documents/?uuid=da838c14-0ef0-448f-aaee-1900ef0c8662","http://www.mendeley.com/documents/?uuid=e6bf12e0-9959-4d05-91ef-6e624864d69d"]}],"mendeley":{"formattedCitation":"(Mtambalika et al., 2016)","plainTextFormattedCitation":"(Mtambalika et al., 2016)","previouslyFormattedCitation":"(Mtambalika et al., 2016)"},"properties":{"noteIndex":0},"schema":"https://github.com/citation-style-language/schema/raw/master/csl-citation.json"}</w:instrText>
      </w:r>
      <w:r w:rsidR="00B573D9" w:rsidRPr="00A04B5D">
        <w:rPr>
          <w:color w:val="FF0000"/>
        </w:rPr>
        <w:fldChar w:fldCharType="separate"/>
      </w:r>
      <w:r w:rsidR="00B573D9" w:rsidRPr="00A04B5D">
        <w:rPr>
          <w:noProof/>
          <w:color w:val="FF0000"/>
        </w:rPr>
        <w:t>(Mtambalika et al., 2016)</w:t>
      </w:r>
      <w:r w:rsidR="00B573D9" w:rsidRPr="00A04B5D">
        <w:rPr>
          <w:color w:val="FF0000"/>
        </w:rPr>
        <w:fldChar w:fldCharType="end"/>
      </w:r>
      <w:r w:rsidR="00B573D9" w:rsidRPr="00A04B5D">
        <w:rPr>
          <w:color w:val="FF0000"/>
        </w:rPr>
        <w:t>.</w:t>
      </w:r>
      <w:r w:rsidR="0020477E" w:rsidRPr="00A04B5D">
        <w:rPr>
          <w:color w:val="FF0000"/>
        </w:rPr>
        <w:t xml:space="preserve"> Theref</w:t>
      </w:r>
      <w:r w:rsidR="003121F7" w:rsidRPr="00A04B5D">
        <w:rPr>
          <w:color w:val="FF0000"/>
        </w:rPr>
        <w:t xml:space="preserve">ore it is needed to know more </w:t>
      </w:r>
      <w:r w:rsidR="00E6224D">
        <w:rPr>
          <w:color w:val="FF0000"/>
        </w:rPr>
        <w:t xml:space="preserve">about </w:t>
      </w:r>
      <w:r w:rsidR="003121F7" w:rsidRPr="00A04B5D">
        <w:rPr>
          <w:color w:val="FF0000"/>
        </w:rPr>
        <w:t xml:space="preserve">how location can impact the mobile banking usage </w:t>
      </w:r>
      <w:r w:rsidR="00B169DA" w:rsidRPr="00A04B5D">
        <w:rPr>
          <w:color w:val="FF0000"/>
        </w:rPr>
        <w:t>intention. Based</w:t>
      </w:r>
      <w:r w:rsidRPr="00A04B5D">
        <w:rPr>
          <w:color w:val="FF0000"/>
        </w:rPr>
        <w:t xml:space="preserve"> </w:t>
      </w:r>
      <w:r w:rsidRPr="00A47AEA">
        <w:t xml:space="preserve">on these, it sounds logical to apply the rural and urban location factors to investigate the impact on the antecedents of mobile banking usage in the context of eastern European nations. It could be an </w:t>
      </w:r>
      <w:r w:rsidR="00E6224D">
        <w:t>exci</w:t>
      </w:r>
      <w:r w:rsidRPr="00A47AEA">
        <w:t>ting area</w:t>
      </w:r>
      <w:r w:rsidR="00101684">
        <w:t>,</w:t>
      </w:r>
      <w:r w:rsidRPr="00A47AEA">
        <w:t xml:space="preserve"> especially for policymakers and the business community. </w:t>
      </w:r>
    </w:p>
    <w:p w14:paraId="21188893" w14:textId="77777777" w:rsidR="00877201" w:rsidRPr="0003321D" w:rsidRDefault="00877201" w:rsidP="003A0B75">
      <w:pPr>
        <w:keepNext/>
        <w:rPr>
          <w:i/>
          <w:lang w:val="en-US"/>
        </w:rPr>
      </w:pPr>
      <w:r>
        <w:rPr>
          <w:i/>
          <w:lang w:val="en-US"/>
        </w:rPr>
        <w:t xml:space="preserve">Linking financial experience to </w:t>
      </w:r>
      <w:r w:rsidRPr="00877201">
        <w:rPr>
          <w:i/>
          <w:lang w:val="en-US"/>
        </w:rPr>
        <w:t>UTAUT2</w:t>
      </w:r>
      <w:r>
        <w:rPr>
          <w:i/>
          <w:lang w:val="en-US"/>
        </w:rPr>
        <w:t xml:space="preserve"> constructs</w:t>
      </w:r>
    </w:p>
    <w:p w14:paraId="20EA34CB" w14:textId="77777777" w:rsidR="00E6224D" w:rsidRDefault="00A47AEA" w:rsidP="00101684">
      <w:r w:rsidRPr="00A47AEA">
        <w:t xml:space="preserve">According to Chawla </w:t>
      </w:r>
      <w:r w:rsidR="009136F1">
        <w:t>and</w:t>
      </w:r>
      <w:r w:rsidRPr="00A47AEA">
        <w:t xml:space="preserve"> Joshi (2018), the experience was explained as the accumulated practical contact with and observation of facts or events that the person gains while working in a particular job</w:t>
      </w:r>
      <w:r w:rsidR="009136F1">
        <w:t>, profession, place</w:t>
      </w:r>
      <w:r w:rsidR="00E6224D">
        <w:t>,</w:t>
      </w:r>
      <w:r w:rsidR="009136F1">
        <w:t xml:space="preserve"> or project.</w:t>
      </w:r>
      <w:r w:rsidRPr="00A47AEA">
        <w:t xml:space="preserve"> Another study stated that no precise definition </w:t>
      </w:r>
      <w:r w:rsidR="00101684">
        <w:t>of</w:t>
      </w:r>
      <w:r w:rsidRPr="00A47AEA">
        <w:t xml:space="preserve"> the experience is available</w:t>
      </w:r>
      <w:r w:rsidR="00101684">
        <w:t>;</w:t>
      </w:r>
      <w:r w:rsidRPr="00A47AEA">
        <w:t xml:space="preserve"> therefore</w:t>
      </w:r>
      <w:r w:rsidR="00101684">
        <w:t>,</w:t>
      </w:r>
      <w:r w:rsidRPr="00A47AEA">
        <w:t xml:space="preserve"> it will be useful to consider domain-specific conceptualization of experience and user experience related to technology as the study was related to technology acceptance </w:t>
      </w:r>
      <w:r w:rsidRPr="00A47AEA">
        <w:fldChar w:fldCharType="begin" w:fldLock="1"/>
      </w:r>
      <w:r w:rsidR="00B12E5D">
        <w:instrText>ADDIN CSL_CITATION {"citationItems":[{"id":"ITEM-1","itemData":{"DOI":"10.1016/j.ijhcs.2005.04.013","ISSN":"10715819","abstract":"Along with increasing investments in new technologies, user technology acceptance becomes a frequently studied topic in the information systems discipline. The last two decades have seen user acceptance models being proposed, tested, refined, extended and unified. These models have contributed to our understanding of user technology acceptance factors and their relationships. Yet they have also presented two limitations: the relatively low explanatory power and inconsistent influences of the factors across studies. Several researchers have recently started to examine the potential moderating effects that may overcome these limitations. However, studies in this direction are far from being conclusive. This study attempts to provide a systematic analysis of the explanatory and situational limitations of existing technology acceptance studies. Ten moderating factors are identified and categorized into three groups: organizational factors, technological factors and individual factors. An integrative model is subsequently established, followed by corresponding propositions pertaining to the moderating factors. © 2005 Elsevier Ltd. All rights reserved.","author":[{"dropping-particle":"","family":"Sun","given":"Heshan","non-dropping-particle":"","parse-names":false,"suffix":""},{"dropping-particle":"","family":"Zhang","given":"Ping","non-dropping-particle":"","parse-names":false,"suffix":""}],"container-title":"International Journal of Human-Computer Studies","id":"ITEM-1","issue":"2","issued":{"date-parts":[["2006","2"]]},"page":"53-78","title":"The role of moderating factors in user technology acceptance","type":"article-journal","volume":"64"},"uris":["http://www.mendeley.com/documents/?uuid=018ff9ae-98e7-48d5-aa1b-ffa2944009c0","http://www.mendeley.com/documents/?uuid=276f3ef2-7fe8-4e29-a160-e3ec6acea7d0"]}],"mendeley":{"formattedCitation":"(Sun and Zhang, 2006)","plainTextFormattedCitation":"(Sun and Zhang, 2006)","previouslyFormattedCitation":"(Sun and Zhang, 2006)"},"properties":{"noteIndex":0},"schema":"https://github.com/citation-style-language/schema/raw/master/csl-citation.json"}</w:instrText>
      </w:r>
      <w:r w:rsidRPr="00A47AEA">
        <w:fldChar w:fldCharType="separate"/>
      </w:r>
      <w:r w:rsidR="00B12E5D" w:rsidRPr="00B12E5D">
        <w:rPr>
          <w:noProof/>
        </w:rPr>
        <w:t>(Sun and Zhang, 2006)</w:t>
      </w:r>
      <w:r w:rsidRPr="00A47AEA">
        <w:rPr>
          <w:lang w:val="en-US"/>
        </w:rPr>
        <w:fldChar w:fldCharType="end"/>
      </w:r>
      <w:r w:rsidRPr="00A47AEA">
        <w:t xml:space="preserve">. The experience is about the extent of familiarity and knowledge </w:t>
      </w:r>
      <w:r w:rsidRPr="00A47AEA">
        <w:fldChar w:fldCharType="begin" w:fldLock="1"/>
      </w:r>
      <w:r w:rsidR="00B12E5D">
        <w:instrText>ADDIN CSL_CITATION {"citationItems":[{"id":"ITEM-1","itemData":{"DOI":"10.1016/j.ijhcs.2005.04.013","ISSN":"10715819","abstract":"Along with increasing investments in new technologies, user technology acceptance becomes a frequently studied topic in the information systems discipline. The last two decades have seen user acceptance models being proposed, tested, refined, extended and unified. These models have contributed to our understanding of user technology acceptance factors and their relationships. Yet they have also presented two limitations: the relatively low explanatory power and inconsistent influences of the factors across studies. Several researchers have recently started to examine the potential moderating effects that may overcome these limitations. However, studies in this direction are far from being conclusive. This study attempts to provide a systematic analysis of the explanatory and situational limitations of existing technology acceptance studies. Ten moderating factors are identified and categorized into three groups: organizational factors, technological factors and individual factors. An integrative model is subsequently established, followed by corresponding propositions pertaining to the moderating factors. © 2005 Elsevier Ltd. All rights reserved.","author":[{"dropping-particle":"","family":"Sun","given":"Heshan","non-dropping-particle":"","parse-names":false,"suffix":""},{"dropping-particle":"","family":"Zhang","given":"Ping","non-dropping-particle":"","parse-names":false,"suffix":""}],"container-title":"International Journal of Human-Computer Studies","id":"ITEM-1","issue":"2","issued":{"date-parts":[["2006","2"]]},"page":"53-78","title":"The role of moderating factors in user technology acceptance","type":"article-journal","volume":"64"},"uris":["http://www.mendeley.com/documents/?uuid=276f3ef2-7fe8-4e29-a160-e3ec6acea7d0","http://www.mendeley.com/documents/?uuid=018ff9ae-98e7-48d5-aa1b-ffa2944009c0"]}],"mendeley":{"formattedCitation":"(Sun and Zhang, 2006)","plainTextFormattedCitation":"(Sun and Zhang, 2006)","previouslyFormattedCitation":"(Sun and Zhang, 2006)"},"properties":{"noteIndex":0},"schema":"https://github.com/citation-style-language/schema/raw/master/csl-citation.json"}</w:instrText>
      </w:r>
      <w:r w:rsidRPr="00A47AEA">
        <w:fldChar w:fldCharType="separate"/>
      </w:r>
      <w:r w:rsidR="00B12E5D" w:rsidRPr="00B12E5D">
        <w:rPr>
          <w:noProof/>
        </w:rPr>
        <w:t>(Sun and Zhang, 2006)</w:t>
      </w:r>
      <w:r w:rsidRPr="00A47AEA">
        <w:rPr>
          <w:lang w:val="en-US"/>
        </w:rPr>
        <w:fldChar w:fldCharType="end"/>
      </w:r>
      <w:r w:rsidRPr="00A47AEA">
        <w:t xml:space="preserve">. The experience was used as a moderator in earlier studies of technology acceptance </w:t>
      </w:r>
      <w:r w:rsidRPr="00A47AEA">
        <w:fldChar w:fldCharType="begin" w:fldLock="1"/>
      </w:r>
      <w:r w:rsidR="00B12E5D">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A47AEA">
        <w:fldChar w:fldCharType="separate"/>
      </w:r>
      <w:r w:rsidR="00AF1E11" w:rsidRPr="00AF1E11">
        <w:rPr>
          <w:noProof/>
        </w:rPr>
        <w:t>(Venkatesh et al., 2003, 2012)</w:t>
      </w:r>
      <w:r w:rsidRPr="00A47AEA">
        <w:rPr>
          <w:lang w:val="en-US"/>
        </w:rPr>
        <w:fldChar w:fldCharType="end"/>
      </w:r>
      <w:r w:rsidRPr="00A47AEA">
        <w:t xml:space="preserve"> and gave significant results and stated its importance as </w:t>
      </w:r>
      <w:r w:rsidR="007861F6">
        <w:t xml:space="preserve">a </w:t>
      </w:r>
      <w:r w:rsidRPr="00A47AEA">
        <w:t xml:space="preserve">moderator. </w:t>
      </w:r>
      <w:r w:rsidR="00E6224D">
        <w:t>Before</w:t>
      </w:r>
      <w:r w:rsidRPr="00A47AEA">
        <w:t xml:space="preserve"> the advent of UTAUT, </w:t>
      </w:r>
      <w:r w:rsidR="009136F1" w:rsidRPr="00A47AEA">
        <w:rPr>
          <w:noProof/>
        </w:rPr>
        <w:t xml:space="preserve">Agarwal </w:t>
      </w:r>
      <w:r w:rsidR="009136F1">
        <w:rPr>
          <w:noProof/>
        </w:rPr>
        <w:t>and</w:t>
      </w:r>
      <w:r w:rsidR="009136F1" w:rsidRPr="00A47AEA">
        <w:rPr>
          <w:noProof/>
        </w:rPr>
        <w:t xml:space="preserve"> Prasad</w:t>
      </w:r>
      <w:r w:rsidR="009136F1" w:rsidRPr="00A47AEA">
        <w:t xml:space="preserve"> </w:t>
      </w:r>
      <w:r w:rsidRPr="00A47AEA">
        <w:fldChar w:fldCharType="begin" w:fldLock="1"/>
      </w:r>
      <w:r w:rsidR="007F49C2">
        <w:instrText>ADDIN CSL_CITATION {"citationItems":[{"id":"ITEM-1","itemData":{"DOI":"10.1111/j.1540-5915.1999.tb01614.x","ISSN":"0011-7315","abstract":"Persuading users to adopt new information technologies persists as an important problem confronting those responsible for implementing new information systems. In order to better understand and manage the process of new technology adoption, several theoretical models have been proposed, of which the technology acceptance model (TAM) has gained considerable support. Beliefs and attitudes represent significant constructs in TAM. A parallel research stream suggests that individual difference factors are important in information technology acceptance but does not explicate the process by which acceptance is influenced. The objective of this paper is to clarify this process by proposing a theoretical model wherein the relationship between individual differences and IT acceptance is hypothesized to be mediated by the constructs of the technology acceptance model. In essence then, these factors are viewed as influencing an individual's beliefs about an information technology innovation; this relationship is further supported by drawing upon extensive research in learning. The theoretical model was tested in an empirical study of 230 users of an information technology innovation. Results confirm the basic structure of the model, including the mediating role of beliefs. Results also identify several individual difference variables that have significant effects on TAM's beliefs. Theoretical contributions and practical implications that follow are discussed.","author":[{"dropping-particle":"","family":"Agarwal","given":"Ritu","non-dropping-particle":"","parse-names":false,"suffix":""},{"dropping-particle":"","family":"Prasad","given":"Jayesh","non-dropping-particle":"","parse-names":false,"suffix":""}],"container-title":"Decision Sciences","id":"ITEM-1","issue":"2","issued":{"date-parts":[["1999"]]},"page":"361-391","title":"Are Individual Differences Germane to the Acceptance of New Information Technologies?","type":"article-journal","volume":"30"},"suppress-author":1,"uris":["http://www.mendeley.com/documents/?uuid=8f1c6b5f-773c-4f3f-930e-6ae4e1bfedb7","http://www.mendeley.com/documents/?uuid=51105ebb-4bc0-4c40-b338-a960ce8c9b10"]}],"mendeley":{"formattedCitation":"(1999)","plainTextFormattedCitation":"(1999)","previouslyFormattedCitation":"(1999)"},"properties":{"noteIndex":0},"schema":"https://github.com/citation-style-language/schema/raw/master/csl-citation.json"}</w:instrText>
      </w:r>
      <w:r w:rsidRPr="00A47AEA">
        <w:fldChar w:fldCharType="separate"/>
      </w:r>
      <w:r w:rsidR="007F49C2" w:rsidRPr="007F49C2">
        <w:rPr>
          <w:noProof/>
        </w:rPr>
        <w:t>(1999)</w:t>
      </w:r>
      <w:r w:rsidRPr="00A47AEA">
        <w:rPr>
          <w:lang w:val="en-US"/>
        </w:rPr>
        <w:fldChar w:fldCharType="end"/>
      </w:r>
      <w:r w:rsidRPr="00A47AEA">
        <w:t xml:space="preserve"> stated that individual differences such as </w:t>
      </w:r>
      <w:r w:rsidR="00E6224D">
        <w:t>education level</w:t>
      </w:r>
      <w:r w:rsidRPr="00A47AEA">
        <w:t xml:space="preserve"> or the extent of prior experience have a substantial influence on TAM’s beliefs. No pr</w:t>
      </w:r>
      <w:r w:rsidR="00E6224D">
        <w:t>eliminary</w:t>
      </w:r>
      <w:r w:rsidRPr="00A47AEA">
        <w:t xml:space="preserve"> research about mobile banking usage and acceptance has ever considered financial experience </w:t>
      </w:r>
      <w:r w:rsidR="00E6224D">
        <w:t>e</w:t>
      </w:r>
      <w:r w:rsidRPr="00A47AEA">
        <w:t>ffects. Mobile banking i</w:t>
      </w:r>
      <w:r w:rsidR="00E6224D">
        <w:t>ncludes</w:t>
      </w:r>
      <w:r w:rsidRPr="00A47AEA">
        <w:t xml:space="preserve"> banking services provided through the internet, based on an application</w:t>
      </w:r>
      <w:r w:rsidR="00E6224D">
        <w:t>,</w:t>
      </w:r>
      <w:r w:rsidRPr="00A47AEA">
        <w:t xml:space="preserve"> and used through electronic devices. People who have financial work experience may find it easy to do </w:t>
      </w:r>
      <w:r w:rsidR="007861F6">
        <w:t xml:space="preserve">a </w:t>
      </w:r>
      <w:r w:rsidRPr="00A47AEA">
        <w:t xml:space="preserve">financial transaction online. Work experience may improve knowledge. OECD </w:t>
      </w:r>
      <w:r w:rsidRPr="00A47AEA">
        <w:fldChar w:fldCharType="begin" w:fldLock="1"/>
      </w:r>
      <w:r w:rsidR="007F49C2">
        <w:instrText>ADDIN CSL_CITATION {"citationItems":[{"id":"ITEM-1","itemData":{"author":[{"dropping-particle":"","family":"OECD","given":"","non-dropping-particle":"","parse-names":false,"suffix":""}],"id":"ITEM-1","issued":{"date-parts":[["2018"]]},"number-of-pages":"01-107","title":"Financial Markets, Insurance and Private Pensions: Digitalisation and Finance","type":"report"},"suppress-author":1,"uris":["http://www.mendeley.com/documents/?uuid=e6f24cbd-1fec-4f5c-a355-a821c4cdbc06","http://www.mendeley.com/documents/?uuid=5d5afe51-2017-4d3f-ad64-3b56fe5434c9"]}],"mendeley":{"formattedCitation":"(2018)","plainTextFormattedCitation":"(2018)","previouslyFormattedCitation":"(2018)"},"properties":{"noteIndex":0},"schema":"https://github.com/citation-style-language/schema/raw/master/csl-citation.json"}</w:instrText>
      </w:r>
      <w:r w:rsidRPr="00A47AEA">
        <w:fldChar w:fldCharType="separate"/>
      </w:r>
      <w:r w:rsidR="007F49C2" w:rsidRPr="007F49C2">
        <w:rPr>
          <w:noProof/>
        </w:rPr>
        <w:t>(2018)</w:t>
      </w:r>
      <w:r w:rsidRPr="00A47AEA">
        <w:rPr>
          <w:lang w:val="en-US"/>
        </w:rPr>
        <w:fldChar w:fldCharType="end"/>
      </w:r>
      <w:r w:rsidRPr="00A47AEA">
        <w:t xml:space="preserve"> also stated that consumers with a lower level of financial knowledge, should not be provided with </w:t>
      </w:r>
      <w:r w:rsidR="007861F6">
        <w:t>a</w:t>
      </w:r>
      <w:r w:rsidRPr="00A47AEA">
        <w:t xml:space="preserve"> complicated or high worth trans</w:t>
      </w:r>
      <w:r w:rsidR="009136F1">
        <w:t>action through online platforms.</w:t>
      </w:r>
      <w:r w:rsidRPr="00A47AEA">
        <w:t xml:space="preserve"> </w:t>
      </w:r>
      <w:r w:rsidR="009136F1">
        <w:t>I</w:t>
      </w:r>
      <w:r w:rsidRPr="00A47AEA">
        <w:t>t is a risk as well as it can disengage the consumer f</w:t>
      </w:r>
      <w:r w:rsidR="00E6224D">
        <w:t>ro</w:t>
      </w:r>
      <w:r w:rsidRPr="00A47AEA">
        <w:t>m the usage.</w:t>
      </w:r>
    </w:p>
    <w:p w14:paraId="7F741E46" w14:textId="22075999" w:rsidR="009511E7" w:rsidRPr="0042372C" w:rsidRDefault="00714647" w:rsidP="00101684">
      <w:r w:rsidRPr="00A04B5D">
        <w:rPr>
          <w:color w:val="FF0000"/>
        </w:rPr>
        <w:t>There is an effect of experience, such as work experience</w:t>
      </w:r>
      <w:r w:rsidR="00BA78C8">
        <w:rPr>
          <w:color w:val="FF0000"/>
        </w:rPr>
        <w:t>,</w:t>
      </w:r>
      <w:r w:rsidRPr="00A04B5D">
        <w:rPr>
          <w:color w:val="FF0000"/>
        </w:rPr>
        <w:t xml:space="preserve"> for example</w:t>
      </w:r>
      <w:r w:rsidR="00E6224D">
        <w:rPr>
          <w:color w:val="FF0000"/>
        </w:rPr>
        <w:t>,</w:t>
      </w:r>
      <w:r w:rsidRPr="00A04B5D">
        <w:rPr>
          <w:color w:val="FF0000"/>
        </w:rPr>
        <w:t xml:space="preserve"> individuals working in IT field or social media might have </w:t>
      </w:r>
      <w:r w:rsidR="00E6224D">
        <w:rPr>
          <w:color w:val="FF0000"/>
        </w:rPr>
        <w:t xml:space="preserve">a </w:t>
      </w:r>
      <w:r w:rsidRPr="00A04B5D">
        <w:rPr>
          <w:color w:val="FF0000"/>
        </w:rPr>
        <w:t>differen</w:t>
      </w:r>
      <w:r w:rsidR="00E6224D">
        <w:rPr>
          <w:color w:val="FF0000"/>
        </w:rPr>
        <w:t>t</w:t>
      </w:r>
      <w:r w:rsidR="0075274F">
        <w:rPr>
          <w:color w:val="FF0000"/>
        </w:rPr>
        <w:t xml:space="preserve"> approach.</w:t>
      </w:r>
      <w:r w:rsidRPr="00A04B5D">
        <w:rPr>
          <w:color w:val="FF0000"/>
        </w:rPr>
        <w:t xml:space="preserve"> Those users with experience in mobile applications, whether banking or any other, may have a different perception about the risks associated, improve their perception of utility and promote their usage overtime on an ongoing basis.</w:t>
      </w:r>
      <w:r w:rsidR="000609F5" w:rsidRPr="00A04B5D">
        <w:rPr>
          <w:color w:val="FF0000"/>
        </w:rPr>
        <w:t xml:space="preserve"> Factors such as consumers’ personality, comparable experiences</w:t>
      </w:r>
      <w:r w:rsidR="00E6224D">
        <w:rPr>
          <w:color w:val="FF0000"/>
        </w:rPr>
        <w:t>,</w:t>
      </w:r>
      <w:r w:rsidR="000609F5" w:rsidRPr="00A04B5D">
        <w:rPr>
          <w:color w:val="FF0000"/>
        </w:rPr>
        <w:t xml:space="preserve"> and individuals’ shopping orientation might reflect significant aspects </w:t>
      </w:r>
      <w:r w:rsidR="00E6224D">
        <w:rPr>
          <w:color w:val="FF0000"/>
        </w:rPr>
        <w:t>of the</w:t>
      </w:r>
      <w:r w:rsidR="000609F5" w:rsidRPr="00A04B5D">
        <w:rPr>
          <w:color w:val="FF0000"/>
        </w:rPr>
        <w:t xml:space="preserve"> technology acceptance model and online retailing </w:t>
      </w:r>
      <w:r w:rsidR="000609F5" w:rsidRPr="00A04B5D">
        <w:rPr>
          <w:color w:val="FF0000"/>
        </w:rPr>
        <w:fldChar w:fldCharType="begin" w:fldLock="1"/>
      </w:r>
      <w:r w:rsidR="00B12E5D" w:rsidRPr="00A04B5D">
        <w:rPr>
          <w:color w:val="FF0000"/>
        </w:rPr>
        <w:instrText>ADDIN CSL_CITATION {"citationItems":[{"id":"ITEM-1","itemData":{"DOI":"10.1016/S0969-6989(02)00004-8","ISSN":"09696989","abstract":"The interaction of consumers and marketers within the Web environment, particularly for retailing/purchasing is a growing area of importance. This paper focuses on examining Internet users adoption of the Web for retail usage. It uses the Technology Acceptance Model Davis (Int. J. Man-Mach. Studies 38 (1993) 475) as a theoretical foundation to explore adoption of this technology for retail usage. The study also adds what are argued to be key consumer characteristics such as Opinion Leadership, Impulsiveness, Web Shopping Compatibility, Internet Self-Efficacy, Perceived Web Security, Satisfaction with web sites, and Shopping Orientation to understand the adoption of Web retailing by Internet users'. A Web based survey was developed and administered, yielding 392 responses. The findings indicate that TAM is a valid theoretical framework to understand users adoption of the Web for retail purposes. Also Internet users' perceived usefulness and perceived ease of use were effected differentially by Opinion Leadership, Web Shopping Compatibility, Internet Self-Efficacy, Perceived Web Security, Impulsiveness, Satisfaction with web sites, and Shopping Orientation. © 2002 Published by Elsevier Science Ltd.","author":[{"dropping-particle":"","family":"O'Cass","given":"Aron","non-dropping-particle":"","parse-names":false,"suffix":""},{"dropping-particle":"","family":"Fenech","given":"Tino","non-dropping-particle":"","parse-names":false,"suffix":""}],"container-title":"Journal of Retailing and Consumer Services","id":"ITEM-1","issue":"2","issued":{"date-parts":[["2003"]]},"page":"81-94","title":"Web retailing adoption: Exploring the nature of internet users Web retailing behaviour","type":"article-journal","volume":"10"},"uris":["http://www.mendeley.com/documents/?uuid=b705575c-bf4f-45ef-961e-b9ca3d4168eb","http://www.mendeley.com/documents/?uuid=6cb0fd67-3caf-457b-9270-7a13144b0b02"]}],"mendeley":{"formattedCitation":"(O’Cass and Fenech, 2003)","plainTextFormattedCitation":"(O’Cass and Fenech, 2003)","previouslyFormattedCitation":"(O’Cass and Fenech, 2003)"},"properties":{"noteIndex":0},"schema":"https://github.com/citation-style-language/schema/raw/master/csl-citation.json"}</w:instrText>
      </w:r>
      <w:r w:rsidR="000609F5" w:rsidRPr="00A04B5D">
        <w:rPr>
          <w:color w:val="FF0000"/>
        </w:rPr>
        <w:fldChar w:fldCharType="separate"/>
      </w:r>
      <w:r w:rsidR="000609F5" w:rsidRPr="00A04B5D">
        <w:rPr>
          <w:noProof/>
          <w:color w:val="FF0000"/>
        </w:rPr>
        <w:t>(O’Cass and Fenech, 2003)</w:t>
      </w:r>
      <w:r w:rsidR="000609F5" w:rsidRPr="00A04B5D">
        <w:rPr>
          <w:color w:val="FF0000"/>
        </w:rPr>
        <w:fldChar w:fldCharType="end"/>
      </w:r>
      <w:r w:rsidR="000609F5" w:rsidRPr="00A04B5D">
        <w:rPr>
          <w:color w:val="FF0000"/>
        </w:rPr>
        <w:t xml:space="preserve">. </w:t>
      </w:r>
      <w:r w:rsidR="00751B80" w:rsidRPr="00A04B5D">
        <w:rPr>
          <w:color w:val="FF0000"/>
        </w:rPr>
        <w:t xml:space="preserve">The situational variables, attitude, and demographics of users helped to accept innovations </w:t>
      </w:r>
      <w:r w:rsidR="00751B80" w:rsidRPr="00A04B5D">
        <w:rPr>
          <w:color w:val="FF0000"/>
        </w:rPr>
        <w:fldChar w:fldCharType="begin" w:fldLock="1"/>
      </w:r>
      <w:r w:rsidR="00B12E5D" w:rsidRPr="00A04B5D">
        <w:rPr>
          <w:color w:val="FF0000"/>
        </w:rPr>
        <w:instrText>ADDIN CSL_CITATION {"citationItems":[{"id":"ITEM-1","itemData":{"DOI":"10.2307/249703","ISSN":"02767783","abstract":"Information systems are becoming increasingly critical to the daily operations and success of many firms. This, combined with the rising investments in design and development of these systems, make implementation a high priority research topic. Although information systems implementation has been a topic of interest to researchers over the past two decades, the extent to which the existing body of research reflects substantial and cumulative development is not entirely clear. The objective of this study is to conduct a rigorous and quantitative review of the empirical DSS implementation literature as a basis for providing guidelines for implementation management and conduct of future research. Meta-analysis of 144 findings from 33 studies indicates that user-situational variables (involvement, training and experience) are more important than psychological factors to DSS implementation success and that user-situational variables can improve the implementation success by as much as 30 percent. Furthermore, the meta-analytic findings regarding the methodological characteristics of studies provide useful insights for the design of future research studies of implementation. The findings also allow us to put into perspective the incremental contribution of additional substantive and empirical studies In this area. Additionally, several specific domains (e.g., construct validation research on user involvement and casual modeling) might profit most from future research efforts.","author":[{"dropping-particle":"","family":"Alavi","given":"Maryam","non-dropping-particle":"","parse-names":false,"suffix":""},{"dropping-particle":"","family":"Joachimsthaler","given":"Erich A.","non-dropping-particle":"","parse-names":false,"suffix":""}],"container-title":"MIS Quarterly: Management Information Systems","id":"ITEM-1","issue":"1","issued":{"date-parts":[["1992"]]},"page":"95-113","title":"Revisiting DSS implementation research: A meta-analysis of the literature and suggestions for researchers","type":"article-journal","volume":"16"},"uris":["http://www.mendeley.com/documents/?uuid=8a5cb884-2619-46c9-9b41-41bf7950832b","http://www.mendeley.com/documents/?uuid=8cac8b5e-4c0e-4654-96bb-13cd9ede0a1c"]}],"mendeley":{"formattedCitation":"(Alavi and Joachimsthaler, 1992)","plainTextFormattedCitation":"(Alavi and Joachimsthaler, 1992)","previouslyFormattedCitation":"(Alavi and Joachimsthaler, 1992)"},"properties":{"noteIndex":0},"schema":"https://github.com/citation-style-language/schema/raw/master/csl-citation.json"}</w:instrText>
      </w:r>
      <w:r w:rsidR="00751B80" w:rsidRPr="00A04B5D">
        <w:rPr>
          <w:color w:val="FF0000"/>
        </w:rPr>
        <w:fldChar w:fldCharType="separate"/>
      </w:r>
      <w:r w:rsidR="00751B80" w:rsidRPr="00A04B5D">
        <w:rPr>
          <w:noProof/>
          <w:color w:val="FF0000"/>
        </w:rPr>
        <w:t>(Alavi and Joachimsthaler, 1992)</w:t>
      </w:r>
      <w:r w:rsidR="00751B80" w:rsidRPr="00A04B5D">
        <w:rPr>
          <w:color w:val="FF0000"/>
        </w:rPr>
        <w:fldChar w:fldCharType="end"/>
      </w:r>
      <w:r w:rsidR="00751B80" w:rsidRPr="00A04B5D">
        <w:rPr>
          <w:color w:val="FF0000"/>
        </w:rPr>
        <w:t>.</w:t>
      </w:r>
      <w:r w:rsidR="00E6224D">
        <w:rPr>
          <w:color w:val="FF0000"/>
        </w:rPr>
        <w:t xml:space="preserve"> The p</w:t>
      </w:r>
      <w:r w:rsidR="000609F5" w:rsidRPr="00A04B5D">
        <w:rPr>
          <w:color w:val="FF0000"/>
        </w:rPr>
        <w:t>ersonal experience continues to be a central factor in the use of Online retail</w:t>
      </w:r>
      <w:r w:rsidR="00751B80" w:rsidRPr="00A04B5D">
        <w:rPr>
          <w:color w:val="FF0000"/>
        </w:rPr>
        <w:t xml:space="preserve"> </w:t>
      </w:r>
      <w:r w:rsidR="00751B80" w:rsidRPr="00A04B5D">
        <w:rPr>
          <w:color w:val="FF0000"/>
        </w:rPr>
        <w:fldChar w:fldCharType="begin" w:fldLock="1"/>
      </w:r>
      <w:r w:rsidR="00B12E5D" w:rsidRPr="00A04B5D">
        <w:rPr>
          <w:color w:val="FF0000"/>
        </w:rPr>
        <w:instrText>ADDIN CSL_CITATION {"citationItems":[{"id":"ITEM-1","itemData":{"DOI":"10.1016/S0969-6989(02)00004-8","ISSN":"09696989","abstract":"The interaction of consumers and marketers within the Web environment, particularly for retailing/purchasing is a growing area of importance. This paper focuses on examining Internet users adoption of the Web for retail usage. It uses the Technology Acceptance Model Davis (Int. J. Man-Mach. Studies 38 (1993) 475) as a theoretical foundation to explore adoption of this technology for retail usage. The study also adds what are argued to be key consumer characteristics such as Opinion Leadership, Impulsiveness, Web Shopping Compatibility, Internet Self-Efficacy, Perceived Web Security, Satisfaction with web sites, and Shopping Orientation to understand the adoption of Web retailing by Internet users'. A Web based survey was developed and administered, yielding 392 responses. The findings indicate that TAM is a valid theoretical framework to understand users adoption of the Web for retail purposes. Also Internet users' perceived usefulness and perceived ease of use were effected differentially by Opinion Leadership, Web Shopping Compatibility, Internet Self-Efficacy, Perceived Web Security, Impulsiveness, Satisfaction with web sites, and Shopping Orientation. © 2002 Published by Elsevier Science Ltd.","author":[{"dropping-particle":"","family":"O'Cass","given":"Aron","non-dropping-particle":"","parse-names":false,"suffix":""},{"dropping-particle":"","family":"Fenech","given":"Tino","non-dropping-particle":"","parse-names":false,"suffix":""}],"container-title":"Journal of Retailing and Consumer Services","id":"ITEM-1","issue":"2","issued":{"date-parts":[["2003"]]},"page":"81-94","title":"Web retailing adoption: Exploring the nature of internet users Web retailing behaviour","type":"article-journal","volume":"10"},"uris":["http://www.mendeley.com/documents/?uuid=6cb0fd67-3caf-457b-9270-7a13144b0b02","http://www.mendeley.com/documents/?uuid=b705575c-bf4f-45ef-961e-b9ca3d4168eb"]}],"mendeley":{"formattedCitation":"(O’Cass and Fenech, 2003)","plainTextFormattedCitation":"(O’Cass and Fenech, 2003)","previouslyFormattedCitation":"(O’Cass and Fenech, 2003)"},"properties":{"noteIndex":0},"schema":"https://github.com/citation-style-language/schema/raw/master/csl-citation.json"}</w:instrText>
      </w:r>
      <w:r w:rsidR="00751B80" w:rsidRPr="00A04B5D">
        <w:rPr>
          <w:color w:val="FF0000"/>
        </w:rPr>
        <w:fldChar w:fldCharType="separate"/>
      </w:r>
      <w:r w:rsidR="00751B80" w:rsidRPr="00A04B5D">
        <w:rPr>
          <w:noProof/>
          <w:color w:val="FF0000"/>
        </w:rPr>
        <w:t>(O’Cass and Fenech, 2003)</w:t>
      </w:r>
      <w:r w:rsidR="00751B80" w:rsidRPr="00A04B5D">
        <w:rPr>
          <w:color w:val="FF0000"/>
        </w:rPr>
        <w:fldChar w:fldCharType="end"/>
      </w:r>
      <w:r w:rsidR="000609F5" w:rsidRPr="00A04B5D">
        <w:rPr>
          <w:color w:val="FF0000"/>
        </w:rPr>
        <w:t>.</w:t>
      </w:r>
      <w:r w:rsidR="00751B80" w:rsidRPr="00A04B5D">
        <w:rPr>
          <w:color w:val="FF0000"/>
        </w:rPr>
        <w:t xml:space="preserve"> </w:t>
      </w:r>
      <w:r w:rsidR="00A47AEA" w:rsidRPr="00A47AEA">
        <w:t xml:space="preserve">Therefore, </w:t>
      </w:r>
      <w:r w:rsidR="00BA78C8">
        <w:t>mobile banking usage for the financial transaction</w:t>
      </w:r>
      <w:r w:rsidR="00A47AEA" w:rsidRPr="00A47AEA">
        <w:t xml:space="preserve"> seems reasonable to investigate how experience in the financial domain can affect </w:t>
      </w:r>
      <w:r w:rsidR="00BA78C8">
        <w:t>mobile banking use and acceptance</w:t>
      </w:r>
      <w:r w:rsidR="00A47AEA" w:rsidRPr="00A47AEA">
        <w:t>.</w:t>
      </w:r>
      <w:r w:rsidR="0075274F">
        <w:t xml:space="preserve"> </w:t>
      </w:r>
      <w:r w:rsidR="00A47AEA" w:rsidRPr="00A47AEA">
        <w:t>The present study is about</w:t>
      </w:r>
      <w:r w:rsidR="00BA78C8">
        <w:t xml:space="preserve"> how</w:t>
      </w:r>
      <w:r w:rsidR="00A47AEA" w:rsidRPr="00A47AEA">
        <w:t xml:space="preserve"> the financial experience</w:t>
      </w:r>
      <w:r w:rsidR="00BA78C8">
        <w:t xml:space="preserve"> effects,</w:t>
      </w:r>
      <w:r w:rsidR="00A47AEA" w:rsidRPr="00A47AEA">
        <w:t xml:space="preserve"> as </w:t>
      </w:r>
      <w:r w:rsidR="00BA78C8">
        <w:t>scholars have not yet researched this area.</w:t>
      </w:r>
      <w:r w:rsidR="00A47AEA" w:rsidRPr="00A47AEA">
        <w:t xml:space="preserve"> </w:t>
      </w:r>
      <w:r w:rsidR="00BA78C8">
        <w:t>T</w:t>
      </w:r>
      <w:r w:rsidR="00A47AEA" w:rsidRPr="00A47AEA">
        <w:t>he</w:t>
      </w:r>
      <w:r w:rsidR="00BA78C8">
        <w:t xml:space="preserve"> current</w:t>
      </w:r>
      <w:r w:rsidR="00A47AEA" w:rsidRPr="00A47AEA">
        <w:t xml:space="preserve"> </w:t>
      </w:r>
      <w:r w:rsidR="00BA78C8">
        <w:t>research</w:t>
      </w:r>
      <w:r w:rsidR="00A47AEA" w:rsidRPr="00A47AEA">
        <w:t xml:space="preserve"> believed that the insight </w:t>
      </w:r>
      <w:r w:rsidR="00BA78C8">
        <w:t>into how financial experience affects mobile banking usage antecedents would open a new research domain. Today, the</w:t>
      </w:r>
      <w:r w:rsidR="00A47AEA" w:rsidRPr="00A47AEA">
        <w:t xml:space="preserve"> financial market cannot work alone without ICT support</w:t>
      </w:r>
      <w:r w:rsidR="0042372C">
        <w:t>.</w:t>
      </w:r>
      <w:r w:rsidR="00A47AEA" w:rsidRPr="00A47AEA">
        <w:t xml:space="preserve"> </w:t>
      </w:r>
      <w:r w:rsidR="0042372C">
        <w:t>I</w:t>
      </w:r>
      <w:r w:rsidR="00A47AEA" w:rsidRPr="00A47AEA">
        <w:t xml:space="preserve">t makes it relevant and useful for policymakers and business houses. </w:t>
      </w:r>
    </w:p>
    <w:p w14:paraId="24BA632F" w14:textId="77777777" w:rsidR="008F3BB2" w:rsidRDefault="008F3BB2" w:rsidP="008F3BB2">
      <w:pPr>
        <w:pStyle w:val="Nadpis1"/>
        <w:rPr>
          <w:lang w:val="en-US"/>
        </w:rPr>
      </w:pPr>
      <w:bookmarkStart w:id="2" w:name="_Ref520202806"/>
      <w:r>
        <w:rPr>
          <w:lang w:val="en-US"/>
        </w:rPr>
        <w:t>Methods</w:t>
      </w:r>
      <w:r w:rsidR="00EE1FAE">
        <w:rPr>
          <w:lang w:val="en-US"/>
        </w:rPr>
        <w:t xml:space="preserve"> and procedures</w:t>
      </w:r>
      <w:bookmarkEnd w:id="2"/>
    </w:p>
    <w:p w14:paraId="1D7BD060" w14:textId="77777777" w:rsidR="00F44C82" w:rsidRDefault="00496D1A" w:rsidP="0071328C">
      <w:pPr>
        <w:rPr>
          <w:lang w:val="en-US"/>
        </w:rPr>
      </w:pPr>
      <w:r>
        <w:rPr>
          <w:i/>
          <w:lang w:val="en-US"/>
        </w:rPr>
        <w:t>Data</w:t>
      </w:r>
      <w:r w:rsidR="005A5587">
        <w:rPr>
          <w:i/>
          <w:lang w:val="en-US"/>
        </w:rPr>
        <w:t xml:space="preserve"> and variables</w:t>
      </w:r>
    </w:p>
    <w:p w14:paraId="31F5C599" w14:textId="2FC1E4DC" w:rsidR="00A349C1" w:rsidRDefault="00F10B08" w:rsidP="00496D1A">
      <w:r w:rsidRPr="00416D4C">
        <w:t xml:space="preserve">To </w:t>
      </w:r>
      <w:r w:rsidR="0042372C" w:rsidRPr="00416D4C">
        <w:t>investigate possible linkages between the individuals’ demographics and UTAUT2 co</w:t>
      </w:r>
      <w:r w:rsidR="00496D1A" w:rsidRPr="00416D4C">
        <w:t>nstructs</w:t>
      </w:r>
      <w:r w:rsidRPr="00416D4C">
        <w:t xml:space="preserve">, a questionnaire in </w:t>
      </w:r>
      <w:r w:rsidR="007861F6">
        <w:t xml:space="preserve">the </w:t>
      </w:r>
      <w:r w:rsidRPr="00416D4C">
        <w:t xml:space="preserve">English language was designed and reviewed for content validity by academics of the field. </w:t>
      </w:r>
      <w:r w:rsidR="00E6224D">
        <w:t>It was then</w:t>
      </w:r>
      <w:r w:rsidRPr="00416D4C">
        <w:t xml:space="preserve"> translated into the </w:t>
      </w:r>
      <w:r w:rsidR="00496D1A" w:rsidRPr="00416D4C">
        <w:t xml:space="preserve">four </w:t>
      </w:r>
      <w:r w:rsidRPr="00416D4C">
        <w:t>local language</w:t>
      </w:r>
      <w:r w:rsidR="00496D1A" w:rsidRPr="00416D4C">
        <w:t>s:</w:t>
      </w:r>
      <w:r w:rsidRPr="00416D4C">
        <w:t xml:space="preserve"> Albania</w:t>
      </w:r>
      <w:r w:rsidR="00496D1A" w:rsidRPr="00416D4C">
        <w:t>, Serbian, Croatian</w:t>
      </w:r>
      <w:r w:rsidR="00101684">
        <w:t>,</w:t>
      </w:r>
      <w:r w:rsidR="00496D1A" w:rsidRPr="00416D4C">
        <w:t xml:space="preserve"> and Macedonian</w:t>
      </w:r>
      <w:r w:rsidRPr="00416D4C">
        <w:t xml:space="preserve">. </w:t>
      </w:r>
      <w:r w:rsidR="00496D1A" w:rsidRPr="00416D4C">
        <w:t>The questionnaire was selected as a data collection tool</w:t>
      </w:r>
      <w:r w:rsidR="00101684">
        <w:t>,</w:t>
      </w:r>
      <w:r w:rsidR="00496D1A" w:rsidRPr="00416D4C">
        <w:t xml:space="preserve"> as it was suggested by prior studies </w:t>
      </w:r>
      <w:r w:rsidR="00496D1A" w:rsidRPr="00416D4C">
        <w:fldChar w:fldCharType="begin" w:fldLock="1"/>
      </w:r>
      <w:r w:rsidR="00B12E5D">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services","type":"article-journal","volume":"27"},"uris":["http://www.mendeley.com/documents/?uuid=0b3f374e-8b77-42e6-bc77-b7919247f6cf"]}],"mendeley":{"formattedCitation":"(Baptista and Oliveira, 2017)","plainTextFormattedCitation":"(Baptista and Oliveira, 2017)","previouslyFormattedCitation":"(Baptista and Oliveira, 2017)"},"properties":{"noteIndex":0},"schema":"https://github.com/citation-style-language/schema/raw/master/csl-citation.json"}</w:instrText>
      </w:r>
      <w:r w:rsidR="00496D1A" w:rsidRPr="00416D4C">
        <w:fldChar w:fldCharType="separate"/>
      </w:r>
      <w:r w:rsidR="00AF2B42" w:rsidRPr="00AF2B42">
        <w:rPr>
          <w:noProof/>
        </w:rPr>
        <w:t>(Baptista and Oliveira, 2017)</w:t>
      </w:r>
      <w:r w:rsidR="00496D1A" w:rsidRPr="00416D4C">
        <w:fldChar w:fldCharType="end"/>
      </w:r>
      <w:r w:rsidR="00496D1A" w:rsidRPr="00416D4C">
        <w:t xml:space="preserve">. The questionnaire consists of </w:t>
      </w:r>
      <w:r w:rsidR="001D4663" w:rsidRPr="00416D4C">
        <w:t xml:space="preserve">two sections: </w:t>
      </w:r>
      <w:r w:rsidR="007861F6">
        <w:t xml:space="preserve">the </w:t>
      </w:r>
      <w:r w:rsidR="00416D4C" w:rsidRPr="00416D4C">
        <w:t xml:space="preserve">demographic profile of the respondents and the </w:t>
      </w:r>
      <w:r w:rsidR="001D4663" w:rsidRPr="00416D4C">
        <w:t>UTAUT2 constructs.</w:t>
      </w:r>
      <w:r w:rsidR="00416D4C" w:rsidRPr="00416D4C">
        <w:t xml:space="preserve"> Besides user behavior, all other UTAUT2 constructs were adopted from Venkatesh et al. </w:t>
      </w:r>
      <w:r w:rsidR="00416D4C" w:rsidRPr="00416D4C">
        <w:fldChar w:fldCharType="begin" w:fldLock="1"/>
      </w:r>
      <w:r w:rsidR="00FA2FDE">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suppress-author":1,"uris":["http://www.mendeley.com/documents/?uuid=d3b08f86-21f0-4ce5-8751-41168bfd46fa"]}],"mendeley":{"formattedCitation":"(2012)","plainTextFormattedCitation":"(2012)","previouslyFormattedCitation":"(2012)"},"properties":{"noteIndex":0},"schema":"https://github.com/citation-style-language/schema/raw/master/csl-citation.json"}</w:instrText>
      </w:r>
      <w:r w:rsidR="00416D4C" w:rsidRPr="00416D4C">
        <w:fldChar w:fldCharType="separate"/>
      </w:r>
      <w:r w:rsidR="00B12E5D" w:rsidRPr="00B12E5D">
        <w:rPr>
          <w:noProof/>
        </w:rPr>
        <w:t>(2012)</w:t>
      </w:r>
      <w:r w:rsidR="00416D4C" w:rsidRPr="00416D4C">
        <w:fldChar w:fldCharType="end"/>
      </w:r>
      <w:r w:rsidR="00416D4C" w:rsidRPr="00416D4C">
        <w:t xml:space="preserve">. </w:t>
      </w:r>
      <w:r w:rsidR="00416D4C">
        <w:t xml:space="preserve">The scale of </w:t>
      </w:r>
      <w:r w:rsidR="00416D4C" w:rsidRPr="00F10B08">
        <w:t xml:space="preserve">Martins et al. </w:t>
      </w:r>
      <w:r w:rsidR="00416D4C" w:rsidRPr="00F10B08">
        <w:fldChar w:fldCharType="begin" w:fldLock="1"/>
      </w:r>
      <w:r w:rsidR="00B12E5D">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suppress-author":1,"uris":["http://www.mendeley.com/documents/?uuid=96813dcc-876f-4822-b605-c49b13f34395"]}],"mendeley":{"formattedCitation":"(2014)","plainTextFormattedCitation":"(2014)","previouslyFormattedCitation":"(2014)"},"properties":{"noteIndex":0},"schema":"https://github.com/citation-style-language/schema/raw/master/csl-citation.json"}</w:instrText>
      </w:r>
      <w:r w:rsidR="00416D4C" w:rsidRPr="00F10B08">
        <w:fldChar w:fldCharType="separate"/>
      </w:r>
      <w:r w:rsidR="00B12E5D" w:rsidRPr="00B12E5D">
        <w:rPr>
          <w:noProof/>
        </w:rPr>
        <w:t>(2014)</w:t>
      </w:r>
      <w:r w:rsidR="00416D4C" w:rsidRPr="00F10B08">
        <w:rPr>
          <w:lang w:val="en-US"/>
        </w:rPr>
        <w:fldChar w:fldCharType="end"/>
      </w:r>
      <w:r w:rsidR="00416D4C">
        <w:rPr>
          <w:lang w:val="en-US"/>
        </w:rPr>
        <w:t xml:space="preserve"> </w:t>
      </w:r>
      <w:r w:rsidR="00416D4C">
        <w:t>was used to measure u</w:t>
      </w:r>
      <w:r w:rsidR="00416D4C" w:rsidRPr="00416D4C">
        <w:t>ser behavior</w:t>
      </w:r>
      <w:r w:rsidR="00416D4C">
        <w:t xml:space="preserve">, pointing at the frequency of the use of mobile banking: </w:t>
      </w:r>
      <w:r w:rsidR="00416D4C" w:rsidRPr="00F10B08">
        <w:t>1 = ‘once a year’, 2 = ‘once in six months’, 3 = ‘once in three months’, 4 = ‘once a month’, 5 = ‘once a week’, 6 = ‘once in 4-5 days’, 7 = ‘once in 2-3 days’, 8 = ‘almost every day’, 9 = ‘every day’, 10 = ‘several times a day’.</w:t>
      </w:r>
      <w:r w:rsidR="00416D4C">
        <w:t xml:space="preserve"> </w:t>
      </w:r>
    </w:p>
    <w:p w14:paraId="3CAA4670" w14:textId="0476E8C8" w:rsidR="00FA7CE4" w:rsidRDefault="00416D4C" w:rsidP="00101684">
      <w:pPr>
        <w:rPr>
          <w:lang w:val="en-US"/>
        </w:rPr>
      </w:pPr>
      <w:r>
        <w:t xml:space="preserve">To </w:t>
      </w:r>
      <w:r w:rsidR="00A349C1">
        <w:t>achieve</w:t>
      </w:r>
      <w:r>
        <w:t xml:space="preserve"> the respondents, </w:t>
      </w:r>
      <w:r w:rsidRPr="00A04B5D">
        <w:rPr>
          <w:color w:val="FF0000"/>
        </w:rPr>
        <w:t xml:space="preserve">the </w:t>
      </w:r>
      <w:r w:rsidR="00D65D5E" w:rsidRPr="00A04B5D">
        <w:rPr>
          <w:color w:val="FF0000"/>
        </w:rPr>
        <w:t>university alumni databases</w:t>
      </w:r>
      <w:r w:rsidR="005D2834" w:rsidRPr="00A04B5D">
        <w:rPr>
          <w:color w:val="FF0000"/>
        </w:rPr>
        <w:t xml:space="preserve"> were</w:t>
      </w:r>
      <w:r w:rsidR="00D65D5E" w:rsidRPr="00A04B5D">
        <w:rPr>
          <w:color w:val="FF0000"/>
        </w:rPr>
        <w:t xml:space="preserve"> used</w:t>
      </w:r>
      <w:r w:rsidR="003E02AA">
        <w:t>.</w:t>
      </w:r>
      <w:r w:rsidR="00EA4540" w:rsidRPr="00EA4540">
        <w:t xml:space="preserve"> </w:t>
      </w:r>
      <w:r w:rsidR="00EA4540" w:rsidRPr="00F10B08">
        <w:t xml:space="preserve">Thus, the target </w:t>
      </w:r>
      <w:r w:rsidR="00EA4540">
        <w:t>individuals</w:t>
      </w:r>
      <w:r w:rsidR="00EA4540" w:rsidRPr="00F10B08">
        <w:t xml:space="preserve"> consist of </w:t>
      </w:r>
      <w:r w:rsidR="00EA4540">
        <w:t>those older than</w:t>
      </w:r>
      <w:r w:rsidR="00EA4540" w:rsidRPr="00F10B08">
        <w:t xml:space="preserve"> </w:t>
      </w:r>
      <w:r w:rsidR="00EA4540">
        <w:t xml:space="preserve">18 years old </w:t>
      </w:r>
      <w:r w:rsidR="00EA4540" w:rsidRPr="00F10B08">
        <w:t xml:space="preserve">who </w:t>
      </w:r>
      <w:r w:rsidR="00EA4540">
        <w:t>had a mobile phone/</w:t>
      </w:r>
      <w:r w:rsidR="00EA4540" w:rsidRPr="00F10B08">
        <w:t xml:space="preserve">tablet </w:t>
      </w:r>
      <w:r w:rsidR="00EA4540">
        <w:t>connected to the</w:t>
      </w:r>
      <w:r w:rsidR="00EA4540" w:rsidRPr="00F10B08">
        <w:t xml:space="preserve"> internet </w:t>
      </w:r>
      <w:r w:rsidR="00EA4540">
        <w:t xml:space="preserve">and </w:t>
      </w:r>
      <w:r w:rsidR="00EA4540" w:rsidRPr="00F10B08">
        <w:t>have at least one bank accounts.</w:t>
      </w:r>
      <w:r w:rsidR="00A349C1">
        <w:t xml:space="preserve"> To ensure consistency and </w:t>
      </w:r>
      <w:r w:rsidR="00E6224D">
        <w:t>revise the translation's accuracy</w:t>
      </w:r>
      <w:r w:rsidR="00A349C1">
        <w:t xml:space="preserve">, a pilot test with few respondents was done in each country. </w:t>
      </w:r>
      <w:r w:rsidR="00BF692B">
        <w:t>The phase of the data collection took place in March-May 2019. After cleaning the dataset, the final sample consists of 959 valid records.</w:t>
      </w:r>
      <w:r w:rsidR="005A5587">
        <w:t xml:space="preserve"> In </w:t>
      </w:r>
      <w:r w:rsidR="00F10B08" w:rsidRPr="00F10B08">
        <w:t xml:space="preserve">Table 1 </w:t>
      </w:r>
      <w:r w:rsidR="005A5587">
        <w:t xml:space="preserve">is shown </w:t>
      </w:r>
      <w:r w:rsidR="00F10B08" w:rsidRPr="00F10B08">
        <w:t>the sample profile</w:t>
      </w:r>
      <w:r w:rsidR="005A5587">
        <w:t xml:space="preserve">, breakdown </w:t>
      </w:r>
      <w:r w:rsidR="00101684">
        <w:t>of</w:t>
      </w:r>
      <w:r w:rsidR="005A5587">
        <w:t xml:space="preserve"> each country</w:t>
      </w:r>
      <w:r w:rsidR="00E37E1F">
        <w:t>.</w:t>
      </w:r>
    </w:p>
    <w:p w14:paraId="6B5D17F1" w14:textId="77777777" w:rsidR="00667AA1" w:rsidRPr="0062500B" w:rsidRDefault="007C5CB6" w:rsidP="00EA4540">
      <w:pPr>
        <w:keepNext/>
        <w:jc w:val="center"/>
        <w:rPr>
          <w:lang w:val="en-US"/>
        </w:rPr>
      </w:pPr>
      <w:r>
        <w:rPr>
          <w:lang w:val="en-US"/>
        </w:rPr>
        <w:t xml:space="preserve">Table 1. </w:t>
      </w:r>
      <w:r w:rsidR="002D6CE2" w:rsidRPr="002D6CE2">
        <w:rPr>
          <w:lang w:val="en-US"/>
        </w:rPr>
        <w:t xml:space="preserve">Sample characteristics </w:t>
      </w:r>
      <w:r w:rsidR="00E35FF3">
        <w:rPr>
          <w:lang w:val="en-US"/>
        </w:rPr>
        <w:t>(</w:t>
      </w:r>
      <w:r w:rsidR="0062500B">
        <w:rPr>
          <w:lang w:val="en-US"/>
        </w:rPr>
        <w:t>number of respondents</w:t>
      </w:r>
      <w:r w:rsidR="00E35FF3">
        <w:rPr>
          <w:lang w:val="en-US"/>
        </w:rPr>
        <w:t>)</w:t>
      </w:r>
    </w:p>
    <w:tbl>
      <w:tblPr>
        <w:tblStyle w:val="Mkatabulky"/>
        <w:tblW w:w="5000" w:type="pct"/>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1264"/>
        <w:gridCol w:w="2404"/>
        <w:gridCol w:w="828"/>
        <w:gridCol w:w="721"/>
        <w:gridCol w:w="1839"/>
        <w:gridCol w:w="869"/>
        <w:gridCol w:w="1091"/>
      </w:tblGrid>
      <w:tr w:rsidR="00EA4540" w:rsidRPr="00667AA1" w14:paraId="0E8ADFB1" w14:textId="77777777" w:rsidTr="006A57E5">
        <w:trPr>
          <w:trHeight w:val="300"/>
        </w:trPr>
        <w:tc>
          <w:tcPr>
            <w:tcW w:w="701" w:type="pct"/>
            <w:tcBorders>
              <w:bottom w:val="nil"/>
            </w:tcBorders>
            <w:noWrap/>
            <w:hideMark/>
          </w:tcPr>
          <w:p w14:paraId="6D6C6FE9" w14:textId="77777777" w:rsidR="00EA4540" w:rsidRPr="00667AA1" w:rsidRDefault="00EA4540" w:rsidP="00667AA1"/>
        </w:tc>
        <w:tc>
          <w:tcPr>
            <w:tcW w:w="1333" w:type="pct"/>
            <w:tcBorders>
              <w:bottom w:val="nil"/>
            </w:tcBorders>
            <w:noWrap/>
            <w:hideMark/>
          </w:tcPr>
          <w:p w14:paraId="740E251E" w14:textId="77777777" w:rsidR="00EA4540" w:rsidRPr="00667AA1" w:rsidRDefault="00EA4540"/>
        </w:tc>
        <w:tc>
          <w:tcPr>
            <w:tcW w:w="2361" w:type="pct"/>
            <w:gridSpan w:val="4"/>
            <w:tcBorders>
              <w:top w:val="single" w:sz="4" w:space="0" w:color="auto"/>
              <w:bottom w:val="single" w:sz="4" w:space="0" w:color="auto"/>
            </w:tcBorders>
            <w:noWrap/>
            <w:hideMark/>
          </w:tcPr>
          <w:p w14:paraId="5DB2EA41" w14:textId="77777777" w:rsidR="00EA4540" w:rsidRPr="00667AA1" w:rsidRDefault="00EA4540" w:rsidP="0062500B">
            <w:pPr>
              <w:jc w:val="center"/>
            </w:pPr>
            <w:r w:rsidRPr="00667AA1">
              <w:t>Country</w:t>
            </w:r>
          </w:p>
        </w:tc>
        <w:tc>
          <w:tcPr>
            <w:tcW w:w="605" w:type="pct"/>
            <w:tcBorders>
              <w:bottom w:val="nil"/>
            </w:tcBorders>
            <w:noWrap/>
            <w:hideMark/>
          </w:tcPr>
          <w:p w14:paraId="33D1B148" w14:textId="77777777" w:rsidR="00EA4540" w:rsidRPr="00667AA1" w:rsidRDefault="00EA4540" w:rsidP="0062500B">
            <w:pPr>
              <w:jc w:val="center"/>
            </w:pPr>
          </w:p>
        </w:tc>
      </w:tr>
      <w:tr w:rsidR="00EA4540" w:rsidRPr="00667AA1" w14:paraId="10EEF079" w14:textId="77777777" w:rsidTr="006A57E5">
        <w:trPr>
          <w:trHeight w:val="300"/>
        </w:trPr>
        <w:tc>
          <w:tcPr>
            <w:tcW w:w="701" w:type="pct"/>
            <w:tcBorders>
              <w:top w:val="nil"/>
              <w:bottom w:val="single" w:sz="4" w:space="0" w:color="auto"/>
            </w:tcBorders>
            <w:noWrap/>
            <w:hideMark/>
          </w:tcPr>
          <w:p w14:paraId="00B43630" w14:textId="77777777" w:rsidR="00EA4540" w:rsidRPr="00667AA1" w:rsidRDefault="00EA4540" w:rsidP="0062500B"/>
        </w:tc>
        <w:tc>
          <w:tcPr>
            <w:tcW w:w="1333" w:type="pct"/>
            <w:tcBorders>
              <w:top w:val="nil"/>
              <w:bottom w:val="single" w:sz="4" w:space="0" w:color="auto"/>
            </w:tcBorders>
            <w:noWrap/>
            <w:hideMark/>
          </w:tcPr>
          <w:p w14:paraId="1C8F7B59" w14:textId="77777777" w:rsidR="00EA4540" w:rsidRPr="00667AA1" w:rsidRDefault="00EA4540" w:rsidP="0062500B"/>
        </w:tc>
        <w:tc>
          <w:tcPr>
            <w:tcW w:w="459" w:type="pct"/>
            <w:tcBorders>
              <w:top w:val="single" w:sz="4" w:space="0" w:color="auto"/>
              <w:bottom w:val="single" w:sz="4" w:space="0" w:color="auto"/>
            </w:tcBorders>
            <w:noWrap/>
          </w:tcPr>
          <w:p w14:paraId="477BC9BE" w14:textId="77777777" w:rsidR="00EA4540" w:rsidRPr="00667AA1" w:rsidRDefault="00EA4540" w:rsidP="0062500B">
            <w:pPr>
              <w:jc w:val="center"/>
            </w:pPr>
            <w:r>
              <w:t>Croatia</w:t>
            </w:r>
          </w:p>
        </w:tc>
        <w:tc>
          <w:tcPr>
            <w:tcW w:w="400" w:type="pct"/>
            <w:tcBorders>
              <w:top w:val="single" w:sz="4" w:space="0" w:color="auto"/>
              <w:bottom w:val="single" w:sz="4" w:space="0" w:color="auto"/>
            </w:tcBorders>
            <w:noWrap/>
          </w:tcPr>
          <w:p w14:paraId="72F75D24" w14:textId="77777777" w:rsidR="00EA4540" w:rsidRPr="00667AA1" w:rsidRDefault="00EA4540" w:rsidP="0062500B">
            <w:pPr>
              <w:jc w:val="center"/>
            </w:pPr>
            <w:r>
              <w:t>Serbia</w:t>
            </w:r>
          </w:p>
        </w:tc>
        <w:tc>
          <w:tcPr>
            <w:tcW w:w="1020" w:type="pct"/>
            <w:tcBorders>
              <w:top w:val="single" w:sz="4" w:space="0" w:color="auto"/>
              <w:bottom w:val="single" w:sz="4" w:space="0" w:color="auto"/>
            </w:tcBorders>
            <w:noWrap/>
          </w:tcPr>
          <w:p w14:paraId="16BD31CE" w14:textId="77777777" w:rsidR="00EA4540" w:rsidRPr="00667AA1" w:rsidRDefault="00EA4540" w:rsidP="0062500B">
            <w:pPr>
              <w:jc w:val="center"/>
            </w:pPr>
            <w:r>
              <w:t>North Macedonia</w:t>
            </w:r>
          </w:p>
        </w:tc>
        <w:tc>
          <w:tcPr>
            <w:tcW w:w="482" w:type="pct"/>
            <w:tcBorders>
              <w:top w:val="single" w:sz="4" w:space="0" w:color="auto"/>
              <w:bottom w:val="single" w:sz="4" w:space="0" w:color="auto"/>
            </w:tcBorders>
            <w:noWrap/>
          </w:tcPr>
          <w:p w14:paraId="732C6BE6" w14:textId="77777777" w:rsidR="00EA4540" w:rsidRPr="00667AA1" w:rsidRDefault="00EA4540" w:rsidP="0062500B">
            <w:pPr>
              <w:jc w:val="center"/>
            </w:pPr>
            <w:r>
              <w:t>Albania</w:t>
            </w:r>
          </w:p>
        </w:tc>
        <w:tc>
          <w:tcPr>
            <w:tcW w:w="605" w:type="pct"/>
            <w:tcBorders>
              <w:top w:val="nil"/>
              <w:bottom w:val="single" w:sz="4" w:space="0" w:color="auto"/>
            </w:tcBorders>
            <w:noWrap/>
            <w:hideMark/>
          </w:tcPr>
          <w:p w14:paraId="0A343C03" w14:textId="77777777" w:rsidR="00EA4540" w:rsidRPr="00667AA1" w:rsidRDefault="00EA4540" w:rsidP="0062500B">
            <w:pPr>
              <w:jc w:val="center"/>
            </w:pPr>
            <w:r w:rsidRPr="00667AA1">
              <w:t>Total</w:t>
            </w:r>
          </w:p>
        </w:tc>
      </w:tr>
      <w:tr w:rsidR="00EA4540" w:rsidRPr="00667AA1" w14:paraId="6A3B8746" w14:textId="77777777" w:rsidTr="006A57E5">
        <w:trPr>
          <w:trHeight w:val="300"/>
        </w:trPr>
        <w:tc>
          <w:tcPr>
            <w:tcW w:w="701" w:type="pct"/>
            <w:tcBorders>
              <w:top w:val="single" w:sz="4" w:space="0" w:color="auto"/>
            </w:tcBorders>
            <w:noWrap/>
            <w:hideMark/>
          </w:tcPr>
          <w:p w14:paraId="398BF9F8" w14:textId="77777777" w:rsidR="00EA4540" w:rsidRPr="00667AA1" w:rsidRDefault="00EA4540" w:rsidP="00EA4540">
            <w:r>
              <w:t>Gender</w:t>
            </w:r>
          </w:p>
        </w:tc>
        <w:tc>
          <w:tcPr>
            <w:tcW w:w="1333" w:type="pct"/>
            <w:tcBorders>
              <w:top w:val="single" w:sz="4" w:space="0" w:color="auto"/>
              <w:bottom w:val="nil"/>
            </w:tcBorders>
            <w:noWrap/>
            <w:hideMark/>
          </w:tcPr>
          <w:p w14:paraId="4A0178C8" w14:textId="77777777" w:rsidR="00EA4540" w:rsidRPr="00667AA1" w:rsidRDefault="00EA4540" w:rsidP="00EA4540">
            <w:r>
              <w:t>Male</w:t>
            </w:r>
          </w:p>
        </w:tc>
        <w:tc>
          <w:tcPr>
            <w:tcW w:w="459" w:type="pct"/>
            <w:tcBorders>
              <w:top w:val="single" w:sz="4" w:space="0" w:color="auto"/>
              <w:bottom w:val="nil"/>
            </w:tcBorders>
            <w:noWrap/>
          </w:tcPr>
          <w:p w14:paraId="35837AC1" w14:textId="77777777" w:rsidR="00EA4540" w:rsidRPr="00667AA1" w:rsidRDefault="00EA4540" w:rsidP="00EA4540">
            <w:pPr>
              <w:jc w:val="center"/>
            </w:pPr>
            <w:r w:rsidRPr="00667AA1">
              <w:t>75</w:t>
            </w:r>
          </w:p>
        </w:tc>
        <w:tc>
          <w:tcPr>
            <w:tcW w:w="400" w:type="pct"/>
            <w:tcBorders>
              <w:top w:val="single" w:sz="4" w:space="0" w:color="auto"/>
              <w:bottom w:val="nil"/>
            </w:tcBorders>
            <w:noWrap/>
          </w:tcPr>
          <w:p w14:paraId="10091FC0" w14:textId="77777777" w:rsidR="00EA4540" w:rsidRPr="00667AA1" w:rsidRDefault="00EA4540" w:rsidP="00EA4540">
            <w:pPr>
              <w:jc w:val="center"/>
            </w:pPr>
            <w:r w:rsidRPr="00667AA1">
              <w:t>55</w:t>
            </w:r>
          </w:p>
        </w:tc>
        <w:tc>
          <w:tcPr>
            <w:tcW w:w="1020" w:type="pct"/>
            <w:tcBorders>
              <w:top w:val="single" w:sz="4" w:space="0" w:color="auto"/>
              <w:bottom w:val="nil"/>
            </w:tcBorders>
            <w:noWrap/>
          </w:tcPr>
          <w:p w14:paraId="4913AFDD" w14:textId="77777777" w:rsidR="00EA4540" w:rsidRPr="00667AA1" w:rsidRDefault="00EA4540" w:rsidP="00EA4540">
            <w:pPr>
              <w:jc w:val="center"/>
            </w:pPr>
            <w:r w:rsidRPr="00667AA1">
              <w:t>68</w:t>
            </w:r>
          </w:p>
        </w:tc>
        <w:tc>
          <w:tcPr>
            <w:tcW w:w="482" w:type="pct"/>
            <w:tcBorders>
              <w:top w:val="single" w:sz="4" w:space="0" w:color="auto"/>
              <w:bottom w:val="nil"/>
            </w:tcBorders>
            <w:noWrap/>
          </w:tcPr>
          <w:p w14:paraId="134E8415" w14:textId="77777777" w:rsidR="00EA4540" w:rsidRPr="00667AA1" w:rsidRDefault="00EA4540" w:rsidP="00EA4540">
            <w:pPr>
              <w:jc w:val="center"/>
            </w:pPr>
            <w:r w:rsidRPr="00667AA1">
              <w:t>128</w:t>
            </w:r>
          </w:p>
        </w:tc>
        <w:tc>
          <w:tcPr>
            <w:tcW w:w="605" w:type="pct"/>
            <w:tcBorders>
              <w:top w:val="single" w:sz="4" w:space="0" w:color="auto"/>
              <w:bottom w:val="nil"/>
            </w:tcBorders>
            <w:noWrap/>
            <w:hideMark/>
          </w:tcPr>
          <w:p w14:paraId="462DE874" w14:textId="77777777" w:rsidR="00EA4540" w:rsidRPr="00667AA1" w:rsidRDefault="00EA4540" w:rsidP="00EA4540">
            <w:pPr>
              <w:jc w:val="center"/>
            </w:pPr>
            <w:r w:rsidRPr="00EA4540">
              <w:t>326</w:t>
            </w:r>
          </w:p>
        </w:tc>
      </w:tr>
      <w:tr w:rsidR="00EA4540" w:rsidRPr="00667AA1" w14:paraId="5515B2CA" w14:textId="77777777" w:rsidTr="006A57E5">
        <w:trPr>
          <w:trHeight w:val="300"/>
        </w:trPr>
        <w:tc>
          <w:tcPr>
            <w:tcW w:w="701" w:type="pct"/>
            <w:noWrap/>
            <w:hideMark/>
          </w:tcPr>
          <w:p w14:paraId="08C1802B" w14:textId="77777777" w:rsidR="00EA4540" w:rsidRPr="00667AA1" w:rsidRDefault="00EA4540" w:rsidP="00EA4540"/>
        </w:tc>
        <w:tc>
          <w:tcPr>
            <w:tcW w:w="1333" w:type="pct"/>
            <w:tcBorders>
              <w:top w:val="nil"/>
              <w:bottom w:val="single" w:sz="4" w:space="0" w:color="auto"/>
            </w:tcBorders>
            <w:noWrap/>
            <w:hideMark/>
          </w:tcPr>
          <w:p w14:paraId="025EAF24" w14:textId="77777777" w:rsidR="00EA4540" w:rsidRPr="00667AA1" w:rsidRDefault="00EA4540" w:rsidP="00EA4540">
            <w:r>
              <w:t>Female</w:t>
            </w:r>
          </w:p>
        </w:tc>
        <w:tc>
          <w:tcPr>
            <w:tcW w:w="459" w:type="pct"/>
            <w:tcBorders>
              <w:top w:val="nil"/>
              <w:bottom w:val="single" w:sz="4" w:space="0" w:color="auto"/>
            </w:tcBorders>
            <w:noWrap/>
          </w:tcPr>
          <w:p w14:paraId="0571B06E" w14:textId="77777777" w:rsidR="00EA4540" w:rsidRPr="00667AA1" w:rsidRDefault="00EA4540" w:rsidP="00EA4540">
            <w:pPr>
              <w:jc w:val="center"/>
            </w:pPr>
            <w:r w:rsidRPr="00667AA1">
              <w:t>132</w:t>
            </w:r>
          </w:p>
        </w:tc>
        <w:tc>
          <w:tcPr>
            <w:tcW w:w="400" w:type="pct"/>
            <w:tcBorders>
              <w:top w:val="nil"/>
              <w:bottom w:val="single" w:sz="4" w:space="0" w:color="auto"/>
            </w:tcBorders>
            <w:noWrap/>
          </w:tcPr>
          <w:p w14:paraId="758A0FDA" w14:textId="77777777" w:rsidR="00EA4540" w:rsidRPr="00667AA1" w:rsidRDefault="00EA4540" w:rsidP="00EA4540">
            <w:pPr>
              <w:jc w:val="center"/>
            </w:pPr>
            <w:r w:rsidRPr="00667AA1">
              <w:t>124</w:t>
            </w:r>
          </w:p>
        </w:tc>
        <w:tc>
          <w:tcPr>
            <w:tcW w:w="1020" w:type="pct"/>
            <w:tcBorders>
              <w:top w:val="nil"/>
              <w:bottom w:val="single" w:sz="4" w:space="0" w:color="auto"/>
            </w:tcBorders>
            <w:noWrap/>
          </w:tcPr>
          <w:p w14:paraId="4C8F0F41" w14:textId="77777777" w:rsidR="00EA4540" w:rsidRPr="00667AA1" w:rsidRDefault="00EA4540" w:rsidP="00EA4540">
            <w:pPr>
              <w:jc w:val="center"/>
            </w:pPr>
            <w:r w:rsidRPr="00667AA1">
              <w:t>98</w:t>
            </w:r>
          </w:p>
        </w:tc>
        <w:tc>
          <w:tcPr>
            <w:tcW w:w="482" w:type="pct"/>
            <w:tcBorders>
              <w:top w:val="nil"/>
              <w:bottom w:val="single" w:sz="4" w:space="0" w:color="auto"/>
            </w:tcBorders>
            <w:noWrap/>
          </w:tcPr>
          <w:p w14:paraId="2748FEEA" w14:textId="77777777" w:rsidR="00EA4540" w:rsidRPr="00667AA1" w:rsidRDefault="00EA4540" w:rsidP="00EA4540">
            <w:pPr>
              <w:jc w:val="center"/>
            </w:pPr>
            <w:r w:rsidRPr="00667AA1">
              <w:t>279</w:t>
            </w:r>
          </w:p>
        </w:tc>
        <w:tc>
          <w:tcPr>
            <w:tcW w:w="605" w:type="pct"/>
            <w:tcBorders>
              <w:top w:val="nil"/>
              <w:bottom w:val="single" w:sz="4" w:space="0" w:color="auto"/>
            </w:tcBorders>
            <w:noWrap/>
            <w:hideMark/>
          </w:tcPr>
          <w:p w14:paraId="366829BB" w14:textId="77777777" w:rsidR="00EA4540" w:rsidRPr="00667AA1" w:rsidRDefault="00EA4540" w:rsidP="00EA4540">
            <w:pPr>
              <w:jc w:val="center"/>
            </w:pPr>
            <w:r w:rsidRPr="00EA4540">
              <w:t>633</w:t>
            </w:r>
          </w:p>
        </w:tc>
      </w:tr>
      <w:tr w:rsidR="00EA4540" w:rsidRPr="00667AA1" w14:paraId="4F0553B8" w14:textId="77777777" w:rsidTr="006A57E5">
        <w:trPr>
          <w:trHeight w:val="300"/>
        </w:trPr>
        <w:tc>
          <w:tcPr>
            <w:tcW w:w="701" w:type="pct"/>
            <w:noWrap/>
            <w:hideMark/>
          </w:tcPr>
          <w:p w14:paraId="3C78D0A4" w14:textId="77777777" w:rsidR="00EA4540" w:rsidRPr="00667AA1" w:rsidRDefault="00EA4540" w:rsidP="00EA4540">
            <w:r>
              <w:t>Education</w:t>
            </w:r>
          </w:p>
        </w:tc>
        <w:tc>
          <w:tcPr>
            <w:tcW w:w="1333" w:type="pct"/>
            <w:tcBorders>
              <w:top w:val="single" w:sz="4" w:space="0" w:color="auto"/>
            </w:tcBorders>
            <w:noWrap/>
            <w:hideMark/>
          </w:tcPr>
          <w:p w14:paraId="01E8F494" w14:textId="77777777" w:rsidR="00EA4540" w:rsidRPr="00667AA1" w:rsidRDefault="00EA4540" w:rsidP="00EA4540">
            <w:r>
              <w:t>High school or less</w:t>
            </w:r>
          </w:p>
        </w:tc>
        <w:tc>
          <w:tcPr>
            <w:tcW w:w="459" w:type="pct"/>
            <w:tcBorders>
              <w:top w:val="single" w:sz="4" w:space="0" w:color="auto"/>
            </w:tcBorders>
            <w:noWrap/>
          </w:tcPr>
          <w:p w14:paraId="60FB92CD" w14:textId="77777777" w:rsidR="00EA4540" w:rsidRPr="00667AA1" w:rsidRDefault="00EA4540" w:rsidP="00EA4540">
            <w:pPr>
              <w:jc w:val="center"/>
            </w:pPr>
            <w:r>
              <w:t>54</w:t>
            </w:r>
          </w:p>
        </w:tc>
        <w:tc>
          <w:tcPr>
            <w:tcW w:w="400" w:type="pct"/>
            <w:tcBorders>
              <w:top w:val="single" w:sz="4" w:space="0" w:color="auto"/>
            </w:tcBorders>
            <w:noWrap/>
          </w:tcPr>
          <w:p w14:paraId="2E3BB5CB" w14:textId="77777777" w:rsidR="00EA4540" w:rsidRPr="00667AA1" w:rsidRDefault="00EA4540" w:rsidP="00EA4540">
            <w:pPr>
              <w:jc w:val="center"/>
            </w:pPr>
            <w:r w:rsidRPr="00667AA1">
              <w:t>29</w:t>
            </w:r>
          </w:p>
        </w:tc>
        <w:tc>
          <w:tcPr>
            <w:tcW w:w="1020" w:type="pct"/>
            <w:tcBorders>
              <w:top w:val="single" w:sz="4" w:space="0" w:color="auto"/>
            </w:tcBorders>
            <w:noWrap/>
          </w:tcPr>
          <w:p w14:paraId="43B9E5C4" w14:textId="77777777" w:rsidR="00EA4540" w:rsidRPr="00667AA1" w:rsidRDefault="00EA4540" w:rsidP="00EA4540">
            <w:pPr>
              <w:jc w:val="center"/>
            </w:pPr>
            <w:r>
              <w:t>61</w:t>
            </w:r>
          </w:p>
        </w:tc>
        <w:tc>
          <w:tcPr>
            <w:tcW w:w="482" w:type="pct"/>
            <w:tcBorders>
              <w:top w:val="single" w:sz="4" w:space="0" w:color="auto"/>
            </w:tcBorders>
            <w:noWrap/>
          </w:tcPr>
          <w:p w14:paraId="4DB072CF" w14:textId="77777777" w:rsidR="00EA4540" w:rsidRPr="00667AA1" w:rsidRDefault="00EA4540" w:rsidP="00EA4540">
            <w:pPr>
              <w:jc w:val="center"/>
            </w:pPr>
            <w:r>
              <w:t>65</w:t>
            </w:r>
          </w:p>
        </w:tc>
        <w:tc>
          <w:tcPr>
            <w:tcW w:w="605" w:type="pct"/>
            <w:tcBorders>
              <w:top w:val="single" w:sz="4" w:space="0" w:color="auto"/>
            </w:tcBorders>
            <w:noWrap/>
            <w:hideMark/>
          </w:tcPr>
          <w:p w14:paraId="05314A8A" w14:textId="77777777" w:rsidR="00EA4540" w:rsidRPr="00667AA1" w:rsidRDefault="00EA4540" w:rsidP="00EA4540">
            <w:pPr>
              <w:jc w:val="center"/>
            </w:pPr>
            <w:r w:rsidRPr="00EA4540">
              <w:t>209</w:t>
            </w:r>
          </w:p>
        </w:tc>
      </w:tr>
      <w:tr w:rsidR="00EA4540" w:rsidRPr="00667AA1" w14:paraId="6CA6E824" w14:textId="77777777" w:rsidTr="006A57E5">
        <w:trPr>
          <w:trHeight w:val="300"/>
        </w:trPr>
        <w:tc>
          <w:tcPr>
            <w:tcW w:w="701" w:type="pct"/>
            <w:noWrap/>
            <w:hideMark/>
          </w:tcPr>
          <w:p w14:paraId="1A698D8B" w14:textId="77777777" w:rsidR="00EA4540" w:rsidRPr="00667AA1" w:rsidRDefault="00EA4540" w:rsidP="00EA4540">
            <w:r>
              <w:t>level</w:t>
            </w:r>
          </w:p>
        </w:tc>
        <w:tc>
          <w:tcPr>
            <w:tcW w:w="1333" w:type="pct"/>
            <w:tcBorders>
              <w:bottom w:val="nil"/>
            </w:tcBorders>
            <w:noWrap/>
            <w:hideMark/>
          </w:tcPr>
          <w:p w14:paraId="5E67BCD9" w14:textId="77777777" w:rsidR="00EA4540" w:rsidRPr="00667AA1" w:rsidRDefault="00EA4540" w:rsidP="00EA4540">
            <w:r>
              <w:t>University</w:t>
            </w:r>
          </w:p>
        </w:tc>
        <w:tc>
          <w:tcPr>
            <w:tcW w:w="459" w:type="pct"/>
            <w:tcBorders>
              <w:bottom w:val="nil"/>
            </w:tcBorders>
            <w:noWrap/>
          </w:tcPr>
          <w:p w14:paraId="4CC4C93E" w14:textId="77777777" w:rsidR="00EA4540" w:rsidRPr="00667AA1" w:rsidRDefault="00EA4540" w:rsidP="00EA4540">
            <w:pPr>
              <w:jc w:val="center"/>
            </w:pPr>
            <w:r w:rsidRPr="00667AA1">
              <w:t>41</w:t>
            </w:r>
          </w:p>
        </w:tc>
        <w:tc>
          <w:tcPr>
            <w:tcW w:w="400" w:type="pct"/>
            <w:tcBorders>
              <w:bottom w:val="nil"/>
            </w:tcBorders>
            <w:noWrap/>
          </w:tcPr>
          <w:p w14:paraId="34692564" w14:textId="77777777" w:rsidR="00EA4540" w:rsidRPr="00667AA1" w:rsidRDefault="00EA4540" w:rsidP="00EA4540">
            <w:pPr>
              <w:jc w:val="center"/>
            </w:pPr>
            <w:r w:rsidRPr="00667AA1">
              <w:t>99</w:t>
            </w:r>
          </w:p>
        </w:tc>
        <w:tc>
          <w:tcPr>
            <w:tcW w:w="1020" w:type="pct"/>
            <w:tcBorders>
              <w:bottom w:val="nil"/>
            </w:tcBorders>
            <w:noWrap/>
          </w:tcPr>
          <w:p w14:paraId="40CC4D50" w14:textId="77777777" w:rsidR="00EA4540" w:rsidRPr="00667AA1" w:rsidRDefault="00EA4540" w:rsidP="00EA4540">
            <w:pPr>
              <w:jc w:val="center"/>
            </w:pPr>
            <w:r w:rsidRPr="00667AA1">
              <w:t>75</w:t>
            </w:r>
          </w:p>
        </w:tc>
        <w:tc>
          <w:tcPr>
            <w:tcW w:w="482" w:type="pct"/>
            <w:tcBorders>
              <w:bottom w:val="nil"/>
            </w:tcBorders>
            <w:noWrap/>
          </w:tcPr>
          <w:p w14:paraId="78BEC3AF" w14:textId="77777777" w:rsidR="00EA4540" w:rsidRPr="00667AA1" w:rsidRDefault="00EA4540" w:rsidP="00EA4540">
            <w:pPr>
              <w:jc w:val="center"/>
            </w:pPr>
            <w:r w:rsidRPr="00667AA1">
              <w:t>204</w:t>
            </w:r>
          </w:p>
        </w:tc>
        <w:tc>
          <w:tcPr>
            <w:tcW w:w="605" w:type="pct"/>
            <w:tcBorders>
              <w:bottom w:val="nil"/>
            </w:tcBorders>
            <w:noWrap/>
            <w:hideMark/>
          </w:tcPr>
          <w:p w14:paraId="496617AB" w14:textId="77777777" w:rsidR="00EA4540" w:rsidRPr="00667AA1" w:rsidRDefault="00EA4540" w:rsidP="00EA4540">
            <w:pPr>
              <w:jc w:val="center"/>
            </w:pPr>
            <w:r w:rsidRPr="00EA4540">
              <w:t>419</w:t>
            </w:r>
          </w:p>
        </w:tc>
      </w:tr>
      <w:tr w:rsidR="00EA4540" w:rsidRPr="00667AA1" w14:paraId="2D3B8FB1" w14:textId="77777777" w:rsidTr="006A57E5">
        <w:trPr>
          <w:trHeight w:val="300"/>
        </w:trPr>
        <w:tc>
          <w:tcPr>
            <w:tcW w:w="701" w:type="pct"/>
            <w:noWrap/>
            <w:hideMark/>
          </w:tcPr>
          <w:p w14:paraId="5A2491EE" w14:textId="77777777" w:rsidR="00EA4540" w:rsidRPr="00667AA1" w:rsidRDefault="00EA4540" w:rsidP="00EA4540"/>
        </w:tc>
        <w:tc>
          <w:tcPr>
            <w:tcW w:w="1333" w:type="pct"/>
            <w:tcBorders>
              <w:top w:val="nil"/>
              <w:bottom w:val="single" w:sz="4" w:space="0" w:color="auto"/>
            </w:tcBorders>
            <w:noWrap/>
            <w:hideMark/>
          </w:tcPr>
          <w:p w14:paraId="47FF442F" w14:textId="77777777" w:rsidR="00EA4540" w:rsidRPr="00667AA1" w:rsidRDefault="00EA4540" w:rsidP="00EA4540">
            <w:r>
              <w:t>Post-university or more</w:t>
            </w:r>
          </w:p>
        </w:tc>
        <w:tc>
          <w:tcPr>
            <w:tcW w:w="459" w:type="pct"/>
            <w:tcBorders>
              <w:top w:val="nil"/>
              <w:bottom w:val="single" w:sz="4" w:space="0" w:color="auto"/>
            </w:tcBorders>
            <w:noWrap/>
          </w:tcPr>
          <w:p w14:paraId="26E7880E" w14:textId="77777777" w:rsidR="00EA4540" w:rsidRPr="00667AA1" w:rsidRDefault="00EA4540" w:rsidP="00EA4540">
            <w:pPr>
              <w:jc w:val="center"/>
            </w:pPr>
            <w:r w:rsidRPr="00667AA1">
              <w:t>112</w:t>
            </w:r>
          </w:p>
        </w:tc>
        <w:tc>
          <w:tcPr>
            <w:tcW w:w="400" w:type="pct"/>
            <w:tcBorders>
              <w:top w:val="nil"/>
              <w:bottom w:val="single" w:sz="4" w:space="0" w:color="auto"/>
            </w:tcBorders>
            <w:noWrap/>
          </w:tcPr>
          <w:p w14:paraId="1B5B57C8" w14:textId="77777777" w:rsidR="00EA4540" w:rsidRPr="00667AA1" w:rsidRDefault="00EA4540" w:rsidP="00EA4540">
            <w:pPr>
              <w:jc w:val="center"/>
            </w:pPr>
            <w:r w:rsidRPr="00667AA1">
              <w:t>51</w:t>
            </w:r>
          </w:p>
        </w:tc>
        <w:tc>
          <w:tcPr>
            <w:tcW w:w="1020" w:type="pct"/>
            <w:tcBorders>
              <w:top w:val="nil"/>
              <w:bottom w:val="single" w:sz="4" w:space="0" w:color="auto"/>
            </w:tcBorders>
            <w:noWrap/>
          </w:tcPr>
          <w:p w14:paraId="1A434D34" w14:textId="77777777" w:rsidR="00EA4540" w:rsidRPr="00667AA1" w:rsidRDefault="00EA4540" w:rsidP="00EA4540">
            <w:pPr>
              <w:jc w:val="center"/>
            </w:pPr>
            <w:r w:rsidRPr="00667AA1">
              <w:t>28</w:t>
            </w:r>
          </w:p>
        </w:tc>
        <w:tc>
          <w:tcPr>
            <w:tcW w:w="482" w:type="pct"/>
            <w:tcBorders>
              <w:top w:val="nil"/>
              <w:bottom w:val="single" w:sz="4" w:space="0" w:color="auto"/>
            </w:tcBorders>
            <w:noWrap/>
          </w:tcPr>
          <w:p w14:paraId="22F58A8D" w14:textId="77777777" w:rsidR="00EA4540" w:rsidRPr="00667AA1" w:rsidRDefault="00EA4540" w:rsidP="00EA4540">
            <w:pPr>
              <w:jc w:val="center"/>
            </w:pPr>
            <w:r w:rsidRPr="00667AA1">
              <w:t>138</w:t>
            </w:r>
          </w:p>
        </w:tc>
        <w:tc>
          <w:tcPr>
            <w:tcW w:w="605" w:type="pct"/>
            <w:tcBorders>
              <w:top w:val="nil"/>
              <w:bottom w:val="single" w:sz="4" w:space="0" w:color="auto"/>
            </w:tcBorders>
            <w:noWrap/>
            <w:hideMark/>
          </w:tcPr>
          <w:p w14:paraId="40D101B7" w14:textId="77777777" w:rsidR="00EA4540" w:rsidRPr="00667AA1" w:rsidRDefault="00EA4540" w:rsidP="00EA4540">
            <w:pPr>
              <w:jc w:val="center"/>
            </w:pPr>
            <w:r w:rsidRPr="00EA4540">
              <w:t>329</w:t>
            </w:r>
          </w:p>
        </w:tc>
      </w:tr>
      <w:tr w:rsidR="00EA4540" w:rsidRPr="00667AA1" w14:paraId="060A2AB5" w14:textId="77777777" w:rsidTr="006A57E5">
        <w:trPr>
          <w:trHeight w:val="300"/>
        </w:trPr>
        <w:tc>
          <w:tcPr>
            <w:tcW w:w="701" w:type="pct"/>
            <w:noWrap/>
            <w:hideMark/>
          </w:tcPr>
          <w:p w14:paraId="61043458" w14:textId="77777777" w:rsidR="00EA4540" w:rsidRPr="00667AA1" w:rsidRDefault="00EA4540" w:rsidP="00EA4540">
            <w:r>
              <w:t>O</w:t>
            </w:r>
            <w:r w:rsidRPr="00667AA1">
              <w:t>ccupation</w:t>
            </w:r>
          </w:p>
        </w:tc>
        <w:tc>
          <w:tcPr>
            <w:tcW w:w="1333" w:type="pct"/>
            <w:tcBorders>
              <w:top w:val="single" w:sz="4" w:space="0" w:color="auto"/>
            </w:tcBorders>
            <w:noWrap/>
            <w:hideMark/>
          </w:tcPr>
          <w:p w14:paraId="7958F2E6" w14:textId="77777777" w:rsidR="00EA4540" w:rsidRPr="00667AA1" w:rsidRDefault="00EA4540" w:rsidP="00EA4540">
            <w:r w:rsidRPr="0062500B">
              <w:t>Public sector</w:t>
            </w:r>
          </w:p>
        </w:tc>
        <w:tc>
          <w:tcPr>
            <w:tcW w:w="459" w:type="pct"/>
            <w:tcBorders>
              <w:top w:val="single" w:sz="4" w:space="0" w:color="auto"/>
            </w:tcBorders>
            <w:noWrap/>
          </w:tcPr>
          <w:p w14:paraId="646B6713" w14:textId="77777777" w:rsidR="00EA4540" w:rsidRPr="00667AA1" w:rsidRDefault="00EA4540" w:rsidP="00EA4540">
            <w:pPr>
              <w:jc w:val="center"/>
            </w:pPr>
            <w:r w:rsidRPr="00667AA1">
              <w:t>61</w:t>
            </w:r>
          </w:p>
        </w:tc>
        <w:tc>
          <w:tcPr>
            <w:tcW w:w="400" w:type="pct"/>
            <w:tcBorders>
              <w:top w:val="single" w:sz="4" w:space="0" w:color="auto"/>
            </w:tcBorders>
            <w:noWrap/>
          </w:tcPr>
          <w:p w14:paraId="075E381F" w14:textId="77777777" w:rsidR="00EA4540" w:rsidRPr="00667AA1" w:rsidRDefault="00EA4540" w:rsidP="00EA4540">
            <w:pPr>
              <w:jc w:val="center"/>
            </w:pPr>
            <w:r w:rsidRPr="00667AA1">
              <w:t>22</w:t>
            </w:r>
          </w:p>
        </w:tc>
        <w:tc>
          <w:tcPr>
            <w:tcW w:w="1020" w:type="pct"/>
            <w:tcBorders>
              <w:top w:val="single" w:sz="4" w:space="0" w:color="auto"/>
            </w:tcBorders>
            <w:noWrap/>
          </w:tcPr>
          <w:p w14:paraId="449BA62C" w14:textId="77777777" w:rsidR="00EA4540" w:rsidRPr="00667AA1" w:rsidRDefault="00EA4540" w:rsidP="00EA4540">
            <w:pPr>
              <w:jc w:val="center"/>
            </w:pPr>
            <w:r w:rsidRPr="00667AA1">
              <w:t>65</w:t>
            </w:r>
          </w:p>
        </w:tc>
        <w:tc>
          <w:tcPr>
            <w:tcW w:w="482" w:type="pct"/>
            <w:tcBorders>
              <w:top w:val="single" w:sz="4" w:space="0" w:color="auto"/>
            </w:tcBorders>
            <w:noWrap/>
          </w:tcPr>
          <w:p w14:paraId="2242C692" w14:textId="77777777" w:rsidR="00EA4540" w:rsidRPr="00667AA1" w:rsidRDefault="00EA4540" w:rsidP="00EA4540">
            <w:pPr>
              <w:jc w:val="center"/>
            </w:pPr>
            <w:r w:rsidRPr="00667AA1">
              <w:t>44</w:t>
            </w:r>
          </w:p>
        </w:tc>
        <w:tc>
          <w:tcPr>
            <w:tcW w:w="605" w:type="pct"/>
            <w:tcBorders>
              <w:top w:val="single" w:sz="4" w:space="0" w:color="auto"/>
            </w:tcBorders>
            <w:noWrap/>
            <w:hideMark/>
          </w:tcPr>
          <w:p w14:paraId="76C887AF" w14:textId="77777777" w:rsidR="00EA4540" w:rsidRPr="00667AA1" w:rsidRDefault="00EA4540" w:rsidP="00EA4540">
            <w:pPr>
              <w:jc w:val="center"/>
            </w:pPr>
            <w:r w:rsidRPr="00EA4540">
              <w:t>192</w:t>
            </w:r>
          </w:p>
        </w:tc>
      </w:tr>
      <w:tr w:rsidR="00EA4540" w:rsidRPr="00667AA1" w14:paraId="1D6B606E" w14:textId="77777777" w:rsidTr="006A57E5">
        <w:trPr>
          <w:trHeight w:val="300"/>
        </w:trPr>
        <w:tc>
          <w:tcPr>
            <w:tcW w:w="701" w:type="pct"/>
            <w:noWrap/>
            <w:hideMark/>
          </w:tcPr>
          <w:p w14:paraId="4F15050B" w14:textId="77777777" w:rsidR="00EA4540" w:rsidRPr="00667AA1" w:rsidRDefault="00EA4540" w:rsidP="00EA4540"/>
        </w:tc>
        <w:tc>
          <w:tcPr>
            <w:tcW w:w="1333" w:type="pct"/>
            <w:noWrap/>
            <w:hideMark/>
          </w:tcPr>
          <w:p w14:paraId="746F6609" w14:textId="77777777" w:rsidR="00EA4540" w:rsidRPr="00667AA1" w:rsidRDefault="00EA4540" w:rsidP="00EA4540">
            <w:r w:rsidRPr="0062500B">
              <w:t>Private sector</w:t>
            </w:r>
          </w:p>
        </w:tc>
        <w:tc>
          <w:tcPr>
            <w:tcW w:w="459" w:type="pct"/>
            <w:noWrap/>
          </w:tcPr>
          <w:p w14:paraId="70AA6ED0" w14:textId="77777777" w:rsidR="00EA4540" w:rsidRPr="00667AA1" w:rsidRDefault="00EA4540" w:rsidP="00EA4540">
            <w:pPr>
              <w:jc w:val="center"/>
            </w:pPr>
            <w:r w:rsidRPr="00667AA1">
              <w:t>88</w:t>
            </w:r>
          </w:p>
        </w:tc>
        <w:tc>
          <w:tcPr>
            <w:tcW w:w="400" w:type="pct"/>
            <w:noWrap/>
          </w:tcPr>
          <w:p w14:paraId="556A1207" w14:textId="77777777" w:rsidR="00EA4540" w:rsidRPr="00667AA1" w:rsidRDefault="00EA4540" w:rsidP="00EA4540">
            <w:pPr>
              <w:jc w:val="center"/>
            </w:pPr>
            <w:r w:rsidRPr="00667AA1">
              <w:t>93</w:t>
            </w:r>
          </w:p>
        </w:tc>
        <w:tc>
          <w:tcPr>
            <w:tcW w:w="1020" w:type="pct"/>
            <w:noWrap/>
          </w:tcPr>
          <w:p w14:paraId="6142891B" w14:textId="77777777" w:rsidR="00EA4540" w:rsidRPr="00667AA1" w:rsidRDefault="00EA4540" w:rsidP="00EA4540">
            <w:pPr>
              <w:jc w:val="center"/>
            </w:pPr>
            <w:r w:rsidRPr="00667AA1">
              <w:t>56</w:t>
            </w:r>
          </w:p>
        </w:tc>
        <w:tc>
          <w:tcPr>
            <w:tcW w:w="482" w:type="pct"/>
            <w:noWrap/>
          </w:tcPr>
          <w:p w14:paraId="5092C698" w14:textId="77777777" w:rsidR="00EA4540" w:rsidRPr="00667AA1" w:rsidRDefault="00EA4540" w:rsidP="00EA4540">
            <w:pPr>
              <w:jc w:val="center"/>
            </w:pPr>
            <w:r w:rsidRPr="00667AA1">
              <w:t>182</w:t>
            </w:r>
          </w:p>
        </w:tc>
        <w:tc>
          <w:tcPr>
            <w:tcW w:w="605" w:type="pct"/>
            <w:noWrap/>
            <w:hideMark/>
          </w:tcPr>
          <w:p w14:paraId="29D9A3BD" w14:textId="77777777" w:rsidR="00EA4540" w:rsidRPr="00667AA1" w:rsidRDefault="00EA4540" w:rsidP="00EA4540">
            <w:pPr>
              <w:jc w:val="center"/>
            </w:pPr>
            <w:r w:rsidRPr="00EA4540">
              <w:t>419</w:t>
            </w:r>
          </w:p>
        </w:tc>
      </w:tr>
      <w:tr w:rsidR="00EA4540" w:rsidRPr="00667AA1" w14:paraId="2970D3FA" w14:textId="77777777" w:rsidTr="006A57E5">
        <w:trPr>
          <w:trHeight w:val="300"/>
        </w:trPr>
        <w:tc>
          <w:tcPr>
            <w:tcW w:w="701" w:type="pct"/>
            <w:tcBorders>
              <w:bottom w:val="nil"/>
            </w:tcBorders>
            <w:noWrap/>
            <w:hideMark/>
          </w:tcPr>
          <w:p w14:paraId="3B5F1C7A" w14:textId="77777777" w:rsidR="00EA4540" w:rsidRPr="00667AA1" w:rsidRDefault="00EA4540" w:rsidP="00EA4540"/>
        </w:tc>
        <w:tc>
          <w:tcPr>
            <w:tcW w:w="1333" w:type="pct"/>
            <w:tcBorders>
              <w:bottom w:val="nil"/>
            </w:tcBorders>
            <w:noWrap/>
            <w:hideMark/>
          </w:tcPr>
          <w:p w14:paraId="4AD436DB" w14:textId="77777777" w:rsidR="00EA4540" w:rsidRPr="00667AA1" w:rsidRDefault="00EA4540" w:rsidP="00EA4540">
            <w:r>
              <w:t>Both</w:t>
            </w:r>
          </w:p>
        </w:tc>
        <w:tc>
          <w:tcPr>
            <w:tcW w:w="459" w:type="pct"/>
            <w:tcBorders>
              <w:bottom w:val="nil"/>
            </w:tcBorders>
            <w:noWrap/>
          </w:tcPr>
          <w:p w14:paraId="4A4954C9" w14:textId="77777777" w:rsidR="00EA4540" w:rsidRPr="00667AA1" w:rsidRDefault="00EA4540" w:rsidP="00EA4540">
            <w:pPr>
              <w:jc w:val="center"/>
            </w:pPr>
            <w:r w:rsidRPr="00667AA1">
              <w:t>15</w:t>
            </w:r>
          </w:p>
        </w:tc>
        <w:tc>
          <w:tcPr>
            <w:tcW w:w="400" w:type="pct"/>
            <w:tcBorders>
              <w:bottom w:val="nil"/>
            </w:tcBorders>
            <w:noWrap/>
          </w:tcPr>
          <w:p w14:paraId="7A468C11" w14:textId="77777777" w:rsidR="00EA4540" w:rsidRPr="00667AA1" w:rsidRDefault="00EA4540" w:rsidP="00EA4540">
            <w:pPr>
              <w:jc w:val="center"/>
            </w:pPr>
            <w:r w:rsidRPr="00667AA1">
              <w:t>5</w:t>
            </w:r>
          </w:p>
        </w:tc>
        <w:tc>
          <w:tcPr>
            <w:tcW w:w="1020" w:type="pct"/>
            <w:tcBorders>
              <w:bottom w:val="nil"/>
            </w:tcBorders>
            <w:noWrap/>
          </w:tcPr>
          <w:p w14:paraId="7F785B56" w14:textId="77777777" w:rsidR="00EA4540" w:rsidRPr="00667AA1" w:rsidRDefault="00EA4540" w:rsidP="00EA4540">
            <w:pPr>
              <w:jc w:val="center"/>
            </w:pPr>
            <w:r w:rsidRPr="00667AA1">
              <w:t>17</w:t>
            </w:r>
          </w:p>
        </w:tc>
        <w:tc>
          <w:tcPr>
            <w:tcW w:w="482" w:type="pct"/>
            <w:tcBorders>
              <w:bottom w:val="nil"/>
            </w:tcBorders>
            <w:noWrap/>
          </w:tcPr>
          <w:p w14:paraId="4754F97D" w14:textId="77777777" w:rsidR="00EA4540" w:rsidRPr="00667AA1" w:rsidRDefault="00EA4540" w:rsidP="00EA4540">
            <w:pPr>
              <w:jc w:val="center"/>
            </w:pPr>
            <w:r w:rsidRPr="00667AA1">
              <w:t>13</w:t>
            </w:r>
          </w:p>
        </w:tc>
        <w:tc>
          <w:tcPr>
            <w:tcW w:w="605" w:type="pct"/>
            <w:tcBorders>
              <w:bottom w:val="nil"/>
            </w:tcBorders>
            <w:noWrap/>
            <w:hideMark/>
          </w:tcPr>
          <w:p w14:paraId="21F40502" w14:textId="77777777" w:rsidR="00EA4540" w:rsidRPr="00667AA1" w:rsidRDefault="00EA4540" w:rsidP="00EA4540">
            <w:pPr>
              <w:jc w:val="center"/>
            </w:pPr>
            <w:r w:rsidRPr="00EA4540">
              <w:t>50</w:t>
            </w:r>
          </w:p>
        </w:tc>
      </w:tr>
      <w:tr w:rsidR="00EA4540" w:rsidRPr="00667AA1" w14:paraId="294CB669" w14:textId="77777777" w:rsidTr="006A57E5">
        <w:trPr>
          <w:trHeight w:val="300"/>
        </w:trPr>
        <w:tc>
          <w:tcPr>
            <w:tcW w:w="701" w:type="pct"/>
            <w:tcBorders>
              <w:top w:val="nil"/>
              <w:bottom w:val="single" w:sz="4" w:space="0" w:color="auto"/>
            </w:tcBorders>
            <w:noWrap/>
          </w:tcPr>
          <w:p w14:paraId="6880E4C6" w14:textId="77777777" w:rsidR="00EA4540" w:rsidRPr="00667AA1" w:rsidRDefault="00EA4540" w:rsidP="00EA4540"/>
        </w:tc>
        <w:tc>
          <w:tcPr>
            <w:tcW w:w="1333" w:type="pct"/>
            <w:tcBorders>
              <w:top w:val="nil"/>
              <w:bottom w:val="single" w:sz="4" w:space="0" w:color="auto"/>
            </w:tcBorders>
            <w:noWrap/>
          </w:tcPr>
          <w:p w14:paraId="33D580A8" w14:textId="77777777" w:rsidR="00EA4540" w:rsidRDefault="006C6756" w:rsidP="006C6756">
            <w:r w:rsidRPr="006C6756">
              <w:t>Non-active labour</w:t>
            </w:r>
          </w:p>
        </w:tc>
        <w:tc>
          <w:tcPr>
            <w:tcW w:w="459" w:type="pct"/>
            <w:tcBorders>
              <w:top w:val="nil"/>
              <w:bottom w:val="single" w:sz="4" w:space="0" w:color="auto"/>
            </w:tcBorders>
            <w:noWrap/>
          </w:tcPr>
          <w:p w14:paraId="20B5891F" w14:textId="77777777" w:rsidR="00EA4540" w:rsidRPr="00667AA1" w:rsidRDefault="00EA4540" w:rsidP="00EA4540">
            <w:pPr>
              <w:jc w:val="center"/>
            </w:pPr>
            <w:r w:rsidRPr="0062500B">
              <w:t>43</w:t>
            </w:r>
          </w:p>
        </w:tc>
        <w:tc>
          <w:tcPr>
            <w:tcW w:w="400" w:type="pct"/>
            <w:tcBorders>
              <w:top w:val="nil"/>
              <w:bottom w:val="single" w:sz="4" w:space="0" w:color="auto"/>
            </w:tcBorders>
            <w:noWrap/>
          </w:tcPr>
          <w:p w14:paraId="6F5A26CD" w14:textId="77777777" w:rsidR="00EA4540" w:rsidRPr="00667AA1" w:rsidRDefault="00EA4540" w:rsidP="00EA4540">
            <w:pPr>
              <w:jc w:val="center"/>
            </w:pPr>
            <w:r w:rsidRPr="0062500B">
              <w:t>59</w:t>
            </w:r>
          </w:p>
        </w:tc>
        <w:tc>
          <w:tcPr>
            <w:tcW w:w="1020" w:type="pct"/>
            <w:tcBorders>
              <w:top w:val="nil"/>
              <w:bottom w:val="single" w:sz="4" w:space="0" w:color="auto"/>
            </w:tcBorders>
            <w:noWrap/>
          </w:tcPr>
          <w:p w14:paraId="708F7DAE" w14:textId="77777777" w:rsidR="00EA4540" w:rsidRPr="00667AA1" w:rsidRDefault="00EA4540" w:rsidP="00EA4540">
            <w:pPr>
              <w:jc w:val="center"/>
            </w:pPr>
            <w:r w:rsidRPr="0062500B">
              <w:t>28</w:t>
            </w:r>
          </w:p>
        </w:tc>
        <w:tc>
          <w:tcPr>
            <w:tcW w:w="482" w:type="pct"/>
            <w:tcBorders>
              <w:top w:val="nil"/>
              <w:bottom w:val="single" w:sz="4" w:space="0" w:color="auto"/>
            </w:tcBorders>
            <w:noWrap/>
          </w:tcPr>
          <w:p w14:paraId="4BD57C1D" w14:textId="77777777" w:rsidR="00EA4540" w:rsidRPr="00667AA1" w:rsidRDefault="00EA4540" w:rsidP="00EA4540">
            <w:pPr>
              <w:jc w:val="center"/>
            </w:pPr>
            <w:r w:rsidRPr="0062500B">
              <w:t>168</w:t>
            </w:r>
          </w:p>
        </w:tc>
        <w:tc>
          <w:tcPr>
            <w:tcW w:w="605" w:type="pct"/>
            <w:tcBorders>
              <w:top w:val="nil"/>
              <w:bottom w:val="single" w:sz="4" w:space="0" w:color="auto"/>
            </w:tcBorders>
            <w:noWrap/>
          </w:tcPr>
          <w:p w14:paraId="580740C5" w14:textId="77777777" w:rsidR="00EA4540" w:rsidRPr="00667AA1" w:rsidRDefault="00EA4540" w:rsidP="00EA4540">
            <w:pPr>
              <w:jc w:val="center"/>
            </w:pPr>
            <w:r w:rsidRPr="00EA4540">
              <w:t>298</w:t>
            </w:r>
          </w:p>
        </w:tc>
      </w:tr>
      <w:tr w:rsidR="00EA4540" w:rsidRPr="00667AA1" w14:paraId="3693A287" w14:textId="77777777" w:rsidTr="006A57E5">
        <w:trPr>
          <w:trHeight w:val="300"/>
        </w:trPr>
        <w:tc>
          <w:tcPr>
            <w:tcW w:w="701" w:type="pct"/>
            <w:tcBorders>
              <w:top w:val="single" w:sz="4" w:space="0" w:color="auto"/>
            </w:tcBorders>
            <w:noWrap/>
            <w:hideMark/>
          </w:tcPr>
          <w:p w14:paraId="7EFEA2BF" w14:textId="77777777" w:rsidR="00EA4540" w:rsidRPr="00667AA1" w:rsidRDefault="00EA4540" w:rsidP="00EA4540"/>
        </w:tc>
        <w:tc>
          <w:tcPr>
            <w:tcW w:w="1333" w:type="pct"/>
            <w:tcBorders>
              <w:top w:val="single" w:sz="4" w:space="0" w:color="auto"/>
            </w:tcBorders>
            <w:noWrap/>
            <w:hideMark/>
          </w:tcPr>
          <w:p w14:paraId="09B679F8" w14:textId="77777777" w:rsidR="00EA4540" w:rsidRPr="00667AA1" w:rsidRDefault="00EA4540" w:rsidP="00EA4540">
            <w:r w:rsidRPr="00667AA1">
              <w:t>Total</w:t>
            </w:r>
          </w:p>
        </w:tc>
        <w:tc>
          <w:tcPr>
            <w:tcW w:w="459" w:type="pct"/>
            <w:tcBorders>
              <w:top w:val="single" w:sz="4" w:space="0" w:color="auto"/>
            </w:tcBorders>
            <w:noWrap/>
          </w:tcPr>
          <w:p w14:paraId="3871C6E2" w14:textId="77777777" w:rsidR="00EA4540" w:rsidRPr="00667AA1" w:rsidRDefault="00EA4540" w:rsidP="00EA4540">
            <w:pPr>
              <w:jc w:val="center"/>
            </w:pPr>
            <w:r w:rsidRPr="00667AA1">
              <w:t>207</w:t>
            </w:r>
          </w:p>
        </w:tc>
        <w:tc>
          <w:tcPr>
            <w:tcW w:w="400" w:type="pct"/>
            <w:tcBorders>
              <w:top w:val="single" w:sz="4" w:space="0" w:color="auto"/>
            </w:tcBorders>
            <w:noWrap/>
          </w:tcPr>
          <w:p w14:paraId="7FE790E2" w14:textId="77777777" w:rsidR="00EA4540" w:rsidRPr="00667AA1" w:rsidRDefault="00EA4540" w:rsidP="00EA4540">
            <w:pPr>
              <w:jc w:val="center"/>
            </w:pPr>
            <w:r w:rsidRPr="00667AA1">
              <w:t>179</w:t>
            </w:r>
          </w:p>
        </w:tc>
        <w:tc>
          <w:tcPr>
            <w:tcW w:w="1020" w:type="pct"/>
            <w:tcBorders>
              <w:top w:val="single" w:sz="4" w:space="0" w:color="auto"/>
            </w:tcBorders>
            <w:noWrap/>
          </w:tcPr>
          <w:p w14:paraId="71AE248F" w14:textId="77777777" w:rsidR="00EA4540" w:rsidRPr="00667AA1" w:rsidRDefault="00EA4540" w:rsidP="00EA4540">
            <w:pPr>
              <w:jc w:val="center"/>
            </w:pPr>
            <w:r w:rsidRPr="00667AA1">
              <w:t>166</w:t>
            </w:r>
          </w:p>
        </w:tc>
        <w:tc>
          <w:tcPr>
            <w:tcW w:w="482" w:type="pct"/>
            <w:tcBorders>
              <w:top w:val="single" w:sz="4" w:space="0" w:color="auto"/>
            </w:tcBorders>
            <w:noWrap/>
          </w:tcPr>
          <w:p w14:paraId="40BD88E5" w14:textId="77777777" w:rsidR="00EA4540" w:rsidRPr="00667AA1" w:rsidRDefault="00EA4540" w:rsidP="00EA4540">
            <w:pPr>
              <w:jc w:val="center"/>
            </w:pPr>
            <w:r w:rsidRPr="00667AA1">
              <w:t>407</w:t>
            </w:r>
          </w:p>
        </w:tc>
        <w:tc>
          <w:tcPr>
            <w:tcW w:w="605" w:type="pct"/>
            <w:tcBorders>
              <w:top w:val="single" w:sz="4" w:space="0" w:color="auto"/>
            </w:tcBorders>
            <w:noWrap/>
            <w:hideMark/>
          </w:tcPr>
          <w:p w14:paraId="42399847" w14:textId="77777777" w:rsidR="00EA4540" w:rsidRPr="00667AA1" w:rsidRDefault="00EA4540" w:rsidP="00EA4540">
            <w:pPr>
              <w:jc w:val="center"/>
            </w:pPr>
            <w:r w:rsidRPr="00EA4540">
              <w:t>959</w:t>
            </w:r>
          </w:p>
        </w:tc>
      </w:tr>
    </w:tbl>
    <w:p w14:paraId="58CEDA80" w14:textId="77777777" w:rsidR="00251E20" w:rsidRDefault="00251E20" w:rsidP="0071328C">
      <w:pPr>
        <w:rPr>
          <w:lang w:val="en-US"/>
        </w:rPr>
      </w:pPr>
    </w:p>
    <w:p w14:paraId="12A148F4" w14:textId="77777777" w:rsidR="005A5587" w:rsidRPr="005A5587" w:rsidRDefault="005A5587" w:rsidP="0071328C">
      <w:pPr>
        <w:rPr>
          <w:i/>
          <w:lang w:val="en-US"/>
        </w:rPr>
      </w:pPr>
      <w:r w:rsidRPr="005A5587">
        <w:rPr>
          <w:i/>
          <w:lang w:val="en-US"/>
        </w:rPr>
        <w:t>Data analysis</w:t>
      </w:r>
    </w:p>
    <w:p w14:paraId="5078740F" w14:textId="2F5D2971" w:rsidR="007C5CB6" w:rsidRPr="007C5CB6" w:rsidRDefault="00E37E1F" w:rsidP="00101684">
      <w:r>
        <w:t>T</w:t>
      </w:r>
      <w:r w:rsidR="00E6224D">
        <w:t>he partial least square method of structural equation modelling (PLS-SEM) was performed to create the constructs</w:t>
      </w:r>
      <w:r w:rsidR="007C5CB6" w:rsidRPr="007C5CB6">
        <w:t xml:space="preserve">. </w:t>
      </w:r>
      <w:r>
        <w:t xml:space="preserve">There were two reasons why </w:t>
      </w:r>
      <w:r w:rsidR="007C5CB6" w:rsidRPr="007C5CB6">
        <w:t xml:space="preserve">PLS-SEM was </w:t>
      </w:r>
      <w:r>
        <w:t>selected as a method: firstly, the selected</w:t>
      </w:r>
      <w:r w:rsidR="007C5CB6" w:rsidRPr="007C5CB6">
        <w:t xml:space="preserve"> constructs </w:t>
      </w:r>
      <w:r>
        <w:t xml:space="preserve">were </w:t>
      </w:r>
      <w:r w:rsidR="007C5CB6" w:rsidRPr="007C5CB6">
        <w:t>not normally distributed and</w:t>
      </w:r>
      <w:r>
        <w:t>, secondly,</w:t>
      </w:r>
      <w:r w:rsidR="007C5CB6" w:rsidRPr="007C5CB6">
        <w:t xml:space="preserve"> the </w:t>
      </w:r>
      <w:r>
        <w:t>present</w:t>
      </w:r>
      <w:r w:rsidR="007C5CB6" w:rsidRPr="007C5CB6">
        <w:t xml:space="preserve"> </w:t>
      </w:r>
      <w:r>
        <w:t xml:space="preserve">study </w:t>
      </w:r>
      <w:r w:rsidR="007C5CB6" w:rsidRPr="007C5CB6">
        <w:t xml:space="preserve">requires latent variable scores </w:t>
      </w:r>
      <w:r>
        <w:t>to</w:t>
      </w:r>
      <w:r w:rsidR="007C5CB6" w:rsidRPr="007C5CB6">
        <w:t xml:space="preserve"> follow-up analyses </w:t>
      </w:r>
      <w:r w:rsidR="007C5CB6" w:rsidRPr="007C5CB6">
        <w:fldChar w:fldCharType="begin" w:fldLock="1"/>
      </w:r>
      <w:r w:rsidR="00B12E5D">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Review","id":"ITEM-1","issue":"1","issued":{"date-parts":[["2019","1","14"]]},"page":"2-24","title":"When to use and how to report the results of PLS-SEM","type":"article-journal","volume":"31"},"uris":["http://www.mendeley.com/documents/?uuid=eb3f5a0e-b87d-3860-9ffd-467bff1880f6"]}],"mendeley":{"formattedCitation":"(Hair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007C5CB6" w:rsidRPr="007C5CB6">
        <w:fldChar w:fldCharType="separate"/>
      </w:r>
      <w:r w:rsidR="00AF2B42" w:rsidRPr="00AF2B42">
        <w:rPr>
          <w:noProof/>
        </w:rPr>
        <w:t>(Hair et al., 2019)</w:t>
      </w:r>
      <w:r w:rsidR="007C5CB6" w:rsidRPr="007C5CB6">
        <w:rPr>
          <w:lang w:val="en-US"/>
        </w:rPr>
        <w:fldChar w:fldCharType="end"/>
      </w:r>
      <w:r w:rsidR="007C5CB6" w:rsidRPr="007C5CB6">
        <w:t xml:space="preserve">. PLS-SEM was run </w:t>
      </w:r>
      <w:r w:rsidR="00FF6FD0">
        <w:t>in</w:t>
      </w:r>
      <w:r w:rsidR="007C5CB6" w:rsidRPr="007C5CB6">
        <w:t xml:space="preserve"> SmartPLS 3.0 </w:t>
      </w:r>
      <w:r w:rsidR="007C5CB6" w:rsidRPr="007C5CB6">
        <w:fldChar w:fldCharType="begin" w:fldLock="1"/>
      </w:r>
      <w:r w:rsidR="00B12E5D">
        <w:instrText>ADDIN CSL_CITATION {"citationItems":[{"id":"ITEM-1","itemData":{"author":[{"dropping-particle":"","family":"Ringle","given":"C. M.","non-dropping-particle":"","parse-names":false,"suffix":""},{"dropping-particle":"","family":"Wende","given":"S.","non-dropping-particle":"","parse-names":false,"suffix":""},{"dropping-particle":"","family":"Becker","given":"J.-M.","non-dropping-particle":"","parse-names":false,"suffix":""}],"id":"ITEM-1","issued":{"date-parts":[["2015"]]},"number":"3.0","publisher":"SmartPLS GmbH","publisher-place":"Boenningstedt","title":"SmartPLS","type":"article"},"uris":["http://www.mendeley.com/documents/?uuid=bd1ff807-1e57-4b2a-860d-f7e5d8b39478"]}],"mendeley":{"formattedCitation":"(Ringle et al., 2015)","plainTextFormattedCitation":"(Ringle et al., 2015)","previouslyFormattedCitation":"(Ringle et al., 2015)"},"properties":{"noteIndex":0},"schema":"https://github.com/citation-style-language/schema/raw/master/csl-citation.json"}</w:instrText>
      </w:r>
      <w:r w:rsidR="007C5CB6" w:rsidRPr="007C5CB6">
        <w:fldChar w:fldCharType="separate"/>
      </w:r>
      <w:r w:rsidR="00AF2B42" w:rsidRPr="00AF2B42">
        <w:rPr>
          <w:noProof/>
        </w:rPr>
        <w:t>(Ringle et al., 2015)</w:t>
      </w:r>
      <w:r w:rsidR="007C5CB6" w:rsidRPr="007C5CB6">
        <w:rPr>
          <w:lang w:val="en-US"/>
        </w:rPr>
        <w:fldChar w:fldCharType="end"/>
      </w:r>
      <w:r w:rsidR="007C5CB6" w:rsidRPr="007C5CB6">
        <w:t xml:space="preserve">. </w:t>
      </w:r>
      <w:r w:rsidR="00FF6FD0">
        <w:t>Table 2 informs on the creation of the constructs.</w:t>
      </w:r>
      <w:r w:rsidR="002B4824">
        <w:t xml:space="preserve"> Some items were deleted due to problems with multicollinearity. According to</w:t>
      </w:r>
      <w:r w:rsidR="00F322EF">
        <w:t xml:space="preserve"> </w:t>
      </w:r>
      <w:r w:rsidR="002B4824">
        <w:t>Cronbach’s alpha test, all constructs manifested good internal consistency reliability.</w:t>
      </w:r>
      <w:r w:rsidR="00F322EF">
        <w:t xml:space="preserve"> The generated (latent) variables were imported to SPSS 23 for further analyses.</w:t>
      </w:r>
    </w:p>
    <w:p w14:paraId="38093EDD" w14:textId="77777777" w:rsidR="00FF6FD0" w:rsidRPr="0003321D" w:rsidRDefault="00FF6FD0" w:rsidP="00FF6FD0">
      <w:pPr>
        <w:keepNext/>
        <w:jc w:val="center"/>
        <w:rPr>
          <w:lang w:val="en-US"/>
        </w:rPr>
      </w:pPr>
      <w:r>
        <w:rPr>
          <w:lang w:val="en-US"/>
        </w:rPr>
        <w:t xml:space="preserve">Table 2. </w:t>
      </w:r>
      <w:r w:rsidR="002B4824">
        <w:rPr>
          <w:lang w:val="en-US"/>
        </w:rPr>
        <w:t>Constructs and their items</w:t>
      </w:r>
    </w:p>
    <w:tbl>
      <w:tblPr>
        <w:tblStyle w:val="Mkatabulky"/>
        <w:tblW w:w="5000" w:type="pct"/>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534"/>
        <w:gridCol w:w="6988"/>
        <w:gridCol w:w="877"/>
        <w:gridCol w:w="617"/>
      </w:tblGrid>
      <w:tr w:rsidR="00FF6FD0" w:rsidRPr="0063124A" w14:paraId="699B878C" w14:textId="77777777" w:rsidTr="006A57E5">
        <w:trPr>
          <w:trHeight w:val="300"/>
        </w:trPr>
        <w:tc>
          <w:tcPr>
            <w:tcW w:w="296" w:type="pct"/>
            <w:tcBorders>
              <w:top w:val="single" w:sz="4" w:space="0" w:color="auto"/>
              <w:bottom w:val="single" w:sz="4" w:space="0" w:color="auto"/>
            </w:tcBorders>
            <w:noWrap/>
            <w:hideMark/>
          </w:tcPr>
          <w:p w14:paraId="55BD6ED6" w14:textId="77777777" w:rsidR="00FF6FD0" w:rsidRPr="0063124A" w:rsidRDefault="00FF6FD0" w:rsidP="002B73B1">
            <w:pPr>
              <w:rPr>
                <w:bCs/>
              </w:rPr>
            </w:pPr>
            <w:r w:rsidRPr="0063124A">
              <w:rPr>
                <w:bCs/>
              </w:rPr>
              <w:t> </w:t>
            </w:r>
          </w:p>
        </w:tc>
        <w:tc>
          <w:tcPr>
            <w:tcW w:w="3875" w:type="pct"/>
            <w:tcBorders>
              <w:top w:val="single" w:sz="4" w:space="0" w:color="auto"/>
              <w:bottom w:val="single" w:sz="4" w:space="0" w:color="auto"/>
            </w:tcBorders>
          </w:tcPr>
          <w:p w14:paraId="5F51FDAD" w14:textId="77777777" w:rsidR="00FF6FD0" w:rsidRPr="0063124A" w:rsidRDefault="00FF6FD0" w:rsidP="002B73B1">
            <w:pPr>
              <w:jc w:val="left"/>
              <w:rPr>
                <w:bCs/>
              </w:rPr>
            </w:pPr>
            <w:r w:rsidRPr="0063124A">
              <w:rPr>
                <w:bCs/>
              </w:rPr>
              <w:t xml:space="preserve">Construct and source </w:t>
            </w:r>
          </w:p>
        </w:tc>
        <w:tc>
          <w:tcPr>
            <w:tcW w:w="486" w:type="pct"/>
            <w:tcBorders>
              <w:top w:val="single" w:sz="4" w:space="0" w:color="auto"/>
              <w:bottom w:val="single" w:sz="4" w:space="0" w:color="auto"/>
            </w:tcBorders>
            <w:noWrap/>
            <w:hideMark/>
          </w:tcPr>
          <w:p w14:paraId="677DD24D" w14:textId="77777777" w:rsidR="00FF6FD0" w:rsidRPr="0063124A" w:rsidRDefault="00FF6FD0" w:rsidP="002B73B1">
            <w:pPr>
              <w:jc w:val="center"/>
              <w:rPr>
                <w:bCs/>
              </w:rPr>
            </w:pPr>
            <w:r w:rsidRPr="0063124A">
              <w:rPr>
                <w:bCs/>
              </w:rPr>
              <w:t>Loading</w:t>
            </w:r>
          </w:p>
        </w:tc>
        <w:tc>
          <w:tcPr>
            <w:tcW w:w="342" w:type="pct"/>
            <w:tcBorders>
              <w:top w:val="single" w:sz="4" w:space="0" w:color="auto"/>
              <w:bottom w:val="single" w:sz="4" w:space="0" w:color="auto"/>
            </w:tcBorders>
          </w:tcPr>
          <w:p w14:paraId="60F9C8DC" w14:textId="77777777" w:rsidR="00FF6FD0" w:rsidRPr="0063124A" w:rsidRDefault="00FF6FD0" w:rsidP="002B73B1">
            <w:pPr>
              <w:jc w:val="center"/>
              <w:rPr>
                <w:bCs/>
              </w:rPr>
            </w:pPr>
            <w:r w:rsidRPr="0063124A">
              <w:rPr>
                <w:bCs/>
              </w:rPr>
              <w:t>CA</w:t>
            </w:r>
          </w:p>
        </w:tc>
      </w:tr>
      <w:tr w:rsidR="00FF6FD0" w:rsidRPr="0063124A" w14:paraId="1EC0F952" w14:textId="77777777" w:rsidTr="006A57E5">
        <w:trPr>
          <w:trHeight w:val="300"/>
        </w:trPr>
        <w:tc>
          <w:tcPr>
            <w:tcW w:w="296" w:type="pct"/>
            <w:tcBorders>
              <w:top w:val="single" w:sz="4" w:space="0" w:color="auto"/>
              <w:bottom w:val="nil"/>
            </w:tcBorders>
            <w:noWrap/>
          </w:tcPr>
          <w:p w14:paraId="0EABE7B8" w14:textId="77777777" w:rsidR="00FF6FD0" w:rsidRPr="0063124A" w:rsidRDefault="00FF6FD0" w:rsidP="002B73B1">
            <w:pPr>
              <w:rPr>
                <w:bCs/>
              </w:rPr>
            </w:pPr>
          </w:p>
        </w:tc>
        <w:tc>
          <w:tcPr>
            <w:tcW w:w="3875" w:type="pct"/>
            <w:tcBorders>
              <w:top w:val="single" w:sz="4" w:space="0" w:color="auto"/>
              <w:bottom w:val="nil"/>
            </w:tcBorders>
          </w:tcPr>
          <w:p w14:paraId="73E539DC" w14:textId="240BA4C0" w:rsidR="00FF6FD0" w:rsidRPr="0063124A" w:rsidRDefault="00FF6FD0" w:rsidP="00FF6FD0">
            <w:pPr>
              <w:jc w:val="left"/>
              <w:rPr>
                <w:bCs/>
              </w:rPr>
            </w:pPr>
            <w:r w:rsidRPr="0063124A">
              <w:rPr>
                <w:bCs/>
              </w:rPr>
              <w:t xml:space="preserve">Behavioral intention </w:t>
            </w:r>
            <w:r w:rsidRPr="0063124A">
              <w:rPr>
                <w:bCs/>
              </w:rPr>
              <w:fldChar w:fldCharType="begin" w:fldLock="1"/>
            </w:r>
            <w:r w:rsidR="00B12E5D">
              <w:rPr>
                <w:bCs/>
              </w:rPr>
              <w:instrText>ADDIN CSL_CITATION {"citationItems":[{"id":"ITEM-1","itemData":{"DOI":"10.1016/J.IJINFOMGT.2013.06.002","ISSN":"0268-4012","abstract":"Understanding the main determinants of Internet banking adoption is important for banks and users; our understanding of the role of users’ perceived risk in Internet banking adoption is limited. In response, we develop a conceptual model that combines unified theory of acceptance and use of technology (UTAUT) with perceived risk to explain behaviour intention and usage behaviour of Internet banking. To test the conceptual model we collected data from Portugal (249 valid cases). Our results support some relationships of UTAUT, such as performance expectancy, effort expectancy, and social influence, and also the role of risk as a stronger predictor of intention. To explain usage behaviour of Internet banking the most important factor is behavioural intention to use Internet banking.","author":[{"dropping-particle":"","family":"Martins","given":"Carolina","non-dropping-particle":"","parse-names":false,"suffix":""},{"dropping-particle":"","family":"Oliveira","given":"Tiago","non-dropping-particle":"","parse-names":false,"suffix":""},{"dropping-particle":"","family":"Popovič","given":"Aleš","non-dropping-particle":"","parse-names":false,"suffix":""}],"container-title":"International Journal of Information Management","id":"ITEM-1","issue":"1","issued":{"date-parts":[["2014","2"]]},"page":"1-13","publisher":"Pergamon","title":"Understanding the Internet banking adoption: A unified theory of acceptance and use of technology and perceived risk application","type":"article-journal","volume":"34"},"uris":["http://www.mendeley.com/documents/?uuid=96813dcc-876f-4822-b605-c49b13f34395"]},{"id":"ITEM-2","itemData":{"DOI":"10.2307/41410412","ISSN":"02767783","abstract":"This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Technology","type":"article-journal","volume":"36"},"uris":["http://www.mendeley.com/documents/?uuid=47aaf082-83a2-46f0-b062-9c6987a306c3"]}],"mendeley":{"formattedCitation":"(Martins et al., 2014; Venkatesh et al., 2012)","plainTextFormattedCitation":"(Martins et al., 2014; Venkatesh et al., 2012)","previouslyFormattedCitation":"(Martins et al., 2014; Venkatesh et al., 2012)"},"properties":{"noteIndex":0},"schema":"https://github.com/citation-style-language/schema/raw/master/csl-citation.json"}</w:instrText>
            </w:r>
            <w:r w:rsidRPr="0063124A">
              <w:rPr>
                <w:bCs/>
              </w:rPr>
              <w:fldChar w:fldCharType="separate"/>
            </w:r>
            <w:r w:rsidR="00AF1E11" w:rsidRPr="00AF1E11">
              <w:rPr>
                <w:bCs/>
                <w:noProof/>
              </w:rPr>
              <w:t>(Martins et al., 2014; Venkatesh et al., 2012)</w:t>
            </w:r>
            <w:r w:rsidRPr="0063124A">
              <w:rPr>
                <w:bCs/>
              </w:rPr>
              <w:fldChar w:fldCharType="end"/>
            </w:r>
          </w:p>
        </w:tc>
        <w:tc>
          <w:tcPr>
            <w:tcW w:w="486" w:type="pct"/>
            <w:tcBorders>
              <w:top w:val="single" w:sz="4" w:space="0" w:color="auto"/>
              <w:bottom w:val="nil"/>
            </w:tcBorders>
            <w:noWrap/>
          </w:tcPr>
          <w:p w14:paraId="3BE999B8" w14:textId="77777777" w:rsidR="00FF6FD0" w:rsidRPr="0063124A" w:rsidRDefault="00FF6FD0" w:rsidP="002B73B1">
            <w:pPr>
              <w:jc w:val="center"/>
              <w:rPr>
                <w:bCs/>
              </w:rPr>
            </w:pPr>
          </w:p>
        </w:tc>
        <w:tc>
          <w:tcPr>
            <w:tcW w:w="342" w:type="pct"/>
            <w:tcBorders>
              <w:top w:val="single" w:sz="4" w:space="0" w:color="auto"/>
              <w:bottom w:val="nil"/>
            </w:tcBorders>
          </w:tcPr>
          <w:p w14:paraId="0BBAF7CC" w14:textId="77777777" w:rsidR="00FF6FD0" w:rsidRPr="0063124A" w:rsidRDefault="00EF173E" w:rsidP="002B73B1">
            <w:pPr>
              <w:jc w:val="center"/>
              <w:rPr>
                <w:bCs/>
              </w:rPr>
            </w:pPr>
            <w:r w:rsidRPr="0063124A">
              <w:rPr>
                <w:bCs/>
              </w:rPr>
              <w:t>0.860</w:t>
            </w:r>
          </w:p>
        </w:tc>
      </w:tr>
      <w:tr w:rsidR="00FF6FD0" w:rsidRPr="0063124A" w14:paraId="1FAC4E19" w14:textId="77777777" w:rsidTr="006A57E5">
        <w:trPr>
          <w:trHeight w:val="300"/>
        </w:trPr>
        <w:tc>
          <w:tcPr>
            <w:tcW w:w="296" w:type="pct"/>
            <w:tcBorders>
              <w:top w:val="nil"/>
            </w:tcBorders>
            <w:noWrap/>
            <w:hideMark/>
          </w:tcPr>
          <w:p w14:paraId="6C2978B5" w14:textId="77777777" w:rsidR="00FF6FD0" w:rsidRPr="0063124A" w:rsidRDefault="00FF6FD0" w:rsidP="002B73B1">
            <w:pPr>
              <w:rPr>
                <w:bCs/>
              </w:rPr>
            </w:pPr>
            <w:r w:rsidRPr="0063124A">
              <w:rPr>
                <w:bCs/>
              </w:rPr>
              <w:t>bi1</w:t>
            </w:r>
          </w:p>
        </w:tc>
        <w:tc>
          <w:tcPr>
            <w:tcW w:w="3875" w:type="pct"/>
            <w:tcBorders>
              <w:top w:val="nil"/>
            </w:tcBorders>
          </w:tcPr>
          <w:p w14:paraId="0E08A142" w14:textId="77777777" w:rsidR="00FF6FD0" w:rsidRPr="0063124A" w:rsidRDefault="00FF6FD0" w:rsidP="002B73B1">
            <w:pPr>
              <w:jc w:val="left"/>
              <w:rPr>
                <w:bCs/>
              </w:rPr>
            </w:pPr>
            <w:r w:rsidRPr="0063124A">
              <w:t>I intend to continue using mobile banking in the future</w:t>
            </w:r>
          </w:p>
        </w:tc>
        <w:tc>
          <w:tcPr>
            <w:tcW w:w="486" w:type="pct"/>
            <w:tcBorders>
              <w:top w:val="nil"/>
            </w:tcBorders>
            <w:noWrap/>
            <w:hideMark/>
          </w:tcPr>
          <w:p w14:paraId="7C1F0ADC" w14:textId="77777777" w:rsidR="00FF6FD0" w:rsidRPr="0063124A" w:rsidRDefault="00FF6FD0" w:rsidP="002B73B1">
            <w:pPr>
              <w:jc w:val="center"/>
              <w:rPr>
                <w:bCs/>
              </w:rPr>
            </w:pPr>
            <w:r w:rsidRPr="0063124A">
              <w:rPr>
                <w:bCs/>
              </w:rPr>
              <w:t>0.895</w:t>
            </w:r>
          </w:p>
        </w:tc>
        <w:tc>
          <w:tcPr>
            <w:tcW w:w="342" w:type="pct"/>
            <w:tcBorders>
              <w:top w:val="nil"/>
            </w:tcBorders>
          </w:tcPr>
          <w:p w14:paraId="4DF0885E" w14:textId="77777777" w:rsidR="00FF6FD0" w:rsidRPr="0063124A" w:rsidRDefault="00FF6FD0" w:rsidP="002B73B1">
            <w:pPr>
              <w:jc w:val="center"/>
              <w:rPr>
                <w:bCs/>
              </w:rPr>
            </w:pPr>
          </w:p>
        </w:tc>
      </w:tr>
      <w:tr w:rsidR="00FF6FD0" w:rsidRPr="0063124A" w14:paraId="76C2B693" w14:textId="77777777" w:rsidTr="006A57E5">
        <w:trPr>
          <w:trHeight w:val="300"/>
        </w:trPr>
        <w:tc>
          <w:tcPr>
            <w:tcW w:w="296" w:type="pct"/>
            <w:noWrap/>
            <w:hideMark/>
          </w:tcPr>
          <w:p w14:paraId="303CE7A8" w14:textId="77777777" w:rsidR="00FF6FD0" w:rsidRPr="0063124A" w:rsidRDefault="00FF6FD0" w:rsidP="002B73B1">
            <w:pPr>
              <w:rPr>
                <w:bCs/>
              </w:rPr>
            </w:pPr>
            <w:r w:rsidRPr="0063124A">
              <w:rPr>
                <w:bCs/>
              </w:rPr>
              <w:t>bi2</w:t>
            </w:r>
          </w:p>
        </w:tc>
        <w:tc>
          <w:tcPr>
            <w:tcW w:w="3875" w:type="pct"/>
          </w:tcPr>
          <w:p w14:paraId="2B8FD1F4" w14:textId="77777777" w:rsidR="00FF6FD0" w:rsidRPr="0063124A" w:rsidRDefault="00FF6FD0" w:rsidP="002B73B1">
            <w:pPr>
              <w:jc w:val="left"/>
              <w:rPr>
                <w:bCs/>
              </w:rPr>
            </w:pPr>
            <w:r w:rsidRPr="0063124A">
              <w:t>I always try to use mobile banking in my daily life</w:t>
            </w:r>
          </w:p>
        </w:tc>
        <w:tc>
          <w:tcPr>
            <w:tcW w:w="486" w:type="pct"/>
            <w:noWrap/>
            <w:hideMark/>
          </w:tcPr>
          <w:p w14:paraId="477640C7" w14:textId="77777777" w:rsidR="00FF6FD0" w:rsidRPr="0063124A" w:rsidRDefault="00FF6FD0" w:rsidP="002B73B1">
            <w:pPr>
              <w:jc w:val="center"/>
              <w:rPr>
                <w:bCs/>
              </w:rPr>
            </w:pPr>
            <w:r w:rsidRPr="0063124A">
              <w:rPr>
                <w:bCs/>
              </w:rPr>
              <w:t>0.899</w:t>
            </w:r>
          </w:p>
        </w:tc>
        <w:tc>
          <w:tcPr>
            <w:tcW w:w="342" w:type="pct"/>
          </w:tcPr>
          <w:p w14:paraId="1E9FE28B" w14:textId="77777777" w:rsidR="00FF6FD0" w:rsidRPr="0063124A" w:rsidRDefault="00FF6FD0" w:rsidP="002B73B1">
            <w:pPr>
              <w:jc w:val="center"/>
              <w:rPr>
                <w:bCs/>
              </w:rPr>
            </w:pPr>
          </w:p>
        </w:tc>
      </w:tr>
      <w:tr w:rsidR="00FF6FD0" w:rsidRPr="0063124A" w14:paraId="57E2F412" w14:textId="77777777" w:rsidTr="006A57E5">
        <w:trPr>
          <w:trHeight w:val="300"/>
        </w:trPr>
        <w:tc>
          <w:tcPr>
            <w:tcW w:w="296" w:type="pct"/>
            <w:tcBorders>
              <w:bottom w:val="nil"/>
            </w:tcBorders>
            <w:noWrap/>
          </w:tcPr>
          <w:p w14:paraId="26E31B91" w14:textId="77777777" w:rsidR="00FF6FD0" w:rsidRPr="0063124A" w:rsidRDefault="00FF6FD0" w:rsidP="002B73B1">
            <w:pPr>
              <w:rPr>
                <w:bCs/>
              </w:rPr>
            </w:pPr>
            <w:r w:rsidRPr="0063124A">
              <w:rPr>
                <w:bCs/>
              </w:rPr>
              <w:t>bi3</w:t>
            </w:r>
          </w:p>
        </w:tc>
        <w:tc>
          <w:tcPr>
            <w:tcW w:w="3875" w:type="pct"/>
            <w:tcBorders>
              <w:bottom w:val="nil"/>
            </w:tcBorders>
          </w:tcPr>
          <w:p w14:paraId="71A54E62" w14:textId="77777777" w:rsidR="00FF6FD0" w:rsidRPr="0063124A" w:rsidRDefault="00FF6FD0" w:rsidP="002B73B1">
            <w:pPr>
              <w:jc w:val="left"/>
              <w:rPr>
                <w:bCs/>
              </w:rPr>
            </w:pPr>
            <w:r w:rsidRPr="0063124A">
              <w:t>I intend to consult the balance of my account on the app of mobile banking</w:t>
            </w:r>
          </w:p>
        </w:tc>
        <w:tc>
          <w:tcPr>
            <w:tcW w:w="486" w:type="pct"/>
            <w:tcBorders>
              <w:bottom w:val="nil"/>
            </w:tcBorders>
            <w:noWrap/>
          </w:tcPr>
          <w:p w14:paraId="6DBCF518" w14:textId="77777777" w:rsidR="00FF6FD0" w:rsidRPr="0063124A" w:rsidRDefault="00FF6FD0" w:rsidP="002B73B1">
            <w:pPr>
              <w:jc w:val="center"/>
              <w:rPr>
                <w:bCs/>
              </w:rPr>
            </w:pPr>
            <w:r w:rsidRPr="0063124A">
              <w:rPr>
                <w:bCs/>
              </w:rPr>
              <w:t>deleted</w:t>
            </w:r>
          </w:p>
        </w:tc>
        <w:tc>
          <w:tcPr>
            <w:tcW w:w="342" w:type="pct"/>
            <w:tcBorders>
              <w:bottom w:val="nil"/>
            </w:tcBorders>
          </w:tcPr>
          <w:p w14:paraId="05137E5A" w14:textId="77777777" w:rsidR="00FF6FD0" w:rsidRPr="0063124A" w:rsidRDefault="00FF6FD0" w:rsidP="002B73B1">
            <w:pPr>
              <w:jc w:val="center"/>
              <w:rPr>
                <w:bCs/>
              </w:rPr>
            </w:pPr>
          </w:p>
        </w:tc>
      </w:tr>
      <w:tr w:rsidR="00FF6FD0" w:rsidRPr="0063124A" w14:paraId="79FADA6E" w14:textId="77777777" w:rsidTr="006A57E5">
        <w:trPr>
          <w:trHeight w:val="300"/>
        </w:trPr>
        <w:tc>
          <w:tcPr>
            <w:tcW w:w="296" w:type="pct"/>
            <w:tcBorders>
              <w:top w:val="nil"/>
              <w:bottom w:val="single" w:sz="4" w:space="0" w:color="auto"/>
            </w:tcBorders>
            <w:noWrap/>
            <w:hideMark/>
          </w:tcPr>
          <w:p w14:paraId="38BA4B47" w14:textId="77777777" w:rsidR="00FF6FD0" w:rsidRPr="0063124A" w:rsidRDefault="00FF6FD0" w:rsidP="002B73B1">
            <w:pPr>
              <w:rPr>
                <w:bCs/>
              </w:rPr>
            </w:pPr>
            <w:r w:rsidRPr="0063124A">
              <w:rPr>
                <w:bCs/>
              </w:rPr>
              <w:t>bi4</w:t>
            </w:r>
          </w:p>
        </w:tc>
        <w:tc>
          <w:tcPr>
            <w:tcW w:w="3875" w:type="pct"/>
            <w:tcBorders>
              <w:top w:val="nil"/>
              <w:bottom w:val="single" w:sz="4" w:space="0" w:color="auto"/>
            </w:tcBorders>
          </w:tcPr>
          <w:p w14:paraId="5DE6BC7B" w14:textId="77777777" w:rsidR="00FF6FD0" w:rsidRPr="0063124A" w:rsidRDefault="00FF6FD0" w:rsidP="002B73B1">
            <w:pPr>
              <w:jc w:val="left"/>
              <w:rPr>
                <w:bCs/>
              </w:rPr>
            </w:pPr>
            <w:r w:rsidRPr="0063124A">
              <w:t>I intend to perform a transfer on the app of mobile banking</w:t>
            </w:r>
          </w:p>
        </w:tc>
        <w:tc>
          <w:tcPr>
            <w:tcW w:w="486" w:type="pct"/>
            <w:tcBorders>
              <w:top w:val="nil"/>
              <w:bottom w:val="single" w:sz="4" w:space="0" w:color="auto"/>
            </w:tcBorders>
            <w:noWrap/>
            <w:hideMark/>
          </w:tcPr>
          <w:p w14:paraId="77D9A4C7" w14:textId="77777777" w:rsidR="00FF6FD0" w:rsidRPr="0063124A" w:rsidRDefault="00FF6FD0" w:rsidP="002B73B1">
            <w:pPr>
              <w:jc w:val="center"/>
              <w:rPr>
                <w:bCs/>
              </w:rPr>
            </w:pPr>
            <w:r w:rsidRPr="0063124A">
              <w:rPr>
                <w:bCs/>
              </w:rPr>
              <w:t>0.857</w:t>
            </w:r>
          </w:p>
        </w:tc>
        <w:tc>
          <w:tcPr>
            <w:tcW w:w="342" w:type="pct"/>
            <w:tcBorders>
              <w:top w:val="nil"/>
              <w:bottom w:val="single" w:sz="4" w:space="0" w:color="auto"/>
            </w:tcBorders>
          </w:tcPr>
          <w:p w14:paraId="73936E49" w14:textId="77777777" w:rsidR="00FF6FD0" w:rsidRPr="0063124A" w:rsidRDefault="00FF6FD0" w:rsidP="002B73B1">
            <w:pPr>
              <w:jc w:val="center"/>
              <w:rPr>
                <w:bCs/>
              </w:rPr>
            </w:pPr>
          </w:p>
        </w:tc>
      </w:tr>
      <w:tr w:rsidR="00EF173E" w:rsidRPr="0063124A" w14:paraId="7F4174ED" w14:textId="77777777" w:rsidTr="006A57E5">
        <w:trPr>
          <w:trHeight w:val="300"/>
        </w:trPr>
        <w:tc>
          <w:tcPr>
            <w:tcW w:w="296" w:type="pct"/>
            <w:tcBorders>
              <w:top w:val="single" w:sz="4" w:space="0" w:color="auto"/>
              <w:bottom w:val="nil"/>
            </w:tcBorders>
            <w:noWrap/>
          </w:tcPr>
          <w:p w14:paraId="279AAE2A" w14:textId="77777777" w:rsidR="00EF173E" w:rsidRPr="0063124A" w:rsidRDefault="00EF173E" w:rsidP="00EF173E">
            <w:pPr>
              <w:rPr>
                <w:bCs/>
              </w:rPr>
            </w:pPr>
          </w:p>
        </w:tc>
        <w:tc>
          <w:tcPr>
            <w:tcW w:w="3875" w:type="pct"/>
            <w:tcBorders>
              <w:top w:val="single" w:sz="4" w:space="0" w:color="auto"/>
              <w:bottom w:val="nil"/>
            </w:tcBorders>
          </w:tcPr>
          <w:p w14:paraId="74185300" w14:textId="0064A03E" w:rsidR="00EF173E" w:rsidRPr="0063124A" w:rsidRDefault="00EF173E" w:rsidP="00EF173E">
            <w:pPr>
              <w:jc w:val="left"/>
            </w:pPr>
            <w:r w:rsidRPr="0063124A">
              <w:rPr>
                <w:bCs/>
              </w:rPr>
              <w:t xml:space="preserve">Effort expectancy </w:t>
            </w:r>
            <w:r w:rsidRPr="0063124A">
              <w:rPr>
                <w:bCs/>
              </w:rPr>
              <w:fldChar w:fldCharType="begin" w:fldLock="1"/>
            </w:r>
            <w:r w:rsidR="00B12E5D">
              <w:rPr>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63124A">
              <w:rPr>
                <w:bCs/>
              </w:rPr>
              <w:fldChar w:fldCharType="separate"/>
            </w:r>
            <w:r w:rsidR="00AF1E11" w:rsidRPr="00AF1E11">
              <w:rPr>
                <w:bCs/>
                <w:noProof/>
              </w:rPr>
              <w:t>(Venkatesh et al., 2003, 2012)</w:t>
            </w:r>
            <w:r w:rsidRPr="0063124A">
              <w:fldChar w:fldCharType="end"/>
            </w:r>
          </w:p>
        </w:tc>
        <w:tc>
          <w:tcPr>
            <w:tcW w:w="486" w:type="pct"/>
            <w:tcBorders>
              <w:top w:val="single" w:sz="4" w:space="0" w:color="auto"/>
              <w:bottom w:val="nil"/>
            </w:tcBorders>
            <w:noWrap/>
          </w:tcPr>
          <w:p w14:paraId="64352DB8" w14:textId="77777777" w:rsidR="00EF173E" w:rsidRPr="0063124A" w:rsidRDefault="00EF173E" w:rsidP="00EF173E">
            <w:pPr>
              <w:jc w:val="center"/>
              <w:rPr>
                <w:bCs/>
              </w:rPr>
            </w:pPr>
          </w:p>
        </w:tc>
        <w:tc>
          <w:tcPr>
            <w:tcW w:w="342" w:type="pct"/>
            <w:tcBorders>
              <w:top w:val="single" w:sz="4" w:space="0" w:color="auto"/>
              <w:bottom w:val="nil"/>
            </w:tcBorders>
          </w:tcPr>
          <w:p w14:paraId="6727DC75" w14:textId="77777777" w:rsidR="00EF173E" w:rsidRPr="0063124A" w:rsidRDefault="00EF173E" w:rsidP="00EF173E">
            <w:pPr>
              <w:jc w:val="center"/>
              <w:rPr>
                <w:bCs/>
              </w:rPr>
            </w:pPr>
            <w:r w:rsidRPr="0063124A">
              <w:rPr>
                <w:bCs/>
              </w:rPr>
              <w:t>0.895</w:t>
            </w:r>
          </w:p>
        </w:tc>
      </w:tr>
      <w:tr w:rsidR="00EF173E" w:rsidRPr="0063124A" w14:paraId="632F057E" w14:textId="77777777" w:rsidTr="006A57E5">
        <w:trPr>
          <w:trHeight w:val="300"/>
        </w:trPr>
        <w:tc>
          <w:tcPr>
            <w:tcW w:w="296" w:type="pct"/>
            <w:tcBorders>
              <w:top w:val="nil"/>
              <w:bottom w:val="nil"/>
            </w:tcBorders>
            <w:noWrap/>
            <w:hideMark/>
          </w:tcPr>
          <w:p w14:paraId="0D2FB50B" w14:textId="77777777" w:rsidR="00EF173E" w:rsidRPr="0063124A" w:rsidRDefault="00EF173E" w:rsidP="00EF173E">
            <w:pPr>
              <w:rPr>
                <w:bCs/>
              </w:rPr>
            </w:pPr>
            <w:r w:rsidRPr="0063124A">
              <w:rPr>
                <w:bCs/>
              </w:rPr>
              <w:t>ee1</w:t>
            </w:r>
          </w:p>
        </w:tc>
        <w:tc>
          <w:tcPr>
            <w:tcW w:w="3875" w:type="pct"/>
            <w:tcBorders>
              <w:top w:val="nil"/>
              <w:bottom w:val="nil"/>
            </w:tcBorders>
          </w:tcPr>
          <w:p w14:paraId="7A410DBB" w14:textId="77777777" w:rsidR="00EF173E" w:rsidRPr="0063124A" w:rsidRDefault="00EF173E" w:rsidP="00EF173E">
            <w:pPr>
              <w:jc w:val="left"/>
              <w:rPr>
                <w:bCs/>
              </w:rPr>
            </w:pPr>
            <w:r w:rsidRPr="0063124A">
              <w:t>Learning how to use mobile banking services was easy for me</w:t>
            </w:r>
          </w:p>
        </w:tc>
        <w:tc>
          <w:tcPr>
            <w:tcW w:w="486" w:type="pct"/>
            <w:tcBorders>
              <w:top w:val="nil"/>
              <w:bottom w:val="nil"/>
            </w:tcBorders>
            <w:noWrap/>
            <w:hideMark/>
          </w:tcPr>
          <w:p w14:paraId="2CB8BB9E" w14:textId="77777777" w:rsidR="00EF173E" w:rsidRPr="0063124A" w:rsidRDefault="00EF173E" w:rsidP="00EF173E">
            <w:pPr>
              <w:jc w:val="center"/>
              <w:rPr>
                <w:bCs/>
              </w:rPr>
            </w:pPr>
            <w:r w:rsidRPr="0063124A">
              <w:rPr>
                <w:bCs/>
              </w:rPr>
              <w:t>0.949</w:t>
            </w:r>
          </w:p>
        </w:tc>
        <w:tc>
          <w:tcPr>
            <w:tcW w:w="342" w:type="pct"/>
            <w:tcBorders>
              <w:top w:val="nil"/>
              <w:bottom w:val="nil"/>
            </w:tcBorders>
          </w:tcPr>
          <w:p w14:paraId="46025977" w14:textId="77777777" w:rsidR="00EF173E" w:rsidRPr="0063124A" w:rsidRDefault="00EF173E" w:rsidP="00EF173E">
            <w:pPr>
              <w:jc w:val="center"/>
              <w:rPr>
                <w:bCs/>
              </w:rPr>
            </w:pPr>
          </w:p>
        </w:tc>
      </w:tr>
      <w:tr w:rsidR="00EF173E" w:rsidRPr="0063124A" w14:paraId="6CB5C8D6" w14:textId="77777777" w:rsidTr="006A57E5">
        <w:trPr>
          <w:trHeight w:val="300"/>
        </w:trPr>
        <w:tc>
          <w:tcPr>
            <w:tcW w:w="296" w:type="pct"/>
            <w:tcBorders>
              <w:top w:val="nil"/>
              <w:bottom w:val="single" w:sz="4" w:space="0" w:color="auto"/>
            </w:tcBorders>
            <w:noWrap/>
            <w:hideMark/>
          </w:tcPr>
          <w:p w14:paraId="1DF295C2" w14:textId="77777777" w:rsidR="00EF173E" w:rsidRPr="0063124A" w:rsidRDefault="00EF173E" w:rsidP="00EF173E">
            <w:pPr>
              <w:rPr>
                <w:bCs/>
              </w:rPr>
            </w:pPr>
            <w:r w:rsidRPr="0063124A">
              <w:rPr>
                <w:bCs/>
              </w:rPr>
              <w:t>ee2</w:t>
            </w:r>
          </w:p>
        </w:tc>
        <w:tc>
          <w:tcPr>
            <w:tcW w:w="3875" w:type="pct"/>
            <w:tcBorders>
              <w:top w:val="nil"/>
              <w:bottom w:val="single" w:sz="4" w:space="0" w:color="auto"/>
            </w:tcBorders>
          </w:tcPr>
          <w:p w14:paraId="7E67E4ED" w14:textId="77777777" w:rsidR="00EF173E" w:rsidRPr="0063124A" w:rsidRDefault="00EF173E" w:rsidP="00EF173E">
            <w:pPr>
              <w:jc w:val="left"/>
              <w:rPr>
                <w:bCs/>
              </w:rPr>
            </w:pPr>
            <w:r w:rsidRPr="0063124A">
              <w:t>My interaction with mobile banking services is clear and understandable</w:t>
            </w:r>
          </w:p>
        </w:tc>
        <w:tc>
          <w:tcPr>
            <w:tcW w:w="486" w:type="pct"/>
            <w:tcBorders>
              <w:top w:val="nil"/>
              <w:bottom w:val="single" w:sz="4" w:space="0" w:color="auto"/>
            </w:tcBorders>
            <w:noWrap/>
            <w:hideMark/>
          </w:tcPr>
          <w:p w14:paraId="72C653CD" w14:textId="77777777" w:rsidR="00EF173E" w:rsidRPr="0063124A" w:rsidRDefault="00EF173E" w:rsidP="00EF173E">
            <w:pPr>
              <w:jc w:val="center"/>
              <w:rPr>
                <w:bCs/>
              </w:rPr>
            </w:pPr>
            <w:r w:rsidRPr="0063124A">
              <w:rPr>
                <w:bCs/>
              </w:rPr>
              <w:t>0.953</w:t>
            </w:r>
          </w:p>
        </w:tc>
        <w:tc>
          <w:tcPr>
            <w:tcW w:w="342" w:type="pct"/>
            <w:tcBorders>
              <w:top w:val="nil"/>
              <w:bottom w:val="single" w:sz="4" w:space="0" w:color="auto"/>
            </w:tcBorders>
          </w:tcPr>
          <w:p w14:paraId="3D89DB7B" w14:textId="77777777" w:rsidR="00EF173E" w:rsidRPr="0063124A" w:rsidRDefault="00EF173E" w:rsidP="00EF173E">
            <w:pPr>
              <w:jc w:val="center"/>
              <w:rPr>
                <w:bCs/>
              </w:rPr>
            </w:pPr>
          </w:p>
        </w:tc>
      </w:tr>
      <w:tr w:rsidR="00EF173E" w:rsidRPr="0063124A" w14:paraId="27620A9F" w14:textId="77777777" w:rsidTr="006A57E5">
        <w:trPr>
          <w:trHeight w:val="300"/>
        </w:trPr>
        <w:tc>
          <w:tcPr>
            <w:tcW w:w="296" w:type="pct"/>
            <w:tcBorders>
              <w:top w:val="single" w:sz="4" w:space="0" w:color="auto"/>
              <w:bottom w:val="nil"/>
            </w:tcBorders>
            <w:noWrap/>
          </w:tcPr>
          <w:p w14:paraId="14E69AB4" w14:textId="77777777" w:rsidR="00EF173E" w:rsidRPr="0063124A" w:rsidRDefault="00EF173E" w:rsidP="00EF173E">
            <w:pPr>
              <w:rPr>
                <w:bCs/>
              </w:rPr>
            </w:pPr>
          </w:p>
        </w:tc>
        <w:tc>
          <w:tcPr>
            <w:tcW w:w="3875" w:type="pct"/>
            <w:tcBorders>
              <w:top w:val="single" w:sz="4" w:space="0" w:color="auto"/>
              <w:bottom w:val="nil"/>
            </w:tcBorders>
          </w:tcPr>
          <w:p w14:paraId="6DC9A0AA" w14:textId="4F7DA103" w:rsidR="00EF173E" w:rsidRPr="0063124A" w:rsidRDefault="00EF173E" w:rsidP="00EF173E">
            <w:pPr>
              <w:jc w:val="left"/>
            </w:pPr>
            <w:r w:rsidRPr="0063124A">
              <w:rPr>
                <w:bCs/>
              </w:rPr>
              <w:t xml:space="preserve">Facilitation conduction </w:t>
            </w:r>
            <w:r w:rsidRPr="0063124A">
              <w:rPr>
                <w:bCs/>
              </w:rPr>
              <w:fldChar w:fldCharType="begin" w:fldLock="1"/>
            </w:r>
            <w:r w:rsidR="00B12E5D">
              <w:rPr>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63124A">
              <w:rPr>
                <w:bCs/>
              </w:rPr>
              <w:fldChar w:fldCharType="separate"/>
            </w:r>
            <w:r w:rsidR="00AF1E11" w:rsidRPr="00AF1E11">
              <w:rPr>
                <w:bCs/>
                <w:noProof/>
              </w:rPr>
              <w:t>(Venkatesh et al., 2003, 2012)</w:t>
            </w:r>
            <w:r w:rsidRPr="0063124A">
              <w:fldChar w:fldCharType="end"/>
            </w:r>
          </w:p>
        </w:tc>
        <w:tc>
          <w:tcPr>
            <w:tcW w:w="486" w:type="pct"/>
            <w:tcBorders>
              <w:top w:val="single" w:sz="4" w:space="0" w:color="auto"/>
              <w:bottom w:val="nil"/>
            </w:tcBorders>
            <w:noWrap/>
          </w:tcPr>
          <w:p w14:paraId="6B257937" w14:textId="77777777" w:rsidR="00EF173E" w:rsidRPr="0063124A" w:rsidRDefault="00EF173E" w:rsidP="00EF173E">
            <w:pPr>
              <w:jc w:val="center"/>
              <w:rPr>
                <w:bCs/>
              </w:rPr>
            </w:pPr>
          </w:p>
        </w:tc>
        <w:tc>
          <w:tcPr>
            <w:tcW w:w="342" w:type="pct"/>
            <w:tcBorders>
              <w:top w:val="single" w:sz="4" w:space="0" w:color="auto"/>
              <w:bottom w:val="nil"/>
            </w:tcBorders>
          </w:tcPr>
          <w:p w14:paraId="17A81CB5" w14:textId="77777777" w:rsidR="00EF173E" w:rsidRPr="0063124A" w:rsidRDefault="00EF173E" w:rsidP="00EF173E">
            <w:pPr>
              <w:jc w:val="center"/>
              <w:rPr>
                <w:bCs/>
              </w:rPr>
            </w:pPr>
            <w:r w:rsidRPr="0063124A">
              <w:rPr>
                <w:bCs/>
              </w:rPr>
              <w:t>0.890</w:t>
            </w:r>
          </w:p>
        </w:tc>
      </w:tr>
      <w:tr w:rsidR="00EF173E" w:rsidRPr="0063124A" w14:paraId="2A9CB64C" w14:textId="77777777" w:rsidTr="006A57E5">
        <w:trPr>
          <w:trHeight w:val="300"/>
        </w:trPr>
        <w:tc>
          <w:tcPr>
            <w:tcW w:w="296" w:type="pct"/>
            <w:tcBorders>
              <w:top w:val="nil"/>
            </w:tcBorders>
            <w:noWrap/>
            <w:hideMark/>
          </w:tcPr>
          <w:p w14:paraId="773E3872" w14:textId="77777777" w:rsidR="00EF173E" w:rsidRPr="0063124A" w:rsidRDefault="00EF173E" w:rsidP="00EF173E">
            <w:pPr>
              <w:rPr>
                <w:bCs/>
              </w:rPr>
            </w:pPr>
            <w:r w:rsidRPr="0063124A">
              <w:rPr>
                <w:bCs/>
              </w:rPr>
              <w:t>fc1</w:t>
            </w:r>
          </w:p>
        </w:tc>
        <w:tc>
          <w:tcPr>
            <w:tcW w:w="3875" w:type="pct"/>
            <w:tcBorders>
              <w:top w:val="nil"/>
            </w:tcBorders>
          </w:tcPr>
          <w:p w14:paraId="29086095" w14:textId="77777777" w:rsidR="00EF173E" w:rsidRPr="0063124A" w:rsidRDefault="00EF173E" w:rsidP="00EF173E">
            <w:pPr>
              <w:jc w:val="left"/>
              <w:rPr>
                <w:bCs/>
              </w:rPr>
            </w:pPr>
            <w:r w:rsidRPr="0063124A">
              <w:t>Mobile banking saves me time by avoiding going to the bank branches, waiting in the queue</w:t>
            </w:r>
          </w:p>
        </w:tc>
        <w:tc>
          <w:tcPr>
            <w:tcW w:w="486" w:type="pct"/>
            <w:tcBorders>
              <w:top w:val="nil"/>
            </w:tcBorders>
            <w:noWrap/>
            <w:hideMark/>
          </w:tcPr>
          <w:p w14:paraId="416DEEA6" w14:textId="77777777" w:rsidR="00EF173E" w:rsidRPr="0063124A" w:rsidRDefault="00EF173E" w:rsidP="00EF173E">
            <w:pPr>
              <w:jc w:val="center"/>
              <w:rPr>
                <w:bCs/>
              </w:rPr>
            </w:pPr>
            <w:r w:rsidRPr="0063124A">
              <w:rPr>
                <w:bCs/>
              </w:rPr>
              <w:t>0.908</w:t>
            </w:r>
          </w:p>
        </w:tc>
        <w:tc>
          <w:tcPr>
            <w:tcW w:w="342" w:type="pct"/>
            <w:tcBorders>
              <w:top w:val="nil"/>
            </w:tcBorders>
          </w:tcPr>
          <w:p w14:paraId="31692AD3" w14:textId="77777777" w:rsidR="00EF173E" w:rsidRPr="0063124A" w:rsidRDefault="00EF173E" w:rsidP="00EF173E">
            <w:pPr>
              <w:jc w:val="center"/>
              <w:rPr>
                <w:bCs/>
              </w:rPr>
            </w:pPr>
          </w:p>
        </w:tc>
      </w:tr>
      <w:tr w:rsidR="00EF173E" w:rsidRPr="0063124A" w14:paraId="52AE80E5" w14:textId="77777777" w:rsidTr="006A57E5">
        <w:trPr>
          <w:trHeight w:val="300"/>
        </w:trPr>
        <w:tc>
          <w:tcPr>
            <w:tcW w:w="296" w:type="pct"/>
            <w:noWrap/>
            <w:hideMark/>
          </w:tcPr>
          <w:p w14:paraId="590A4CB0" w14:textId="77777777" w:rsidR="00EF173E" w:rsidRPr="0063124A" w:rsidRDefault="00EF173E" w:rsidP="00EF173E">
            <w:pPr>
              <w:rPr>
                <w:bCs/>
              </w:rPr>
            </w:pPr>
            <w:r w:rsidRPr="0063124A">
              <w:rPr>
                <w:bCs/>
              </w:rPr>
              <w:t>fc2</w:t>
            </w:r>
          </w:p>
        </w:tc>
        <w:tc>
          <w:tcPr>
            <w:tcW w:w="3875" w:type="pct"/>
          </w:tcPr>
          <w:p w14:paraId="7B2CD5EC" w14:textId="77777777" w:rsidR="00EF173E" w:rsidRPr="0063124A" w:rsidRDefault="00EF173E" w:rsidP="00EF173E">
            <w:pPr>
              <w:jc w:val="left"/>
              <w:rPr>
                <w:bCs/>
              </w:rPr>
            </w:pPr>
            <w:r w:rsidRPr="0063124A">
              <w:t>I have the necessary resources to use mobile banking services</w:t>
            </w:r>
          </w:p>
        </w:tc>
        <w:tc>
          <w:tcPr>
            <w:tcW w:w="486" w:type="pct"/>
            <w:noWrap/>
            <w:hideMark/>
          </w:tcPr>
          <w:p w14:paraId="0217C4B6" w14:textId="77777777" w:rsidR="00EF173E" w:rsidRPr="0063124A" w:rsidRDefault="00EF173E" w:rsidP="00EF173E">
            <w:pPr>
              <w:jc w:val="center"/>
              <w:rPr>
                <w:bCs/>
              </w:rPr>
            </w:pPr>
            <w:r w:rsidRPr="0063124A">
              <w:rPr>
                <w:bCs/>
              </w:rPr>
              <w:t>0.917</w:t>
            </w:r>
          </w:p>
        </w:tc>
        <w:tc>
          <w:tcPr>
            <w:tcW w:w="342" w:type="pct"/>
          </w:tcPr>
          <w:p w14:paraId="64E224E6" w14:textId="77777777" w:rsidR="00EF173E" w:rsidRPr="0063124A" w:rsidRDefault="00EF173E" w:rsidP="00EF173E">
            <w:pPr>
              <w:jc w:val="center"/>
              <w:rPr>
                <w:bCs/>
              </w:rPr>
            </w:pPr>
          </w:p>
        </w:tc>
      </w:tr>
      <w:tr w:rsidR="00EF173E" w:rsidRPr="0063124A" w14:paraId="48683087" w14:textId="77777777" w:rsidTr="006A57E5">
        <w:trPr>
          <w:trHeight w:val="300"/>
        </w:trPr>
        <w:tc>
          <w:tcPr>
            <w:tcW w:w="296" w:type="pct"/>
            <w:tcBorders>
              <w:bottom w:val="nil"/>
            </w:tcBorders>
            <w:noWrap/>
          </w:tcPr>
          <w:p w14:paraId="0B93ACE8" w14:textId="77777777" w:rsidR="00EF173E" w:rsidRPr="0063124A" w:rsidRDefault="00EF173E" w:rsidP="00EF173E">
            <w:pPr>
              <w:rPr>
                <w:bCs/>
              </w:rPr>
            </w:pPr>
            <w:r w:rsidRPr="0063124A">
              <w:rPr>
                <w:bCs/>
              </w:rPr>
              <w:t>fc3</w:t>
            </w:r>
          </w:p>
        </w:tc>
        <w:tc>
          <w:tcPr>
            <w:tcW w:w="3875" w:type="pct"/>
            <w:tcBorders>
              <w:bottom w:val="nil"/>
            </w:tcBorders>
          </w:tcPr>
          <w:p w14:paraId="3B5D0058" w14:textId="77777777" w:rsidR="00EF173E" w:rsidRPr="0063124A" w:rsidRDefault="00EF173E" w:rsidP="00EF173E">
            <w:pPr>
              <w:jc w:val="left"/>
              <w:rPr>
                <w:bCs/>
              </w:rPr>
            </w:pPr>
            <w:r w:rsidRPr="0063124A">
              <w:t>I have the necessary knowledge to use mobile banking services</w:t>
            </w:r>
          </w:p>
        </w:tc>
        <w:tc>
          <w:tcPr>
            <w:tcW w:w="486" w:type="pct"/>
            <w:tcBorders>
              <w:bottom w:val="nil"/>
            </w:tcBorders>
            <w:noWrap/>
          </w:tcPr>
          <w:p w14:paraId="79E3156B" w14:textId="77777777" w:rsidR="00EF173E" w:rsidRPr="0063124A" w:rsidRDefault="00EF173E" w:rsidP="00EF173E">
            <w:pPr>
              <w:jc w:val="center"/>
              <w:rPr>
                <w:bCs/>
              </w:rPr>
            </w:pPr>
            <w:r w:rsidRPr="0063124A">
              <w:rPr>
                <w:bCs/>
              </w:rPr>
              <w:t>deleted</w:t>
            </w:r>
          </w:p>
        </w:tc>
        <w:tc>
          <w:tcPr>
            <w:tcW w:w="342" w:type="pct"/>
            <w:tcBorders>
              <w:bottom w:val="nil"/>
            </w:tcBorders>
          </w:tcPr>
          <w:p w14:paraId="17B9A7D4" w14:textId="77777777" w:rsidR="00EF173E" w:rsidRPr="0063124A" w:rsidRDefault="00EF173E" w:rsidP="00EF173E">
            <w:pPr>
              <w:jc w:val="center"/>
              <w:rPr>
                <w:bCs/>
              </w:rPr>
            </w:pPr>
          </w:p>
        </w:tc>
      </w:tr>
      <w:tr w:rsidR="00EF173E" w:rsidRPr="0063124A" w14:paraId="3300921E" w14:textId="77777777" w:rsidTr="006A57E5">
        <w:trPr>
          <w:trHeight w:val="300"/>
        </w:trPr>
        <w:tc>
          <w:tcPr>
            <w:tcW w:w="296" w:type="pct"/>
            <w:tcBorders>
              <w:top w:val="nil"/>
              <w:bottom w:val="single" w:sz="4" w:space="0" w:color="auto"/>
            </w:tcBorders>
            <w:noWrap/>
            <w:hideMark/>
          </w:tcPr>
          <w:p w14:paraId="601A93F1" w14:textId="77777777" w:rsidR="00EF173E" w:rsidRPr="0063124A" w:rsidRDefault="00EF173E" w:rsidP="00EF173E">
            <w:pPr>
              <w:rPr>
                <w:bCs/>
              </w:rPr>
            </w:pPr>
            <w:r w:rsidRPr="0063124A">
              <w:rPr>
                <w:bCs/>
              </w:rPr>
              <w:t>fc4</w:t>
            </w:r>
          </w:p>
        </w:tc>
        <w:tc>
          <w:tcPr>
            <w:tcW w:w="3875" w:type="pct"/>
            <w:tcBorders>
              <w:top w:val="nil"/>
              <w:bottom w:val="single" w:sz="4" w:space="0" w:color="auto"/>
            </w:tcBorders>
          </w:tcPr>
          <w:p w14:paraId="76AA69C7" w14:textId="77777777" w:rsidR="00EF173E" w:rsidRPr="0063124A" w:rsidRDefault="00EF173E" w:rsidP="00EF173E">
            <w:pPr>
              <w:jc w:val="left"/>
              <w:rPr>
                <w:bCs/>
              </w:rPr>
            </w:pPr>
            <w:r w:rsidRPr="0063124A">
              <w:t>Mobile banking is compatible with other technologies I use</w:t>
            </w:r>
          </w:p>
        </w:tc>
        <w:tc>
          <w:tcPr>
            <w:tcW w:w="486" w:type="pct"/>
            <w:tcBorders>
              <w:top w:val="nil"/>
              <w:bottom w:val="single" w:sz="4" w:space="0" w:color="auto"/>
            </w:tcBorders>
            <w:noWrap/>
            <w:hideMark/>
          </w:tcPr>
          <w:p w14:paraId="02A8E059" w14:textId="77777777" w:rsidR="00EF173E" w:rsidRPr="0063124A" w:rsidRDefault="00EF173E" w:rsidP="00EF173E">
            <w:pPr>
              <w:jc w:val="center"/>
              <w:rPr>
                <w:bCs/>
              </w:rPr>
            </w:pPr>
            <w:r w:rsidRPr="0063124A">
              <w:rPr>
                <w:bCs/>
              </w:rPr>
              <w:t>0.890</w:t>
            </w:r>
          </w:p>
        </w:tc>
        <w:tc>
          <w:tcPr>
            <w:tcW w:w="342" w:type="pct"/>
            <w:tcBorders>
              <w:top w:val="nil"/>
              <w:bottom w:val="single" w:sz="4" w:space="0" w:color="auto"/>
            </w:tcBorders>
          </w:tcPr>
          <w:p w14:paraId="23B35CEC" w14:textId="77777777" w:rsidR="00EF173E" w:rsidRPr="0063124A" w:rsidRDefault="00EF173E" w:rsidP="00EF173E">
            <w:pPr>
              <w:jc w:val="center"/>
              <w:rPr>
                <w:bCs/>
              </w:rPr>
            </w:pPr>
          </w:p>
        </w:tc>
      </w:tr>
      <w:tr w:rsidR="00EF173E" w:rsidRPr="0063124A" w14:paraId="1BCCB92E" w14:textId="77777777" w:rsidTr="006A57E5">
        <w:trPr>
          <w:trHeight w:val="300"/>
        </w:trPr>
        <w:tc>
          <w:tcPr>
            <w:tcW w:w="296" w:type="pct"/>
            <w:tcBorders>
              <w:top w:val="single" w:sz="4" w:space="0" w:color="auto"/>
              <w:bottom w:val="nil"/>
            </w:tcBorders>
            <w:noWrap/>
          </w:tcPr>
          <w:p w14:paraId="37F26536" w14:textId="77777777" w:rsidR="00EF173E" w:rsidRPr="0063124A" w:rsidRDefault="00EF173E" w:rsidP="00EF173E">
            <w:pPr>
              <w:rPr>
                <w:bCs/>
              </w:rPr>
            </w:pPr>
          </w:p>
        </w:tc>
        <w:tc>
          <w:tcPr>
            <w:tcW w:w="3875" w:type="pct"/>
            <w:tcBorders>
              <w:top w:val="single" w:sz="4" w:space="0" w:color="auto"/>
              <w:bottom w:val="nil"/>
            </w:tcBorders>
          </w:tcPr>
          <w:p w14:paraId="69219A10" w14:textId="0302227D" w:rsidR="00EF173E" w:rsidRPr="0063124A" w:rsidRDefault="00EF173E" w:rsidP="00EF173E">
            <w:pPr>
              <w:jc w:val="left"/>
            </w:pPr>
            <w:r w:rsidRPr="0063124A">
              <w:rPr>
                <w:bCs/>
              </w:rPr>
              <w:t xml:space="preserve">Habit </w:t>
            </w:r>
            <w:r w:rsidRPr="0063124A">
              <w:rPr>
                <w:bCs/>
              </w:rPr>
              <w:fldChar w:fldCharType="begin" w:fldLock="1"/>
            </w:r>
            <w:r w:rsidR="00B12E5D">
              <w:rPr>
                <w:bCs/>
              </w:rPr>
              <w:instrText>ADDIN CSL_CITATION {"citationItems":[{"id":"ITEM-1","itemData":{"DOI":"10.2307/41410412","ISSN":"02767783","abstract":"This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Quarterly","id":"ITEM-1","issue":"1","issued":{"date-parts":[["2012"]]},"page":"157","title":"Consumer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2012)","plainTextFormattedCitation":"(Venkatesh et al., 2012)","previouslyFormattedCitation":"(Venkatesh et al., 2012)"},"properties":{"noteIndex":0},"schema":"https://github.com/citation-style-language/schema/raw/master/csl-citation.json"}</w:instrText>
            </w:r>
            <w:r w:rsidRPr="0063124A">
              <w:rPr>
                <w:bCs/>
              </w:rPr>
              <w:fldChar w:fldCharType="separate"/>
            </w:r>
            <w:r w:rsidR="00AF1E11" w:rsidRPr="00AF1E11">
              <w:rPr>
                <w:bCs/>
                <w:noProof/>
              </w:rPr>
              <w:t>(Venkatesh et al., 2012)</w:t>
            </w:r>
            <w:r w:rsidRPr="0063124A">
              <w:fldChar w:fldCharType="end"/>
            </w:r>
          </w:p>
        </w:tc>
        <w:tc>
          <w:tcPr>
            <w:tcW w:w="486" w:type="pct"/>
            <w:tcBorders>
              <w:top w:val="single" w:sz="4" w:space="0" w:color="auto"/>
              <w:bottom w:val="nil"/>
            </w:tcBorders>
            <w:noWrap/>
          </w:tcPr>
          <w:p w14:paraId="492042A9" w14:textId="77777777" w:rsidR="00EF173E" w:rsidRPr="0063124A" w:rsidRDefault="00EF173E" w:rsidP="00EF173E">
            <w:pPr>
              <w:jc w:val="center"/>
              <w:rPr>
                <w:bCs/>
              </w:rPr>
            </w:pPr>
          </w:p>
        </w:tc>
        <w:tc>
          <w:tcPr>
            <w:tcW w:w="342" w:type="pct"/>
            <w:tcBorders>
              <w:top w:val="single" w:sz="4" w:space="0" w:color="auto"/>
              <w:bottom w:val="nil"/>
            </w:tcBorders>
          </w:tcPr>
          <w:p w14:paraId="75AA27FB" w14:textId="77777777" w:rsidR="00EF173E" w:rsidRPr="0063124A" w:rsidRDefault="00EF173E" w:rsidP="00EF173E">
            <w:pPr>
              <w:jc w:val="center"/>
              <w:rPr>
                <w:bCs/>
              </w:rPr>
            </w:pPr>
            <w:r w:rsidRPr="0063124A">
              <w:rPr>
                <w:bCs/>
              </w:rPr>
              <w:t>0.796</w:t>
            </w:r>
          </w:p>
        </w:tc>
      </w:tr>
      <w:tr w:rsidR="00EF173E" w:rsidRPr="0063124A" w14:paraId="6A4D1EA6" w14:textId="77777777" w:rsidTr="006A57E5">
        <w:trPr>
          <w:trHeight w:val="300"/>
        </w:trPr>
        <w:tc>
          <w:tcPr>
            <w:tcW w:w="296" w:type="pct"/>
            <w:tcBorders>
              <w:top w:val="nil"/>
            </w:tcBorders>
            <w:noWrap/>
            <w:hideMark/>
          </w:tcPr>
          <w:p w14:paraId="17E8C9E5" w14:textId="77777777" w:rsidR="00EF173E" w:rsidRPr="0063124A" w:rsidRDefault="00EF173E" w:rsidP="00EF173E">
            <w:pPr>
              <w:rPr>
                <w:bCs/>
              </w:rPr>
            </w:pPr>
            <w:r w:rsidRPr="0063124A">
              <w:rPr>
                <w:bCs/>
              </w:rPr>
              <w:t>hb1</w:t>
            </w:r>
          </w:p>
        </w:tc>
        <w:tc>
          <w:tcPr>
            <w:tcW w:w="3875" w:type="pct"/>
            <w:tcBorders>
              <w:top w:val="nil"/>
            </w:tcBorders>
          </w:tcPr>
          <w:p w14:paraId="589601CC" w14:textId="77777777" w:rsidR="00EF173E" w:rsidRPr="0063124A" w:rsidRDefault="00EF173E" w:rsidP="00EF173E">
            <w:pPr>
              <w:jc w:val="left"/>
              <w:rPr>
                <w:bCs/>
              </w:rPr>
            </w:pPr>
            <w:r w:rsidRPr="0063124A">
              <w:t>The use of mobile banking services has become a habit for me</w:t>
            </w:r>
          </w:p>
        </w:tc>
        <w:tc>
          <w:tcPr>
            <w:tcW w:w="486" w:type="pct"/>
            <w:tcBorders>
              <w:top w:val="nil"/>
            </w:tcBorders>
            <w:noWrap/>
            <w:hideMark/>
          </w:tcPr>
          <w:p w14:paraId="0DCFE460" w14:textId="77777777" w:rsidR="00EF173E" w:rsidRPr="0063124A" w:rsidRDefault="00EF173E" w:rsidP="00EF173E">
            <w:pPr>
              <w:jc w:val="center"/>
              <w:rPr>
                <w:bCs/>
              </w:rPr>
            </w:pPr>
            <w:r w:rsidRPr="0063124A">
              <w:rPr>
                <w:bCs/>
              </w:rPr>
              <w:t>0.910</w:t>
            </w:r>
          </w:p>
        </w:tc>
        <w:tc>
          <w:tcPr>
            <w:tcW w:w="342" w:type="pct"/>
            <w:tcBorders>
              <w:top w:val="nil"/>
            </w:tcBorders>
          </w:tcPr>
          <w:p w14:paraId="7B78F49D" w14:textId="77777777" w:rsidR="00EF173E" w:rsidRPr="0063124A" w:rsidRDefault="00EF173E" w:rsidP="00EF173E">
            <w:pPr>
              <w:jc w:val="center"/>
              <w:rPr>
                <w:bCs/>
              </w:rPr>
            </w:pPr>
          </w:p>
        </w:tc>
      </w:tr>
      <w:tr w:rsidR="00EF173E" w:rsidRPr="0063124A" w14:paraId="5688B790" w14:textId="77777777" w:rsidTr="006A57E5">
        <w:trPr>
          <w:trHeight w:val="300"/>
        </w:trPr>
        <w:tc>
          <w:tcPr>
            <w:tcW w:w="296" w:type="pct"/>
            <w:noWrap/>
            <w:hideMark/>
          </w:tcPr>
          <w:p w14:paraId="2B9DAAA3" w14:textId="77777777" w:rsidR="00EF173E" w:rsidRPr="0063124A" w:rsidRDefault="00EF173E" w:rsidP="00EF173E">
            <w:pPr>
              <w:rPr>
                <w:bCs/>
              </w:rPr>
            </w:pPr>
            <w:r w:rsidRPr="0063124A">
              <w:rPr>
                <w:bCs/>
              </w:rPr>
              <w:t>hb2</w:t>
            </w:r>
          </w:p>
        </w:tc>
        <w:tc>
          <w:tcPr>
            <w:tcW w:w="3875" w:type="pct"/>
          </w:tcPr>
          <w:p w14:paraId="5AA7EB02" w14:textId="77777777" w:rsidR="00EF173E" w:rsidRPr="0063124A" w:rsidRDefault="00EF173E" w:rsidP="00EF173E">
            <w:pPr>
              <w:jc w:val="left"/>
              <w:rPr>
                <w:bCs/>
              </w:rPr>
            </w:pPr>
            <w:r w:rsidRPr="0063124A">
              <w:t>I am addicted to using mobile banking services</w:t>
            </w:r>
          </w:p>
        </w:tc>
        <w:tc>
          <w:tcPr>
            <w:tcW w:w="486" w:type="pct"/>
            <w:noWrap/>
            <w:hideMark/>
          </w:tcPr>
          <w:p w14:paraId="76EF839D" w14:textId="77777777" w:rsidR="00EF173E" w:rsidRPr="0063124A" w:rsidRDefault="00EF173E" w:rsidP="00EF173E">
            <w:pPr>
              <w:jc w:val="center"/>
              <w:rPr>
                <w:bCs/>
              </w:rPr>
            </w:pPr>
            <w:r w:rsidRPr="0063124A">
              <w:rPr>
                <w:bCs/>
              </w:rPr>
              <w:t>0.676</w:t>
            </w:r>
          </w:p>
        </w:tc>
        <w:tc>
          <w:tcPr>
            <w:tcW w:w="342" w:type="pct"/>
          </w:tcPr>
          <w:p w14:paraId="5D9920B5" w14:textId="77777777" w:rsidR="00EF173E" w:rsidRPr="0063124A" w:rsidRDefault="00EF173E" w:rsidP="00EF173E">
            <w:pPr>
              <w:jc w:val="center"/>
              <w:rPr>
                <w:bCs/>
              </w:rPr>
            </w:pPr>
          </w:p>
        </w:tc>
      </w:tr>
      <w:tr w:rsidR="00EF173E" w:rsidRPr="0063124A" w14:paraId="67B6514C" w14:textId="77777777" w:rsidTr="006A57E5">
        <w:trPr>
          <w:trHeight w:val="300"/>
        </w:trPr>
        <w:tc>
          <w:tcPr>
            <w:tcW w:w="296" w:type="pct"/>
            <w:tcBorders>
              <w:bottom w:val="nil"/>
            </w:tcBorders>
            <w:noWrap/>
          </w:tcPr>
          <w:p w14:paraId="55F6FA29" w14:textId="77777777" w:rsidR="00EF173E" w:rsidRPr="0063124A" w:rsidRDefault="00EF173E" w:rsidP="00EF173E">
            <w:pPr>
              <w:rPr>
                <w:bCs/>
              </w:rPr>
            </w:pPr>
            <w:r w:rsidRPr="0063124A">
              <w:rPr>
                <w:bCs/>
              </w:rPr>
              <w:t>hb3</w:t>
            </w:r>
          </w:p>
        </w:tc>
        <w:tc>
          <w:tcPr>
            <w:tcW w:w="3875" w:type="pct"/>
            <w:tcBorders>
              <w:bottom w:val="nil"/>
            </w:tcBorders>
          </w:tcPr>
          <w:p w14:paraId="7EE7D17B" w14:textId="77777777" w:rsidR="00EF173E" w:rsidRPr="0063124A" w:rsidRDefault="00EF173E" w:rsidP="00EF173E">
            <w:pPr>
              <w:jc w:val="left"/>
              <w:rPr>
                <w:bCs/>
              </w:rPr>
            </w:pPr>
            <w:r w:rsidRPr="0063124A">
              <w:t xml:space="preserve">I feel like I must use mobile banking services </w:t>
            </w:r>
          </w:p>
        </w:tc>
        <w:tc>
          <w:tcPr>
            <w:tcW w:w="486" w:type="pct"/>
            <w:tcBorders>
              <w:bottom w:val="nil"/>
            </w:tcBorders>
            <w:noWrap/>
          </w:tcPr>
          <w:p w14:paraId="1E5C4CAE" w14:textId="77777777" w:rsidR="00EF173E" w:rsidRPr="0063124A" w:rsidRDefault="00EF173E" w:rsidP="00EF173E">
            <w:pPr>
              <w:jc w:val="center"/>
              <w:rPr>
                <w:bCs/>
              </w:rPr>
            </w:pPr>
            <w:r w:rsidRPr="0063124A">
              <w:rPr>
                <w:bCs/>
              </w:rPr>
              <w:t>deleted</w:t>
            </w:r>
          </w:p>
        </w:tc>
        <w:tc>
          <w:tcPr>
            <w:tcW w:w="342" w:type="pct"/>
            <w:tcBorders>
              <w:bottom w:val="nil"/>
            </w:tcBorders>
          </w:tcPr>
          <w:p w14:paraId="55F65F64" w14:textId="77777777" w:rsidR="00EF173E" w:rsidRPr="0063124A" w:rsidRDefault="00EF173E" w:rsidP="00EF173E">
            <w:pPr>
              <w:jc w:val="center"/>
              <w:rPr>
                <w:bCs/>
              </w:rPr>
            </w:pPr>
          </w:p>
        </w:tc>
      </w:tr>
      <w:tr w:rsidR="00EF173E" w:rsidRPr="0063124A" w14:paraId="1EF0A4CA" w14:textId="77777777" w:rsidTr="006A57E5">
        <w:trPr>
          <w:trHeight w:val="300"/>
        </w:trPr>
        <w:tc>
          <w:tcPr>
            <w:tcW w:w="296" w:type="pct"/>
            <w:tcBorders>
              <w:top w:val="nil"/>
              <w:bottom w:val="single" w:sz="4" w:space="0" w:color="auto"/>
            </w:tcBorders>
            <w:noWrap/>
            <w:hideMark/>
          </w:tcPr>
          <w:p w14:paraId="5859C5DF" w14:textId="77777777" w:rsidR="00EF173E" w:rsidRPr="0063124A" w:rsidRDefault="00EF173E" w:rsidP="00EF173E">
            <w:pPr>
              <w:rPr>
                <w:bCs/>
              </w:rPr>
            </w:pPr>
            <w:r w:rsidRPr="0063124A">
              <w:rPr>
                <w:bCs/>
              </w:rPr>
              <w:t>hb4</w:t>
            </w:r>
          </w:p>
        </w:tc>
        <w:tc>
          <w:tcPr>
            <w:tcW w:w="3875" w:type="pct"/>
            <w:tcBorders>
              <w:top w:val="nil"/>
              <w:bottom w:val="single" w:sz="4" w:space="0" w:color="auto"/>
            </w:tcBorders>
          </w:tcPr>
          <w:p w14:paraId="0708E01F" w14:textId="77777777" w:rsidR="00EF173E" w:rsidRPr="0063124A" w:rsidRDefault="00EF173E" w:rsidP="00EF173E">
            <w:pPr>
              <w:jc w:val="left"/>
              <w:rPr>
                <w:bCs/>
              </w:rPr>
            </w:pPr>
            <w:r w:rsidRPr="0063124A">
              <w:t>Using mobile banking has become natural to me</w:t>
            </w:r>
          </w:p>
        </w:tc>
        <w:tc>
          <w:tcPr>
            <w:tcW w:w="486" w:type="pct"/>
            <w:tcBorders>
              <w:top w:val="nil"/>
              <w:bottom w:val="single" w:sz="4" w:space="0" w:color="auto"/>
            </w:tcBorders>
            <w:noWrap/>
            <w:hideMark/>
          </w:tcPr>
          <w:p w14:paraId="7A8AAC25" w14:textId="77777777" w:rsidR="00EF173E" w:rsidRPr="0063124A" w:rsidRDefault="00EF173E" w:rsidP="00EF173E">
            <w:pPr>
              <w:jc w:val="center"/>
              <w:rPr>
                <w:bCs/>
              </w:rPr>
            </w:pPr>
            <w:r w:rsidRPr="0063124A">
              <w:rPr>
                <w:bCs/>
              </w:rPr>
              <w:t>0.910</w:t>
            </w:r>
          </w:p>
        </w:tc>
        <w:tc>
          <w:tcPr>
            <w:tcW w:w="342" w:type="pct"/>
            <w:tcBorders>
              <w:top w:val="nil"/>
              <w:bottom w:val="single" w:sz="4" w:space="0" w:color="auto"/>
            </w:tcBorders>
          </w:tcPr>
          <w:p w14:paraId="34FB120F" w14:textId="77777777" w:rsidR="00EF173E" w:rsidRPr="0063124A" w:rsidRDefault="00EF173E" w:rsidP="00EF173E">
            <w:pPr>
              <w:jc w:val="center"/>
              <w:rPr>
                <w:bCs/>
              </w:rPr>
            </w:pPr>
          </w:p>
        </w:tc>
      </w:tr>
      <w:tr w:rsidR="00EF173E" w:rsidRPr="0063124A" w14:paraId="2856B2A5" w14:textId="77777777" w:rsidTr="006A57E5">
        <w:trPr>
          <w:trHeight w:val="300"/>
        </w:trPr>
        <w:tc>
          <w:tcPr>
            <w:tcW w:w="296" w:type="pct"/>
            <w:tcBorders>
              <w:top w:val="single" w:sz="4" w:space="0" w:color="auto"/>
              <w:bottom w:val="nil"/>
            </w:tcBorders>
            <w:noWrap/>
          </w:tcPr>
          <w:p w14:paraId="10EE9CF9" w14:textId="77777777" w:rsidR="00EF173E" w:rsidRPr="0063124A" w:rsidRDefault="00EF173E" w:rsidP="00EF173E">
            <w:pPr>
              <w:rPr>
                <w:bCs/>
              </w:rPr>
            </w:pPr>
          </w:p>
        </w:tc>
        <w:tc>
          <w:tcPr>
            <w:tcW w:w="3875" w:type="pct"/>
            <w:tcBorders>
              <w:top w:val="single" w:sz="4" w:space="0" w:color="auto"/>
              <w:bottom w:val="nil"/>
            </w:tcBorders>
          </w:tcPr>
          <w:p w14:paraId="2D08A9CA" w14:textId="4B36B646" w:rsidR="00EF173E" w:rsidRPr="0063124A" w:rsidRDefault="00EF173E" w:rsidP="00EF173E">
            <w:pPr>
              <w:jc w:val="left"/>
            </w:pPr>
            <w:r w:rsidRPr="0063124A">
              <w:t xml:space="preserve">Hedonic motivation </w:t>
            </w:r>
            <w:r w:rsidRPr="0063124A">
              <w:fldChar w:fldCharType="begin" w:fldLock="1"/>
            </w:r>
            <w:r w:rsidR="00B12E5D">
              <w:instrText>ADDIN CSL_CITATION {"citationItems":[{"id":"ITEM-1","itemData":{"DOI":"10.1007/s11628-011-0115-9","abstract":"The main purpose of this study is to investigate gender differences in the linkage of online patronage behavior with multi-channel shopping values in context of TV-and-online retailing. Data collected from 226 respondents in Taiwan are tested against the research model using the partial least squares (PLS) approach. The empirical result shows that utilitarian and hedonic TV shopping values have indirect positive effects on consumer online patronage intention through their associated online counterparts. Additionally, both utilitarian and hedonic TV shopping values are found to influence their associated online counterparts more strongly for men than for women. The findings of this study provide several important implications for the research and practice of multi-channel retail service.","author":[{"dropping-particle":"","family":"Lin","given":"Hsin-Hui","non-dropping-particle":"","parse-names":false,"suffix":""}],"container-title":"Service Business","id":"ITEM-1","issue":"4","issued":{"date-parts":[["2011","12"]]},"page":"295-312","title":"Gender differences in the linkage of online patronage behavior with TV-and-online shopping values","type":"article-journal","volume":"5"},"uris":["http://www.mendeley.com/documents/?uuid=a3e4e291-3515-40d0-86cd-a7c69ba7442d"]},{"id":"ITEM-2","itemData":{"DOI":"10.2307/41410412","ISSN":"02767783","abstract":"This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Technology","type":"article-journal","volume":"36"},"uris":["http://www.mendeley.com/documents/?uuid=47aaf082-83a2-46f0-b062-9c6987a306c3"]}],"mendeley":{"formattedCitation":"(Lin, 2011; Venkatesh et al., 2012)","plainTextFormattedCitation":"(Lin, 2011; Venkatesh et al., 2012)","previouslyFormattedCitation":"(Lin, 2011; Venkatesh et al., 2012)"},"properties":{"noteIndex":0},"schema":"https://github.com/citation-style-language/schema/raw/master/csl-citation.json"}</w:instrText>
            </w:r>
            <w:r w:rsidRPr="0063124A">
              <w:fldChar w:fldCharType="separate"/>
            </w:r>
            <w:r w:rsidR="00AF1E11" w:rsidRPr="00AF1E11">
              <w:rPr>
                <w:noProof/>
              </w:rPr>
              <w:t>(Lin, 2011; Venkatesh et al., 2012)</w:t>
            </w:r>
            <w:r w:rsidRPr="0063124A">
              <w:fldChar w:fldCharType="end"/>
            </w:r>
          </w:p>
        </w:tc>
        <w:tc>
          <w:tcPr>
            <w:tcW w:w="486" w:type="pct"/>
            <w:tcBorders>
              <w:top w:val="single" w:sz="4" w:space="0" w:color="auto"/>
              <w:bottom w:val="nil"/>
            </w:tcBorders>
            <w:noWrap/>
          </w:tcPr>
          <w:p w14:paraId="4066801A" w14:textId="77777777" w:rsidR="00EF173E" w:rsidRPr="0063124A" w:rsidRDefault="00EF173E" w:rsidP="00EF173E">
            <w:pPr>
              <w:jc w:val="center"/>
              <w:rPr>
                <w:bCs/>
              </w:rPr>
            </w:pPr>
          </w:p>
        </w:tc>
        <w:tc>
          <w:tcPr>
            <w:tcW w:w="342" w:type="pct"/>
            <w:tcBorders>
              <w:top w:val="single" w:sz="4" w:space="0" w:color="auto"/>
              <w:bottom w:val="nil"/>
            </w:tcBorders>
          </w:tcPr>
          <w:p w14:paraId="374D377E" w14:textId="77777777" w:rsidR="00EF173E" w:rsidRPr="0063124A" w:rsidRDefault="00EF173E" w:rsidP="00EF173E">
            <w:pPr>
              <w:jc w:val="center"/>
              <w:rPr>
                <w:bCs/>
              </w:rPr>
            </w:pPr>
            <w:r w:rsidRPr="0063124A">
              <w:rPr>
                <w:bCs/>
              </w:rPr>
              <w:t>0.832</w:t>
            </w:r>
          </w:p>
        </w:tc>
      </w:tr>
      <w:tr w:rsidR="00EF173E" w:rsidRPr="0063124A" w14:paraId="62488D50" w14:textId="77777777" w:rsidTr="006A57E5">
        <w:trPr>
          <w:trHeight w:val="300"/>
        </w:trPr>
        <w:tc>
          <w:tcPr>
            <w:tcW w:w="296" w:type="pct"/>
            <w:tcBorders>
              <w:top w:val="nil"/>
            </w:tcBorders>
            <w:noWrap/>
            <w:hideMark/>
          </w:tcPr>
          <w:p w14:paraId="21101D90" w14:textId="77777777" w:rsidR="00EF173E" w:rsidRPr="0063124A" w:rsidRDefault="00EF173E" w:rsidP="00EF173E">
            <w:pPr>
              <w:rPr>
                <w:bCs/>
              </w:rPr>
            </w:pPr>
            <w:r w:rsidRPr="0063124A">
              <w:rPr>
                <w:bCs/>
              </w:rPr>
              <w:t>hm1</w:t>
            </w:r>
          </w:p>
        </w:tc>
        <w:tc>
          <w:tcPr>
            <w:tcW w:w="3875" w:type="pct"/>
            <w:tcBorders>
              <w:top w:val="nil"/>
            </w:tcBorders>
          </w:tcPr>
          <w:p w14:paraId="024AEAF1" w14:textId="77777777" w:rsidR="00EF173E" w:rsidRPr="0063124A" w:rsidRDefault="00EF173E" w:rsidP="00EF173E">
            <w:pPr>
              <w:jc w:val="left"/>
              <w:rPr>
                <w:bCs/>
              </w:rPr>
            </w:pPr>
            <w:r w:rsidRPr="0063124A">
              <w:t>My curiosity is often stimulated by mobile banking app</w:t>
            </w:r>
          </w:p>
        </w:tc>
        <w:tc>
          <w:tcPr>
            <w:tcW w:w="486" w:type="pct"/>
            <w:tcBorders>
              <w:top w:val="nil"/>
            </w:tcBorders>
            <w:noWrap/>
            <w:hideMark/>
          </w:tcPr>
          <w:p w14:paraId="0F23D9EC" w14:textId="77777777" w:rsidR="00EF173E" w:rsidRPr="0063124A" w:rsidRDefault="00EF173E" w:rsidP="00EF173E">
            <w:pPr>
              <w:jc w:val="center"/>
              <w:rPr>
                <w:bCs/>
              </w:rPr>
            </w:pPr>
            <w:r w:rsidRPr="0063124A">
              <w:rPr>
                <w:bCs/>
              </w:rPr>
              <w:t>0.819</w:t>
            </w:r>
          </w:p>
        </w:tc>
        <w:tc>
          <w:tcPr>
            <w:tcW w:w="342" w:type="pct"/>
            <w:tcBorders>
              <w:top w:val="nil"/>
            </w:tcBorders>
          </w:tcPr>
          <w:p w14:paraId="6D6BF951" w14:textId="77777777" w:rsidR="00EF173E" w:rsidRPr="0063124A" w:rsidRDefault="00EF173E" w:rsidP="00EF173E">
            <w:pPr>
              <w:jc w:val="center"/>
              <w:rPr>
                <w:bCs/>
              </w:rPr>
            </w:pPr>
          </w:p>
        </w:tc>
      </w:tr>
      <w:tr w:rsidR="00EF173E" w:rsidRPr="0063124A" w14:paraId="14C40730" w14:textId="77777777" w:rsidTr="006A57E5">
        <w:trPr>
          <w:trHeight w:val="300"/>
        </w:trPr>
        <w:tc>
          <w:tcPr>
            <w:tcW w:w="296" w:type="pct"/>
            <w:noWrap/>
            <w:hideMark/>
          </w:tcPr>
          <w:p w14:paraId="14621DB1" w14:textId="77777777" w:rsidR="00EF173E" w:rsidRPr="0063124A" w:rsidRDefault="00EF173E" w:rsidP="00EF173E">
            <w:pPr>
              <w:rPr>
                <w:bCs/>
              </w:rPr>
            </w:pPr>
            <w:r w:rsidRPr="0063124A">
              <w:rPr>
                <w:bCs/>
              </w:rPr>
              <w:t>hm2</w:t>
            </w:r>
          </w:p>
        </w:tc>
        <w:tc>
          <w:tcPr>
            <w:tcW w:w="3875" w:type="pct"/>
          </w:tcPr>
          <w:p w14:paraId="1319CACC" w14:textId="77777777" w:rsidR="00EF173E" w:rsidRPr="0063124A" w:rsidRDefault="00EF173E" w:rsidP="00EF173E">
            <w:pPr>
              <w:jc w:val="left"/>
              <w:rPr>
                <w:bCs/>
              </w:rPr>
            </w:pPr>
            <w:r w:rsidRPr="0063124A">
              <w:t>I enjoy using mobile banking</w:t>
            </w:r>
          </w:p>
        </w:tc>
        <w:tc>
          <w:tcPr>
            <w:tcW w:w="486" w:type="pct"/>
            <w:noWrap/>
            <w:hideMark/>
          </w:tcPr>
          <w:p w14:paraId="5F85B020" w14:textId="77777777" w:rsidR="00EF173E" w:rsidRPr="0063124A" w:rsidRDefault="00EF173E" w:rsidP="00EF173E">
            <w:pPr>
              <w:jc w:val="center"/>
              <w:rPr>
                <w:bCs/>
              </w:rPr>
            </w:pPr>
            <w:r w:rsidRPr="0063124A">
              <w:rPr>
                <w:bCs/>
              </w:rPr>
              <w:t>0.894</w:t>
            </w:r>
          </w:p>
        </w:tc>
        <w:tc>
          <w:tcPr>
            <w:tcW w:w="342" w:type="pct"/>
          </w:tcPr>
          <w:p w14:paraId="26C2A86C" w14:textId="77777777" w:rsidR="00EF173E" w:rsidRPr="0063124A" w:rsidRDefault="00EF173E" w:rsidP="00EF173E">
            <w:pPr>
              <w:jc w:val="center"/>
              <w:rPr>
                <w:bCs/>
              </w:rPr>
            </w:pPr>
          </w:p>
        </w:tc>
      </w:tr>
      <w:tr w:rsidR="00EF173E" w:rsidRPr="0063124A" w14:paraId="2C9937F2" w14:textId="77777777" w:rsidTr="006A57E5">
        <w:trPr>
          <w:trHeight w:val="300"/>
        </w:trPr>
        <w:tc>
          <w:tcPr>
            <w:tcW w:w="296" w:type="pct"/>
            <w:tcBorders>
              <w:bottom w:val="nil"/>
            </w:tcBorders>
            <w:noWrap/>
            <w:hideMark/>
          </w:tcPr>
          <w:p w14:paraId="3F5468A5" w14:textId="77777777" w:rsidR="00EF173E" w:rsidRPr="0063124A" w:rsidRDefault="00EF173E" w:rsidP="00EF173E">
            <w:pPr>
              <w:rPr>
                <w:bCs/>
              </w:rPr>
            </w:pPr>
            <w:r w:rsidRPr="0063124A">
              <w:rPr>
                <w:bCs/>
              </w:rPr>
              <w:t>hm3</w:t>
            </w:r>
          </w:p>
        </w:tc>
        <w:tc>
          <w:tcPr>
            <w:tcW w:w="3875" w:type="pct"/>
            <w:tcBorders>
              <w:bottom w:val="nil"/>
            </w:tcBorders>
          </w:tcPr>
          <w:p w14:paraId="243F623A" w14:textId="77777777" w:rsidR="00EF173E" w:rsidRPr="0063124A" w:rsidRDefault="00EF173E" w:rsidP="00EF173E">
            <w:pPr>
              <w:jc w:val="left"/>
              <w:rPr>
                <w:bCs/>
              </w:rPr>
            </w:pPr>
            <w:r w:rsidRPr="0063124A">
              <w:t>While using mobile banking, I felt a sense of adventure</w:t>
            </w:r>
          </w:p>
        </w:tc>
        <w:tc>
          <w:tcPr>
            <w:tcW w:w="486" w:type="pct"/>
            <w:tcBorders>
              <w:bottom w:val="nil"/>
            </w:tcBorders>
            <w:noWrap/>
            <w:hideMark/>
          </w:tcPr>
          <w:p w14:paraId="2EA80E35" w14:textId="77777777" w:rsidR="00EF173E" w:rsidRPr="0063124A" w:rsidRDefault="00EF173E" w:rsidP="00EF173E">
            <w:pPr>
              <w:jc w:val="center"/>
              <w:rPr>
                <w:bCs/>
              </w:rPr>
            </w:pPr>
            <w:r w:rsidRPr="0063124A">
              <w:rPr>
                <w:bCs/>
              </w:rPr>
              <w:t>0.768</w:t>
            </w:r>
          </w:p>
        </w:tc>
        <w:tc>
          <w:tcPr>
            <w:tcW w:w="342" w:type="pct"/>
            <w:tcBorders>
              <w:bottom w:val="nil"/>
            </w:tcBorders>
          </w:tcPr>
          <w:p w14:paraId="0035D782" w14:textId="77777777" w:rsidR="00EF173E" w:rsidRPr="0063124A" w:rsidRDefault="00EF173E" w:rsidP="00EF173E">
            <w:pPr>
              <w:jc w:val="center"/>
              <w:rPr>
                <w:bCs/>
              </w:rPr>
            </w:pPr>
          </w:p>
        </w:tc>
      </w:tr>
      <w:tr w:rsidR="00EF173E" w:rsidRPr="0063124A" w14:paraId="7850769E" w14:textId="77777777" w:rsidTr="006A57E5">
        <w:trPr>
          <w:trHeight w:val="300"/>
        </w:trPr>
        <w:tc>
          <w:tcPr>
            <w:tcW w:w="296" w:type="pct"/>
            <w:tcBorders>
              <w:top w:val="nil"/>
              <w:bottom w:val="single" w:sz="4" w:space="0" w:color="auto"/>
            </w:tcBorders>
            <w:noWrap/>
            <w:hideMark/>
          </w:tcPr>
          <w:p w14:paraId="0D040EB8" w14:textId="77777777" w:rsidR="00EF173E" w:rsidRPr="0063124A" w:rsidRDefault="00EF173E" w:rsidP="00EF173E">
            <w:pPr>
              <w:rPr>
                <w:bCs/>
              </w:rPr>
            </w:pPr>
            <w:r w:rsidRPr="0063124A">
              <w:rPr>
                <w:bCs/>
              </w:rPr>
              <w:t>hm4</w:t>
            </w:r>
          </w:p>
        </w:tc>
        <w:tc>
          <w:tcPr>
            <w:tcW w:w="3875" w:type="pct"/>
            <w:tcBorders>
              <w:top w:val="nil"/>
              <w:bottom w:val="single" w:sz="4" w:space="0" w:color="auto"/>
            </w:tcBorders>
          </w:tcPr>
          <w:p w14:paraId="6FB55580" w14:textId="77777777" w:rsidR="00EF173E" w:rsidRPr="0063124A" w:rsidRDefault="00EF173E" w:rsidP="00EF173E">
            <w:pPr>
              <w:jc w:val="left"/>
              <w:rPr>
                <w:bCs/>
              </w:rPr>
            </w:pPr>
            <w:r w:rsidRPr="0063124A">
              <w:t>I use mobile banking to keep up with the trends</w:t>
            </w:r>
          </w:p>
        </w:tc>
        <w:tc>
          <w:tcPr>
            <w:tcW w:w="486" w:type="pct"/>
            <w:tcBorders>
              <w:top w:val="nil"/>
              <w:bottom w:val="single" w:sz="4" w:space="0" w:color="auto"/>
            </w:tcBorders>
            <w:noWrap/>
            <w:hideMark/>
          </w:tcPr>
          <w:p w14:paraId="1A9DF33B" w14:textId="77777777" w:rsidR="00EF173E" w:rsidRPr="0063124A" w:rsidRDefault="00EF173E" w:rsidP="00EF173E">
            <w:pPr>
              <w:jc w:val="center"/>
              <w:rPr>
                <w:bCs/>
              </w:rPr>
            </w:pPr>
            <w:r w:rsidRPr="0063124A">
              <w:rPr>
                <w:bCs/>
              </w:rPr>
              <w:t>0.717</w:t>
            </w:r>
          </w:p>
        </w:tc>
        <w:tc>
          <w:tcPr>
            <w:tcW w:w="342" w:type="pct"/>
            <w:tcBorders>
              <w:top w:val="nil"/>
              <w:bottom w:val="single" w:sz="4" w:space="0" w:color="auto"/>
            </w:tcBorders>
          </w:tcPr>
          <w:p w14:paraId="3888EF48" w14:textId="77777777" w:rsidR="00EF173E" w:rsidRPr="0063124A" w:rsidRDefault="00EF173E" w:rsidP="00EF173E">
            <w:pPr>
              <w:jc w:val="center"/>
              <w:rPr>
                <w:bCs/>
              </w:rPr>
            </w:pPr>
          </w:p>
        </w:tc>
      </w:tr>
      <w:tr w:rsidR="00EF173E" w:rsidRPr="0063124A" w14:paraId="10DC64C1" w14:textId="77777777" w:rsidTr="006A57E5">
        <w:trPr>
          <w:trHeight w:val="300"/>
        </w:trPr>
        <w:tc>
          <w:tcPr>
            <w:tcW w:w="296" w:type="pct"/>
            <w:tcBorders>
              <w:top w:val="single" w:sz="4" w:space="0" w:color="auto"/>
              <w:bottom w:val="nil"/>
            </w:tcBorders>
            <w:noWrap/>
          </w:tcPr>
          <w:p w14:paraId="41E386F5" w14:textId="77777777" w:rsidR="00EF173E" w:rsidRPr="0063124A" w:rsidRDefault="00EF173E" w:rsidP="00EF173E">
            <w:pPr>
              <w:rPr>
                <w:bCs/>
              </w:rPr>
            </w:pPr>
          </w:p>
        </w:tc>
        <w:tc>
          <w:tcPr>
            <w:tcW w:w="3875" w:type="pct"/>
            <w:tcBorders>
              <w:top w:val="single" w:sz="4" w:space="0" w:color="auto"/>
              <w:bottom w:val="nil"/>
            </w:tcBorders>
          </w:tcPr>
          <w:p w14:paraId="50BD2CB6" w14:textId="77B53E6E" w:rsidR="00EF173E" w:rsidRPr="0063124A" w:rsidRDefault="00EF173E" w:rsidP="00EF173E">
            <w:pPr>
              <w:jc w:val="left"/>
            </w:pPr>
            <w:r w:rsidRPr="0063124A">
              <w:t xml:space="preserve">Performance expectancy </w:t>
            </w:r>
            <w:r w:rsidRPr="0063124A">
              <w:rPr>
                <w:bCs/>
              </w:rPr>
              <w:fldChar w:fldCharType="begin" w:fldLock="1"/>
            </w:r>
            <w:r w:rsidR="00B12E5D">
              <w:rPr>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63124A">
              <w:rPr>
                <w:bCs/>
              </w:rPr>
              <w:fldChar w:fldCharType="separate"/>
            </w:r>
            <w:r w:rsidR="00AF1E11" w:rsidRPr="00AF1E11">
              <w:rPr>
                <w:bCs/>
                <w:noProof/>
              </w:rPr>
              <w:t>(Venkatesh et al., 2003, 2012)</w:t>
            </w:r>
            <w:r w:rsidRPr="0063124A">
              <w:fldChar w:fldCharType="end"/>
            </w:r>
          </w:p>
        </w:tc>
        <w:tc>
          <w:tcPr>
            <w:tcW w:w="486" w:type="pct"/>
            <w:tcBorders>
              <w:top w:val="single" w:sz="4" w:space="0" w:color="auto"/>
              <w:bottom w:val="nil"/>
            </w:tcBorders>
            <w:noWrap/>
          </w:tcPr>
          <w:p w14:paraId="04691571" w14:textId="77777777" w:rsidR="00EF173E" w:rsidRPr="0063124A" w:rsidRDefault="00EF173E" w:rsidP="00EF173E">
            <w:pPr>
              <w:jc w:val="center"/>
              <w:rPr>
                <w:bCs/>
              </w:rPr>
            </w:pPr>
          </w:p>
        </w:tc>
        <w:tc>
          <w:tcPr>
            <w:tcW w:w="342" w:type="pct"/>
            <w:tcBorders>
              <w:top w:val="single" w:sz="4" w:space="0" w:color="auto"/>
              <w:bottom w:val="nil"/>
            </w:tcBorders>
          </w:tcPr>
          <w:p w14:paraId="4E6842ED" w14:textId="77777777" w:rsidR="00EF173E" w:rsidRPr="0063124A" w:rsidRDefault="00EF173E" w:rsidP="00EF173E">
            <w:pPr>
              <w:jc w:val="center"/>
              <w:rPr>
                <w:bCs/>
              </w:rPr>
            </w:pPr>
            <w:r w:rsidRPr="0063124A">
              <w:rPr>
                <w:bCs/>
              </w:rPr>
              <w:t>0.879</w:t>
            </w:r>
          </w:p>
        </w:tc>
      </w:tr>
      <w:tr w:rsidR="00EF173E" w:rsidRPr="0063124A" w14:paraId="5B5C4F31" w14:textId="77777777" w:rsidTr="006A57E5">
        <w:trPr>
          <w:trHeight w:val="300"/>
        </w:trPr>
        <w:tc>
          <w:tcPr>
            <w:tcW w:w="296" w:type="pct"/>
            <w:tcBorders>
              <w:top w:val="nil"/>
            </w:tcBorders>
            <w:noWrap/>
            <w:hideMark/>
          </w:tcPr>
          <w:p w14:paraId="7211EDBE" w14:textId="77777777" w:rsidR="00EF173E" w:rsidRPr="0063124A" w:rsidRDefault="00EF173E" w:rsidP="00EF173E">
            <w:pPr>
              <w:rPr>
                <w:bCs/>
              </w:rPr>
            </w:pPr>
            <w:r w:rsidRPr="0063124A">
              <w:rPr>
                <w:bCs/>
              </w:rPr>
              <w:t>pe1</w:t>
            </w:r>
          </w:p>
        </w:tc>
        <w:tc>
          <w:tcPr>
            <w:tcW w:w="3875" w:type="pct"/>
            <w:tcBorders>
              <w:top w:val="nil"/>
            </w:tcBorders>
          </w:tcPr>
          <w:p w14:paraId="34DA839E" w14:textId="77777777" w:rsidR="00EF173E" w:rsidRPr="0063124A" w:rsidRDefault="00EF173E" w:rsidP="00EF173E">
            <w:pPr>
              <w:jc w:val="left"/>
              <w:rPr>
                <w:bCs/>
              </w:rPr>
            </w:pPr>
            <w:r w:rsidRPr="0063124A">
              <w:t>Mobile banking services are very useful in my daily life</w:t>
            </w:r>
          </w:p>
        </w:tc>
        <w:tc>
          <w:tcPr>
            <w:tcW w:w="486" w:type="pct"/>
            <w:tcBorders>
              <w:top w:val="nil"/>
            </w:tcBorders>
            <w:noWrap/>
            <w:hideMark/>
          </w:tcPr>
          <w:p w14:paraId="3DF805F6" w14:textId="77777777" w:rsidR="00EF173E" w:rsidRPr="0063124A" w:rsidRDefault="00EF173E" w:rsidP="00EF173E">
            <w:pPr>
              <w:jc w:val="center"/>
              <w:rPr>
                <w:bCs/>
              </w:rPr>
            </w:pPr>
            <w:r w:rsidRPr="0063124A">
              <w:rPr>
                <w:bCs/>
              </w:rPr>
              <w:t>0.923</w:t>
            </w:r>
          </w:p>
        </w:tc>
        <w:tc>
          <w:tcPr>
            <w:tcW w:w="342" w:type="pct"/>
            <w:tcBorders>
              <w:top w:val="nil"/>
            </w:tcBorders>
          </w:tcPr>
          <w:p w14:paraId="6F0985BB" w14:textId="77777777" w:rsidR="00EF173E" w:rsidRPr="0063124A" w:rsidRDefault="00EF173E" w:rsidP="00EF173E">
            <w:pPr>
              <w:jc w:val="center"/>
              <w:rPr>
                <w:bCs/>
              </w:rPr>
            </w:pPr>
          </w:p>
        </w:tc>
      </w:tr>
      <w:tr w:rsidR="00EF173E" w:rsidRPr="0063124A" w14:paraId="6AE977B1" w14:textId="77777777" w:rsidTr="006A57E5">
        <w:trPr>
          <w:trHeight w:val="300"/>
        </w:trPr>
        <w:tc>
          <w:tcPr>
            <w:tcW w:w="296" w:type="pct"/>
            <w:tcBorders>
              <w:bottom w:val="nil"/>
            </w:tcBorders>
            <w:noWrap/>
            <w:hideMark/>
          </w:tcPr>
          <w:p w14:paraId="7F56F92B" w14:textId="77777777" w:rsidR="00EF173E" w:rsidRPr="0063124A" w:rsidRDefault="00EF173E" w:rsidP="00EF173E">
            <w:pPr>
              <w:rPr>
                <w:bCs/>
              </w:rPr>
            </w:pPr>
            <w:r w:rsidRPr="0063124A">
              <w:rPr>
                <w:bCs/>
              </w:rPr>
              <w:t>pe2</w:t>
            </w:r>
          </w:p>
        </w:tc>
        <w:tc>
          <w:tcPr>
            <w:tcW w:w="3875" w:type="pct"/>
            <w:tcBorders>
              <w:bottom w:val="nil"/>
            </w:tcBorders>
          </w:tcPr>
          <w:p w14:paraId="46A1D5D1" w14:textId="77777777" w:rsidR="00EF173E" w:rsidRPr="0063124A" w:rsidRDefault="00EF173E" w:rsidP="00EF173E">
            <w:pPr>
              <w:jc w:val="left"/>
              <w:rPr>
                <w:bCs/>
              </w:rPr>
            </w:pPr>
            <w:r w:rsidRPr="0063124A">
              <w:t>Using mobile banking services increases my productivity</w:t>
            </w:r>
          </w:p>
        </w:tc>
        <w:tc>
          <w:tcPr>
            <w:tcW w:w="486" w:type="pct"/>
            <w:tcBorders>
              <w:bottom w:val="nil"/>
            </w:tcBorders>
            <w:noWrap/>
            <w:hideMark/>
          </w:tcPr>
          <w:p w14:paraId="49947BAE" w14:textId="77777777" w:rsidR="00EF173E" w:rsidRPr="0063124A" w:rsidRDefault="00EF173E" w:rsidP="00EF173E">
            <w:pPr>
              <w:jc w:val="center"/>
              <w:rPr>
                <w:bCs/>
              </w:rPr>
            </w:pPr>
            <w:r w:rsidRPr="0063124A">
              <w:rPr>
                <w:bCs/>
              </w:rPr>
              <w:t>0.872</w:t>
            </w:r>
          </w:p>
        </w:tc>
        <w:tc>
          <w:tcPr>
            <w:tcW w:w="342" w:type="pct"/>
            <w:tcBorders>
              <w:bottom w:val="nil"/>
            </w:tcBorders>
          </w:tcPr>
          <w:p w14:paraId="6059AA5C" w14:textId="77777777" w:rsidR="00EF173E" w:rsidRPr="0063124A" w:rsidRDefault="00EF173E" w:rsidP="00EF173E">
            <w:pPr>
              <w:jc w:val="center"/>
              <w:rPr>
                <w:bCs/>
              </w:rPr>
            </w:pPr>
          </w:p>
        </w:tc>
      </w:tr>
      <w:tr w:rsidR="00EF173E" w:rsidRPr="0063124A" w14:paraId="269A3305" w14:textId="77777777" w:rsidTr="006A57E5">
        <w:trPr>
          <w:trHeight w:val="300"/>
        </w:trPr>
        <w:tc>
          <w:tcPr>
            <w:tcW w:w="296" w:type="pct"/>
            <w:tcBorders>
              <w:top w:val="nil"/>
              <w:bottom w:val="single" w:sz="4" w:space="0" w:color="auto"/>
            </w:tcBorders>
            <w:noWrap/>
            <w:hideMark/>
          </w:tcPr>
          <w:p w14:paraId="19A1AD33" w14:textId="77777777" w:rsidR="00EF173E" w:rsidRPr="0063124A" w:rsidRDefault="00EF173E" w:rsidP="00EF173E">
            <w:pPr>
              <w:rPr>
                <w:bCs/>
              </w:rPr>
            </w:pPr>
            <w:r w:rsidRPr="0063124A">
              <w:rPr>
                <w:bCs/>
              </w:rPr>
              <w:t>pe3</w:t>
            </w:r>
          </w:p>
        </w:tc>
        <w:tc>
          <w:tcPr>
            <w:tcW w:w="3875" w:type="pct"/>
            <w:tcBorders>
              <w:top w:val="nil"/>
              <w:bottom w:val="single" w:sz="4" w:space="0" w:color="auto"/>
            </w:tcBorders>
          </w:tcPr>
          <w:p w14:paraId="6A7E4695" w14:textId="77777777" w:rsidR="00EF173E" w:rsidRPr="0063124A" w:rsidRDefault="00EF173E" w:rsidP="00EF173E">
            <w:pPr>
              <w:jc w:val="left"/>
              <w:rPr>
                <w:bCs/>
              </w:rPr>
            </w:pPr>
            <w:r w:rsidRPr="0063124A">
              <w:t>Using mobile banking services helps me accomplish things more quickly</w:t>
            </w:r>
          </w:p>
        </w:tc>
        <w:tc>
          <w:tcPr>
            <w:tcW w:w="486" w:type="pct"/>
            <w:tcBorders>
              <w:top w:val="nil"/>
              <w:bottom w:val="single" w:sz="4" w:space="0" w:color="auto"/>
            </w:tcBorders>
            <w:noWrap/>
            <w:hideMark/>
          </w:tcPr>
          <w:p w14:paraId="09669FCB" w14:textId="77777777" w:rsidR="00EF173E" w:rsidRPr="0063124A" w:rsidRDefault="00EF173E" w:rsidP="00EF173E">
            <w:pPr>
              <w:jc w:val="center"/>
              <w:rPr>
                <w:bCs/>
              </w:rPr>
            </w:pPr>
            <w:r w:rsidRPr="0063124A">
              <w:rPr>
                <w:bCs/>
              </w:rPr>
              <w:t>0.896</w:t>
            </w:r>
          </w:p>
        </w:tc>
        <w:tc>
          <w:tcPr>
            <w:tcW w:w="342" w:type="pct"/>
            <w:tcBorders>
              <w:top w:val="nil"/>
              <w:bottom w:val="single" w:sz="4" w:space="0" w:color="auto"/>
            </w:tcBorders>
          </w:tcPr>
          <w:p w14:paraId="410CE42C" w14:textId="77777777" w:rsidR="00EF173E" w:rsidRPr="0063124A" w:rsidRDefault="00EF173E" w:rsidP="00EF173E">
            <w:pPr>
              <w:jc w:val="center"/>
              <w:rPr>
                <w:bCs/>
              </w:rPr>
            </w:pPr>
          </w:p>
        </w:tc>
      </w:tr>
      <w:tr w:rsidR="00EF173E" w:rsidRPr="0063124A" w14:paraId="719BF3D3" w14:textId="77777777" w:rsidTr="006A57E5">
        <w:trPr>
          <w:trHeight w:val="300"/>
        </w:trPr>
        <w:tc>
          <w:tcPr>
            <w:tcW w:w="296" w:type="pct"/>
            <w:tcBorders>
              <w:top w:val="single" w:sz="4" w:space="0" w:color="auto"/>
              <w:bottom w:val="nil"/>
            </w:tcBorders>
            <w:noWrap/>
          </w:tcPr>
          <w:p w14:paraId="04A401CA" w14:textId="77777777" w:rsidR="00EF173E" w:rsidRPr="0063124A" w:rsidRDefault="00EF173E" w:rsidP="00EF173E">
            <w:pPr>
              <w:rPr>
                <w:bCs/>
              </w:rPr>
            </w:pPr>
          </w:p>
        </w:tc>
        <w:tc>
          <w:tcPr>
            <w:tcW w:w="3875" w:type="pct"/>
            <w:tcBorders>
              <w:top w:val="single" w:sz="4" w:space="0" w:color="auto"/>
              <w:bottom w:val="nil"/>
            </w:tcBorders>
          </w:tcPr>
          <w:p w14:paraId="22E553FD" w14:textId="47A5742F" w:rsidR="00EF173E" w:rsidRPr="0063124A" w:rsidRDefault="00EF173E" w:rsidP="00EF173E">
            <w:pPr>
              <w:jc w:val="left"/>
            </w:pPr>
            <w:r w:rsidRPr="0063124A">
              <w:t xml:space="preserve">Social influence </w:t>
            </w:r>
            <w:r w:rsidRPr="0063124A">
              <w:rPr>
                <w:bCs/>
              </w:rPr>
              <w:fldChar w:fldCharType="begin" w:fldLock="1"/>
            </w:r>
            <w:r w:rsidR="00B12E5D">
              <w:rPr>
                <w:bCs/>
              </w:rPr>
              <w:instrText>ADDIN CSL_CITATION {"citationItems":[{"id":"ITEM-1","itemData":{"DOI":"10.2307/30036540","abstract":"Information technology (IT) acceptance research has yielded many competing models, each with different sets of acceptance determinants. In this paper, we (1) review user acceptance literature and discuss eight prominent models, (2) empirically compare the eight models and their extensions, (3) formulate a unified model that integrates elements across the eight models, and (4) empirically validate the unified model. The eight models reviewed are the theory of reasoned action, the technology acceptance model, the motivational model, the theory of planned behavior, a model combining the technology acceptance model and the theory of planned behavior, the model of PC utilization, the innovation diffusion theory, and the social cognitive theory. Using data from four organizations over a six-month period with three points of measurement, the eight models explained between 17 percent and 53 percent of the variance in user intentions to use information technology. Next, a unified model, called the Unified Theory of Acceptance and Use of Technology (UTAUT), was formulated, with four core determinants of intention and usage, and up to four moderators of key relationships. UTAUT was then tested using the original data and found to outperform the eight individual models (adjusted R of 69 percent). UTAUT was then confirmed with data from two new organizations with similar results (adjusted R of 70 percent). UTAUT thus provides a useful tool for managers needing to assess the likelihood of success for new technology introductions and helps them understand the drivers of acceptance in order to proactively design interventions (including training, marketing, etc.) targeted at populations of users that may be less inclined to adopt and use new systems. The paper also makes several recommendations for future research including developing a deeper understanding of the dynamic influences studied here, refining measurement of the core constructs used in UTAUT, and understanding the organizational outcomes associated with new technology use.","author":[{"dropping-particle":"","family":"Venkatesh","given":"Viswanath","non-dropping-particle":"","parse-names":false,"suffix":""},{"dropping-particle":"","family":"Morris","given":"Michael G.","non-dropping-particle":"","parse-names":false,"suffix":""},{"dropping-particle":"","family":"Davis","given":"Gordon B.","non-dropping-particle":"","parse-names":false,"suffix":""},{"dropping-particle":"","family":"Davis","given":"Fred D.","non-dropping-particle":"","parse-names":false,"suffix":""}],"container-title":"MIS Quarterly","id":"ITEM-1","issue":"3","issued":{"date-parts":[["2003"]]},"page":"425","publisher":"Management Information Systems Research Center, University of Minnesota","title":"User Acceptance of Information Technology: Toward a Unified View","type":"article-journal","volume":"27"},"uris":["http://www.mendeley.com/documents/?uuid=07f868c3-3adf-4f1e-91bf-d93a91d07210"]},{"id":"ITEM-2","itemData":{"DOI":"10.2307/41410412","ISSN":"02767783","abstract":"This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Technology","type":"article-journal","volume":"36"},"uris":["http://www.mendeley.com/documents/?uuid=47aaf082-83a2-46f0-b062-9c6987a306c3"]}],"mendeley":{"formattedCitation":"(Venkatesh et al., 2003, 2012)","plainTextFormattedCitation":"(Venkatesh et al., 2003, 2012)","previouslyFormattedCitation":"(Venkatesh et al., 2003, 2012)"},"properties":{"noteIndex":0},"schema":"https://github.com/citation-style-language/schema/raw/master/csl-citation.json"}</w:instrText>
            </w:r>
            <w:r w:rsidRPr="0063124A">
              <w:rPr>
                <w:bCs/>
              </w:rPr>
              <w:fldChar w:fldCharType="separate"/>
            </w:r>
            <w:r w:rsidR="00AF1E11" w:rsidRPr="00AF1E11">
              <w:rPr>
                <w:bCs/>
                <w:noProof/>
              </w:rPr>
              <w:t>(Venkatesh et al., 2003, 2012)</w:t>
            </w:r>
            <w:r w:rsidRPr="0063124A">
              <w:fldChar w:fldCharType="end"/>
            </w:r>
          </w:p>
        </w:tc>
        <w:tc>
          <w:tcPr>
            <w:tcW w:w="486" w:type="pct"/>
            <w:tcBorders>
              <w:top w:val="single" w:sz="4" w:space="0" w:color="auto"/>
              <w:bottom w:val="nil"/>
            </w:tcBorders>
            <w:noWrap/>
          </w:tcPr>
          <w:p w14:paraId="52D3CDD3" w14:textId="77777777" w:rsidR="00EF173E" w:rsidRPr="0063124A" w:rsidRDefault="00EF173E" w:rsidP="00EF173E">
            <w:pPr>
              <w:jc w:val="center"/>
              <w:rPr>
                <w:bCs/>
              </w:rPr>
            </w:pPr>
          </w:p>
        </w:tc>
        <w:tc>
          <w:tcPr>
            <w:tcW w:w="342" w:type="pct"/>
            <w:tcBorders>
              <w:top w:val="single" w:sz="4" w:space="0" w:color="auto"/>
              <w:bottom w:val="nil"/>
            </w:tcBorders>
          </w:tcPr>
          <w:p w14:paraId="228C0B58" w14:textId="77777777" w:rsidR="00EF173E" w:rsidRPr="0063124A" w:rsidRDefault="00EF173E" w:rsidP="00EF173E">
            <w:pPr>
              <w:jc w:val="center"/>
              <w:rPr>
                <w:bCs/>
              </w:rPr>
            </w:pPr>
            <w:r w:rsidRPr="0063124A">
              <w:rPr>
                <w:bCs/>
              </w:rPr>
              <w:t>0.784</w:t>
            </w:r>
          </w:p>
        </w:tc>
      </w:tr>
      <w:tr w:rsidR="00EF173E" w:rsidRPr="0063124A" w14:paraId="03B9933F" w14:textId="77777777" w:rsidTr="006A57E5">
        <w:trPr>
          <w:trHeight w:val="300"/>
        </w:trPr>
        <w:tc>
          <w:tcPr>
            <w:tcW w:w="296" w:type="pct"/>
            <w:tcBorders>
              <w:top w:val="nil"/>
            </w:tcBorders>
            <w:noWrap/>
            <w:hideMark/>
          </w:tcPr>
          <w:p w14:paraId="06E5E316" w14:textId="77777777" w:rsidR="00EF173E" w:rsidRPr="0063124A" w:rsidRDefault="00EF173E" w:rsidP="00EF173E">
            <w:pPr>
              <w:rPr>
                <w:bCs/>
              </w:rPr>
            </w:pPr>
            <w:r w:rsidRPr="0063124A">
              <w:rPr>
                <w:bCs/>
              </w:rPr>
              <w:t>si1</w:t>
            </w:r>
          </w:p>
        </w:tc>
        <w:tc>
          <w:tcPr>
            <w:tcW w:w="3875" w:type="pct"/>
            <w:tcBorders>
              <w:top w:val="nil"/>
            </w:tcBorders>
          </w:tcPr>
          <w:p w14:paraId="3C45792A" w14:textId="77777777" w:rsidR="00EF173E" w:rsidRPr="0063124A" w:rsidRDefault="00EF173E" w:rsidP="00101684">
            <w:pPr>
              <w:jc w:val="left"/>
              <w:rPr>
                <w:bCs/>
              </w:rPr>
            </w:pPr>
            <w:r w:rsidRPr="0063124A">
              <w:t xml:space="preserve">People who are important to me suggested </w:t>
            </w:r>
            <w:r w:rsidR="00101684">
              <w:t>using</w:t>
            </w:r>
            <w:r w:rsidRPr="0063124A">
              <w:t xml:space="preserve"> mobile banking services</w:t>
            </w:r>
          </w:p>
        </w:tc>
        <w:tc>
          <w:tcPr>
            <w:tcW w:w="486" w:type="pct"/>
            <w:tcBorders>
              <w:top w:val="nil"/>
            </w:tcBorders>
            <w:noWrap/>
            <w:hideMark/>
          </w:tcPr>
          <w:p w14:paraId="5046269C" w14:textId="77777777" w:rsidR="00EF173E" w:rsidRPr="0063124A" w:rsidRDefault="00EF173E" w:rsidP="00EF173E">
            <w:pPr>
              <w:jc w:val="center"/>
              <w:rPr>
                <w:bCs/>
              </w:rPr>
            </w:pPr>
            <w:r w:rsidRPr="0063124A">
              <w:rPr>
                <w:bCs/>
              </w:rPr>
              <w:t>0.869</w:t>
            </w:r>
          </w:p>
        </w:tc>
        <w:tc>
          <w:tcPr>
            <w:tcW w:w="342" w:type="pct"/>
            <w:tcBorders>
              <w:top w:val="nil"/>
            </w:tcBorders>
          </w:tcPr>
          <w:p w14:paraId="2E440D28" w14:textId="77777777" w:rsidR="00EF173E" w:rsidRPr="0063124A" w:rsidRDefault="00EF173E" w:rsidP="00EF173E">
            <w:pPr>
              <w:jc w:val="center"/>
              <w:rPr>
                <w:bCs/>
              </w:rPr>
            </w:pPr>
          </w:p>
        </w:tc>
      </w:tr>
      <w:tr w:rsidR="00EF173E" w:rsidRPr="0063124A" w14:paraId="182FA2E8" w14:textId="77777777" w:rsidTr="006A57E5">
        <w:trPr>
          <w:trHeight w:val="300"/>
        </w:trPr>
        <w:tc>
          <w:tcPr>
            <w:tcW w:w="296" w:type="pct"/>
            <w:noWrap/>
            <w:hideMark/>
          </w:tcPr>
          <w:p w14:paraId="015297F4" w14:textId="77777777" w:rsidR="00EF173E" w:rsidRPr="0063124A" w:rsidRDefault="00EF173E" w:rsidP="00EF173E">
            <w:pPr>
              <w:rPr>
                <w:bCs/>
              </w:rPr>
            </w:pPr>
            <w:r w:rsidRPr="0063124A">
              <w:rPr>
                <w:bCs/>
              </w:rPr>
              <w:t>si2</w:t>
            </w:r>
          </w:p>
        </w:tc>
        <w:tc>
          <w:tcPr>
            <w:tcW w:w="3875" w:type="pct"/>
          </w:tcPr>
          <w:p w14:paraId="589C2ABB" w14:textId="77777777" w:rsidR="00EF173E" w:rsidRPr="0063124A" w:rsidRDefault="00EF173E" w:rsidP="00101684">
            <w:pPr>
              <w:jc w:val="left"/>
              <w:rPr>
                <w:bCs/>
              </w:rPr>
            </w:pPr>
            <w:r w:rsidRPr="0063124A">
              <w:t xml:space="preserve">My co-worker suggested </w:t>
            </w:r>
            <w:r w:rsidR="00101684">
              <w:t>using</w:t>
            </w:r>
            <w:r w:rsidRPr="0063124A">
              <w:t xml:space="preserve"> mobile banking services </w:t>
            </w:r>
          </w:p>
        </w:tc>
        <w:tc>
          <w:tcPr>
            <w:tcW w:w="486" w:type="pct"/>
            <w:noWrap/>
            <w:hideMark/>
          </w:tcPr>
          <w:p w14:paraId="7A201F86" w14:textId="77777777" w:rsidR="00EF173E" w:rsidRPr="0063124A" w:rsidRDefault="00EF173E" w:rsidP="00EF173E">
            <w:pPr>
              <w:jc w:val="center"/>
              <w:rPr>
                <w:bCs/>
              </w:rPr>
            </w:pPr>
            <w:r w:rsidRPr="0063124A">
              <w:rPr>
                <w:bCs/>
              </w:rPr>
              <w:t>0.834</w:t>
            </w:r>
          </w:p>
        </w:tc>
        <w:tc>
          <w:tcPr>
            <w:tcW w:w="342" w:type="pct"/>
          </w:tcPr>
          <w:p w14:paraId="3D6649F2" w14:textId="77777777" w:rsidR="00EF173E" w:rsidRPr="0063124A" w:rsidRDefault="00EF173E" w:rsidP="00EF173E">
            <w:pPr>
              <w:jc w:val="center"/>
              <w:rPr>
                <w:bCs/>
              </w:rPr>
            </w:pPr>
          </w:p>
        </w:tc>
      </w:tr>
      <w:tr w:rsidR="00EF173E" w:rsidRPr="0063124A" w14:paraId="5C3C4D62" w14:textId="77777777" w:rsidTr="006A57E5">
        <w:trPr>
          <w:trHeight w:val="300"/>
        </w:trPr>
        <w:tc>
          <w:tcPr>
            <w:tcW w:w="296" w:type="pct"/>
            <w:tcBorders>
              <w:bottom w:val="nil"/>
            </w:tcBorders>
            <w:noWrap/>
            <w:hideMark/>
          </w:tcPr>
          <w:p w14:paraId="76895786" w14:textId="77777777" w:rsidR="00EF173E" w:rsidRPr="0063124A" w:rsidRDefault="00EF173E" w:rsidP="00EF173E">
            <w:pPr>
              <w:rPr>
                <w:bCs/>
              </w:rPr>
            </w:pPr>
            <w:r w:rsidRPr="0063124A">
              <w:rPr>
                <w:bCs/>
              </w:rPr>
              <w:t>si3</w:t>
            </w:r>
          </w:p>
        </w:tc>
        <w:tc>
          <w:tcPr>
            <w:tcW w:w="3875" w:type="pct"/>
            <w:tcBorders>
              <w:bottom w:val="nil"/>
            </w:tcBorders>
          </w:tcPr>
          <w:p w14:paraId="0DEFA732" w14:textId="77777777" w:rsidR="00EF173E" w:rsidRPr="0063124A" w:rsidRDefault="00EF173E" w:rsidP="00EF173E">
            <w:pPr>
              <w:jc w:val="left"/>
              <w:rPr>
                <w:bCs/>
              </w:rPr>
            </w:pPr>
            <w:r w:rsidRPr="0063124A">
              <w:t>Mobile banking services use is a status symbol in my environment</w:t>
            </w:r>
          </w:p>
        </w:tc>
        <w:tc>
          <w:tcPr>
            <w:tcW w:w="486" w:type="pct"/>
            <w:tcBorders>
              <w:bottom w:val="nil"/>
            </w:tcBorders>
            <w:noWrap/>
            <w:hideMark/>
          </w:tcPr>
          <w:p w14:paraId="3DEDD1DA" w14:textId="77777777" w:rsidR="00EF173E" w:rsidRPr="0063124A" w:rsidRDefault="00EF173E" w:rsidP="00EF173E">
            <w:pPr>
              <w:jc w:val="center"/>
              <w:rPr>
                <w:bCs/>
              </w:rPr>
            </w:pPr>
            <w:r w:rsidRPr="0063124A">
              <w:rPr>
                <w:bCs/>
              </w:rPr>
              <w:t>0.798</w:t>
            </w:r>
          </w:p>
        </w:tc>
        <w:tc>
          <w:tcPr>
            <w:tcW w:w="342" w:type="pct"/>
            <w:tcBorders>
              <w:bottom w:val="nil"/>
            </w:tcBorders>
          </w:tcPr>
          <w:p w14:paraId="679863DF" w14:textId="77777777" w:rsidR="00EF173E" w:rsidRPr="0063124A" w:rsidRDefault="00EF173E" w:rsidP="00EF173E">
            <w:pPr>
              <w:jc w:val="center"/>
              <w:rPr>
                <w:bCs/>
              </w:rPr>
            </w:pPr>
          </w:p>
        </w:tc>
      </w:tr>
      <w:tr w:rsidR="00EF173E" w:rsidRPr="0063124A" w14:paraId="32BE5DAD" w14:textId="77777777" w:rsidTr="006A57E5">
        <w:trPr>
          <w:trHeight w:val="300"/>
        </w:trPr>
        <w:tc>
          <w:tcPr>
            <w:tcW w:w="296" w:type="pct"/>
            <w:tcBorders>
              <w:top w:val="nil"/>
              <w:bottom w:val="single" w:sz="4" w:space="0" w:color="auto"/>
            </w:tcBorders>
            <w:noWrap/>
          </w:tcPr>
          <w:p w14:paraId="10718D9C" w14:textId="77777777" w:rsidR="00EF173E" w:rsidRPr="0063124A" w:rsidRDefault="00EF173E" w:rsidP="00EF173E">
            <w:pPr>
              <w:rPr>
                <w:bCs/>
              </w:rPr>
            </w:pPr>
            <w:r w:rsidRPr="0063124A">
              <w:rPr>
                <w:bCs/>
              </w:rPr>
              <w:t>si4</w:t>
            </w:r>
          </w:p>
        </w:tc>
        <w:tc>
          <w:tcPr>
            <w:tcW w:w="3875" w:type="pct"/>
            <w:tcBorders>
              <w:top w:val="nil"/>
              <w:bottom w:val="single" w:sz="4" w:space="0" w:color="auto"/>
            </w:tcBorders>
          </w:tcPr>
          <w:p w14:paraId="6F524773" w14:textId="77777777" w:rsidR="00EF173E" w:rsidRPr="0063124A" w:rsidRDefault="00EF173E" w:rsidP="00EF173E">
            <w:pPr>
              <w:jc w:val="left"/>
              <w:rPr>
                <w:bCs/>
              </w:rPr>
            </w:pPr>
            <w:r w:rsidRPr="0063124A">
              <w:t>I believe that companies should support the use of mobile banking</w:t>
            </w:r>
          </w:p>
        </w:tc>
        <w:tc>
          <w:tcPr>
            <w:tcW w:w="486" w:type="pct"/>
            <w:tcBorders>
              <w:top w:val="nil"/>
              <w:bottom w:val="single" w:sz="4" w:space="0" w:color="auto"/>
            </w:tcBorders>
            <w:noWrap/>
          </w:tcPr>
          <w:p w14:paraId="428C064E" w14:textId="77777777" w:rsidR="00EF173E" w:rsidRPr="0063124A" w:rsidRDefault="00EF173E" w:rsidP="00EF173E">
            <w:pPr>
              <w:jc w:val="center"/>
              <w:rPr>
                <w:bCs/>
              </w:rPr>
            </w:pPr>
            <w:r w:rsidRPr="0063124A">
              <w:rPr>
                <w:bCs/>
              </w:rPr>
              <w:t>deleted</w:t>
            </w:r>
          </w:p>
        </w:tc>
        <w:tc>
          <w:tcPr>
            <w:tcW w:w="342" w:type="pct"/>
            <w:tcBorders>
              <w:top w:val="nil"/>
              <w:bottom w:val="single" w:sz="4" w:space="0" w:color="auto"/>
            </w:tcBorders>
          </w:tcPr>
          <w:p w14:paraId="10DABE2C" w14:textId="77777777" w:rsidR="00EF173E" w:rsidRPr="0063124A" w:rsidRDefault="00EF173E" w:rsidP="00EF173E">
            <w:pPr>
              <w:jc w:val="center"/>
              <w:rPr>
                <w:bCs/>
              </w:rPr>
            </w:pPr>
          </w:p>
        </w:tc>
      </w:tr>
    </w:tbl>
    <w:p w14:paraId="4C1C7875" w14:textId="77777777" w:rsidR="00FF6FD0" w:rsidRPr="003A0B75" w:rsidRDefault="0063124A" w:rsidP="00FF6FD0">
      <w:pPr>
        <w:rPr>
          <w:sz w:val="20"/>
          <w:lang w:val="en-US"/>
        </w:rPr>
      </w:pPr>
      <w:r w:rsidRPr="003A0B75">
        <w:rPr>
          <w:i/>
          <w:sz w:val="20"/>
          <w:lang w:val="en-US"/>
        </w:rPr>
        <w:t>Note</w:t>
      </w:r>
      <w:r w:rsidRPr="003A0B75">
        <w:rPr>
          <w:sz w:val="20"/>
          <w:lang w:val="en-US"/>
        </w:rPr>
        <w:t xml:space="preserve">: </w:t>
      </w:r>
      <w:r w:rsidR="002B4824" w:rsidRPr="003A0B75">
        <w:rPr>
          <w:sz w:val="20"/>
          <w:lang w:val="en-US"/>
        </w:rPr>
        <w:t>CA, Cronbach’s alpha.</w:t>
      </w:r>
    </w:p>
    <w:p w14:paraId="7B460CB2" w14:textId="77777777" w:rsidR="00536BF0" w:rsidRDefault="00536BF0" w:rsidP="0071328C">
      <w:pPr>
        <w:rPr>
          <w:lang w:val="en-US"/>
        </w:rPr>
      </w:pPr>
    </w:p>
    <w:p w14:paraId="496213F5" w14:textId="5261E863" w:rsidR="007C5CB6" w:rsidRPr="007C5CB6" w:rsidRDefault="006A018D" w:rsidP="00EB4CE4">
      <w:pPr>
        <w:rPr>
          <w:lang w:val="en-US"/>
        </w:rPr>
      </w:pPr>
      <w:r>
        <w:rPr>
          <w:lang w:val="en-US"/>
        </w:rPr>
        <w:t>To investigate the linkages of the above constructs with the individuals’ demographics, a nonparametric test was used</w:t>
      </w:r>
      <w:r w:rsidR="00E6224D">
        <w:rPr>
          <w:lang w:val="en-US"/>
        </w:rPr>
        <w:t xml:space="preserve"> because</w:t>
      </w:r>
      <w:r>
        <w:rPr>
          <w:lang w:val="en-US"/>
        </w:rPr>
        <w:t xml:space="preserve"> the composed constructs were not normally distributed, as </w:t>
      </w:r>
      <w:r w:rsidRPr="006A018D">
        <w:rPr>
          <w:lang w:val="en-US"/>
        </w:rPr>
        <w:t>Kolmogorov-Smirnov and</w:t>
      </w:r>
      <w:r w:rsidRPr="006A018D">
        <w:t xml:space="preserve"> </w:t>
      </w:r>
      <w:r w:rsidRPr="006A018D">
        <w:rPr>
          <w:lang w:val="en-US"/>
        </w:rPr>
        <w:t>Shapiro-Wilk test</w:t>
      </w:r>
      <w:r>
        <w:rPr>
          <w:lang w:val="en-US"/>
        </w:rPr>
        <w:t>s</w:t>
      </w:r>
      <w:r w:rsidRPr="006A018D">
        <w:rPr>
          <w:lang w:val="en-US"/>
        </w:rPr>
        <w:t xml:space="preserve"> </w:t>
      </w:r>
      <w:r>
        <w:rPr>
          <w:lang w:val="en-US"/>
        </w:rPr>
        <w:t>demonstrated</w:t>
      </w:r>
      <w:r w:rsidRPr="006A018D">
        <w:rPr>
          <w:lang w:val="en-US"/>
        </w:rPr>
        <w:t xml:space="preserve"> </w:t>
      </w:r>
      <w:r w:rsidRPr="006A018D">
        <w:rPr>
          <w:lang w:val="en-US"/>
        </w:rPr>
        <w:fldChar w:fldCharType="begin" w:fldLock="1"/>
      </w:r>
      <w:r w:rsidR="00B12E5D">
        <w:rPr>
          <w:lang w:val="en-US"/>
        </w:rPr>
        <w:instrText>ADDIN CSL_CITATION {"citationItems":[{"id":"ITEM-1","itemData":{"ISBN":"9781118357019","author":[{"dropping-particle":"","family":"Meyers","given":"Lawrence S.","non-dropping-particle":"","parse-names":false,"suffix":""},{"dropping-particle":"","family":"Gamst","given":"Glenn C.","non-dropping-particle":"","parse-names":false,"suffix":""},{"dropping-particle":"","family":"Guarion","given":"A. J","non-dropping-particle":"","parse-names":false,"suffix":""}],"id":"ITEM-1","issued":{"date-parts":[["2013"]]},"number-of-pages":"736","publisher":"Wiley","publisher-place":"New Jersey","title":"Performing data analysis using IBM SPSS","type":"book"},"uris":["http://www.mendeley.com/documents/?uuid=2a221cf4-00bb-3d5a-8730-43d403e3762c"]}],"mendeley":{"formattedCitation":"(Meyers et al., 2013)","plainTextFormattedCitation":"(Meyers et al., 2013)","previouslyFormattedCitation":"(Meyers et al., 2013)"},"properties":{"noteIndex":0},"schema":"https://github.com/citation-style-language/schema/raw/master/csl-citation.json"}</w:instrText>
      </w:r>
      <w:r w:rsidRPr="006A018D">
        <w:rPr>
          <w:lang w:val="en-US"/>
        </w:rPr>
        <w:fldChar w:fldCharType="separate"/>
      </w:r>
      <w:r w:rsidR="00AF2B42" w:rsidRPr="00AF2B42">
        <w:rPr>
          <w:noProof/>
          <w:lang w:val="en-US"/>
        </w:rPr>
        <w:t>(Meyers et al., 2013)</w:t>
      </w:r>
      <w:r w:rsidRPr="006A018D">
        <w:rPr>
          <w:lang w:val="en-US"/>
        </w:rPr>
        <w:fldChar w:fldCharType="end"/>
      </w:r>
      <w:r>
        <w:rPr>
          <w:lang w:val="en-US"/>
        </w:rPr>
        <w:t xml:space="preserve">. As our demographic variables were dummy variables, the </w:t>
      </w:r>
      <w:r w:rsidRPr="006A018D">
        <w:rPr>
          <w:lang w:val="en-US"/>
        </w:rPr>
        <w:t xml:space="preserve">Mann-Whitney </w:t>
      </w:r>
      <w:r w:rsidR="00EB4CE4">
        <w:rPr>
          <w:lang w:val="en-US"/>
        </w:rPr>
        <w:t xml:space="preserve">test was employed </w:t>
      </w:r>
      <w:r w:rsidR="007C5CB6" w:rsidRPr="007C5CB6">
        <w:rPr>
          <w:vertAlign w:val="superscript"/>
          <w:lang w:val="en-US"/>
        </w:rPr>
        <w:fldChar w:fldCharType="begin" w:fldLock="1"/>
      </w:r>
      <w:r w:rsidR="00B12E5D">
        <w:rPr>
          <w:lang w:val="en-US"/>
        </w:rPr>
        <w:instrText>ADDIN CSL_CITATION {"citationItems":[{"id":"ITEM-1","itemData":{"ISBN":"9781305504912","abstract":"Edition 10. This field-leading introduction to statistics text for students in the behavioral and social sciences continues to offer straightforward instruction, accuracy, built-in learning aids, and real-world examples. The goals of Statistics for the behavioral sciences, 10th Edition, are to teach the methods of statistics and convey the basic principles of objectivity and logic that are essential for science -- and valuable in everyday life. Authors Frederick Gravetter and Larry Wallnau help students understand statistical procedures through a conceptual context that explains why the procedures were developed and when they should be used. Students have numerous opportunities to practice statistical techniques through learning checks, examples, step-by-step demonstrations, and problems. Introduction to statistics -- Frequency distributions -- Central tendency -- Variability -- z-Scores: location of scores and standardized distributions -- Probability -- Probability and samples: the distribution of sample means -- Introduction to hypothesis testing -- Introduction to the t statistic -- The t test for two independent samples -- The t test for two related samples -- Introduction to analysis of variance -- Repeated-measures analysis of variance -- Two factor analysis of variance (independent measures) -- Correlation -- Introduction to regression -- The chi-square statistic: tests for goodness of fit and independence -- The binomial test.","author":[{"dropping-particle":"","family":"Gravetter","given":"Frederick J.","non-dropping-particle":"","parse-names":false,"suffix":""},{"dropping-particle":"","family":"Wallnau","given":"Larry B.","non-dropping-particle":"","parse-names":false,"suffix":""}],"edition":"10","id":"ITEM-1","issued":{"date-parts":[["2017"]]},"number-of-pages":"732","publisher":"CENGAGE Learning","title":"Statistics for the behavioral sciences","type":"book"},"uris":["http://www.mendeley.com/documents/?uuid=1e5a8f24-9f69-357c-9ced-b879c31f023a"]}],"mendeley":{"formattedCitation":"(Gravetter and Wallnau, 2017)","plainTextFormattedCitation":"(Gravetter and Wallnau, 2017)","previouslyFormattedCitation":"(Gravetter and Wallnau, 2017)"},"properties":{"noteIndex":0},"schema":"https://github.com/citation-style-language/schema/raw/master/csl-citation.json"}</w:instrText>
      </w:r>
      <w:r w:rsidR="007C5CB6" w:rsidRPr="007C5CB6">
        <w:rPr>
          <w:vertAlign w:val="superscript"/>
          <w:lang w:val="en-US"/>
        </w:rPr>
        <w:fldChar w:fldCharType="separate"/>
      </w:r>
      <w:r w:rsidR="00AF2B42" w:rsidRPr="00AF2B42">
        <w:rPr>
          <w:bCs/>
          <w:noProof/>
          <w:lang w:val="en-US"/>
        </w:rPr>
        <w:t>(Gravetter and Wallnau, 2017)</w:t>
      </w:r>
      <w:r w:rsidR="007C5CB6" w:rsidRPr="007C5CB6">
        <w:rPr>
          <w:lang w:val="en-US"/>
        </w:rPr>
        <w:fldChar w:fldCharType="end"/>
      </w:r>
      <w:r w:rsidR="007C5CB6" w:rsidRPr="007C5CB6">
        <w:rPr>
          <w:lang w:val="en-US"/>
        </w:rPr>
        <w:t xml:space="preserve">. </w:t>
      </w:r>
      <w:r w:rsidR="00EB4CE4">
        <w:rPr>
          <w:lang w:val="en-US"/>
        </w:rPr>
        <w:t>The latter</w:t>
      </w:r>
      <w:r w:rsidR="00EB4CE4" w:rsidRPr="007C5CB6">
        <w:rPr>
          <w:lang w:val="en-US"/>
        </w:rPr>
        <w:t xml:space="preserve"> test analysis the difference only between </w:t>
      </w:r>
      <w:r w:rsidR="007861F6">
        <w:rPr>
          <w:lang w:val="en-US"/>
        </w:rPr>
        <w:t xml:space="preserve">the </w:t>
      </w:r>
      <w:r w:rsidR="00EB4CE4" w:rsidRPr="007C5CB6">
        <w:rPr>
          <w:lang w:val="en-US"/>
        </w:rPr>
        <w:t xml:space="preserve">two groups. </w:t>
      </w:r>
      <w:r w:rsidR="00EB4CE4" w:rsidRPr="00EB4CE4">
        <w:rPr>
          <w:lang w:val="en-US"/>
        </w:rPr>
        <w:t>It converts the</w:t>
      </w:r>
      <w:r w:rsidR="00EB4CE4">
        <w:rPr>
          <w:lang w:val="en-US"/>
        </w:rPr>
        <w:t xml:space="preserve"> </w:t>
      </w:r>
      <w:r w:rsidR="00EB4CE4" w:rsidRPr="00EB4CE4">
        <w:rPr>
          <w:lang w:val="en-US"/>
        </w:rPr>
        <w:t>scores on the continuous variable to ranks across the two groups. It</w:t>
      </w:r>
      <w:r w:rsidR="00EB4CE4">
        <w:rPr>
          <w:lang w:val="en-US"/>
        </w:rPr>
        <w:t xml:space="preserve"> </w:t>
      </w:r>
      <w:r w:rsidR="00EB4CE4" w:rsidRPr="00EB4CE4">
        <w:rPr>
          <w:lang w:val="en-US"/>
        </w:rPr>
        <w:t>then evaluates whether the ranks for the two groups differ</w:t>
      </w:r>
      <w:r w:rsidR="00EB4CE4">
        <w:rPr>
          <w:lang w:val="en-US"/>
        </w:rPr>
        <w:t xml:space="preserve"> significantly</w:t>
      </w:r>
      <w:r w:rsidR="007C5CB6" w:rsidRPr="007C5CB6">
        <w:rPr>
          <w:lang w:val="en-US"/>
        </w:rPr>
        <w:t xml:space="preserve"> </w:t>
      </w:r>
      <w:r w:rsidR="007C5CB6" w:rsidRPr="007C5CB6">
        <w:rPr>
          <w:vertAlign w:val="superscript"/>
          <w:lang w:val="en-US"/>
        </w:rPr>
        <w:fldChar w:fldCharType="begin" w:fldLock="1"/>
      </w:r>
      <w:r w:rsidR="00B12E5D">
        <w:rPr>
          <w:lang w:val="en-US"/>
        </w:rPr>
        <w:instrText>ADDIN CSL_CITATION {"citationItems":[{"id":"ITEM-1","itemData":{"ISBN":"9780335261543","abstract":"6th edition. First edition: 2001. \"The SPSS Survival Manual throws a lifeline to students and researchers grappling with this powerful data analysis software. In her bestselling guide, Julie Pallant guides you through the entire research process, helping you choose the right data analysis technique for your project. From the formulation of research questions, to the design of the study and analysis of data, to reporting the results, Julie discusses basic and advanced statistical techniques. She outlines each technique clearly, with step-by-step procedures for performing the analysis, a detailed guide to interpreting data output and an example of how to present the results in a report. For both beginners and experienced users in psychology, sociology, health sciences, medicine, education, business and related disciplines, the SPSS Survival Manual is an essential text. Illustrated with screen grabs, examples of output and tips, it is supported by a website with sample data and guidelines on report writing. This sixth edition is fully revised and updated to accommodate changes to IBM SPSS procedures, screens and output. It covers new SPSS tools for generating graphs and non-parametric statistics, importing data, and calculating dates.\"--Publisher's website. pt. 1. Getting started. Designing a study -- Preparing a codebook -- Getting to know IBM SPSS -- pt. 2. Preparing the data file. Creating a data file and entering data -- Screening and cleaning the data -- pt. 3. Preliminary analyses. Descriptive statistics -- Using graphs to describe and explore the data -- Manipulating the data -- Checking the reliability of a scale -- Choosing the right statistic -- pt. 4. Statistical techniques to explore relationships among variables. Correlation -- Partial correlation -- Multiple regression -- Logistic regression -- Factor analysis -- pt. 5. Statistical techniques to compare groups. Non-parametric statistics -- T-tests -- One-way analysis of variance -- Two-way between-groups ANOVA -- Mixed between-within subjects analysis of variance -- Multivariate analysis of variance -- Analysis of covariance.","author":[{"dropping-particle":"","family":"Pallant","given":"Julie","non-dropping-particle":"","parse-names":false,"suffix":""}],"edition":"6","id":"ITEM-1","issued":{"date-parts":[["2016"]]},"number-of-pages":"352","publisher":"McGraw-Hill Education","publisher-place":"New York, NY","title":"SPSS survival manual: a step by step guide to data analysis using IBM SPSS","type":"book"},"uris":["http://www.mendeley.com/documents/?uuid=f171b8b2-5a97-38ce-ac34-d66667041610"]}],"mendeley":{"formattedCitation":"(Pallant, 2016)","plainTextFormattedCitation":"(Pallant, 2016)","previouslyFormattedCitation":"(Pallant, 2016)"},"properties":{"noteIndex":0},"schema":"https://github.com/citation-style-language/schema/raw/master/csl-citation.json"}</w:instrText>
      </w:r>
      <w:r w:rsidR="007C5CB6" w:rsidRPr="007C5CB6">
        <w:rPr>
          <w:vertAlign w:val="superscript"/>
          <w:lang w:val="en-US"/>
        </w:rPr>
        <w:fldChar w:fldCharType="separate"/>
      </w:r>
      <w:r w:rsidR="007F49C2" w:rsidRPr="007F49C2">
        <w:rPr>
          <w:bCs/>
          <w:noProof/>
          <w:lang w:val="en-US"/>
        </w:rPr>
        <w:t>(Pallant, 2016)</w:t>
      </w:r>
      <w:r w:rsidR="007C5CB6" w:rsidRPr="007C5CB6">
        <w:rPr>
          <w:lang w:val="en-US"/>
        </w:rPr>
        <w:fldChar w:fldCharType="end"/>
      </w:r>
      <w:r w:rsidR="007C5CB6" w:rsidRPr="007C5CB6">
        <w:rPr>
          <w:lang w:val="en-US"/>
        </w:rPr>
        <w:t>.</w:t>
      </w:r>
      <w:r w:rsidR="00EB4CE4" w:rsidRPr="00EB4CE4">
        <w:rPr>
          <w:lang w:val="en-US"/>
        </w:rPr>
        <w:t xml:space="preserve"> </w:t>
      </w:r>
      <w:r w:rsidR="00EB4CE4">
        <w:rPr>
          <w:lang w:val="en-US"/>
        </w:rPr>
        <w:t xml:space="preserve">Its effect size can be calculated as the </w:t>
      </w:r>
      <w:r w:rsidR="00E6224D">
        <w:rPr>
          <w:lang w:val="en-US"/>
        </w:rPr>
        <w:t>z score division</w:t>
      </w:r>
      <w:r w:rsidR="00EB4CE4">
        <w:rPr>
          <w:lang w:val="en-US"/>
        </w:rPr>
        <w:t xml:space="preserve"> with the square root of the sample size.</w:t>
      </w:r>
      <w:r w:rsidR="00F322EF">
        <w:rPr>
          <w:lang w:val="en-US"/>
        </w:rPr>
        <w:t xml:space="preserve"> The non-parametric tests were performed in SPSS 23.</w:t>
      </w:r>
    </w:p>
    <w:p w14:paraId="52A46B41" w14:textId="77777777" w:rsidR="008F3BB2" w:rsidRDefault="00164E5E" w:rsidP="008F3BB2">
      <w:pPr>
        <w:pStyle w:val="Nadpis1"/>
        <w:rPr>
          <w:lang w:val="en-US"/>
        </w:rPr>
      </w:pPr>
      <w:r>
        <w:rPr>
          <w:lang w:val="en-US"/>
        </w:rPr>
        <w:t>Results</w:t>
      </w:r>
    </w:p>
    <w:p w14:paraId="08B380DF" w14:textId="20B73BDD" w:rsidR="00877201" w:rsidRDefault="00F322EF" w:rsidP="00101684">
      <w:pPr>
        <w:rPr>
          <w:lang w:val="en-US"/>
        </w:rPr>
      </w:pPr>
      <w:r>
        <w:rPr>
          <w:lang w:val="en-US"/>
        </w:rPr>
        <w:t xml:space="preserve">After generating the latent variables </w:t>
      </w:r>
      <w:r w:rsidR="00F76E8C">
        <w:rPr>
          <w:lang w:val="en-US"/>
        </w:rPr>
        <w:t xml:space="preserve">related to the UTAUT2 model, </w:t>
      </w:r>
      <w:r>
        <w:rPr>
          <w:lang w:val="en-US"/>
        </w:rPr>
        <w:t xml:space="preserve">they were </w:t>
      </w:r>
      <w:r w:rsidR="00F76E8C">
        <w:rPr>
          <w:lang w:val="en-US"/>
        </w:rPr>
        <w:t>investigated whether they had any linkage with demographic variables (gender, being employed, living settlement, and having financial experiences) or not.</w:t>
      </w:r>
      <w:r w:rsidR="00E958C7">
        <w:rPr>
          <w:lang w:val="en-US"/>
        </w:rPr>
        <w:t xml:space="preserve"> In Table 3 there are shown the results of the Mann-Whitney test for gender.</w:t>
      </w:r>
      <w:r w:rsidR="00E958C7" w:rsidRPr="00E958C7">
        <w:rPr>
          <w:lang w:val="en-US"/>
        </w:rPr>
        <w:t xml:space="preserve"> The test </w:t>
      </w:r>
      <w:r w:rsidR="00E958C7">
        <w:rPr>
          <w:lang w:val="en-US"/>
        </w:rPr>
        <w:t xml:space="preserve">revealed that </w:t>
      </w:r>
      <w:r w:rsidR="00E42163">
        <w:rPr>
          <w:lang w:val="en-US"/>
        </w:rPr>
        <w:t xml:space="preserve">gender reflected </w:t>
      </w:r>
      <w:r w:rsidR="00101684">
        <w:rPr>
          <w:lang w:val="en-US"/>
        </w:rPr>
        <w:t xml:space="preserve">a </w:t>
      </w:r>
      <w:r w:rsidR="00E42163">
        <w:rPr>
          <w:lang w:val="en-US"/>
        </w:rPr>
        <w:t xml:space="preserve">significant difference </w:t>
      </w:r>
      <w:r w:rsidR="00101684">
        <w:rPr>
          <w:lang w:val="en-US"/>
        </w:rPr>
        <w:t>in</w:t>
      </w:r>
      <w:r w:rsidR="00E42163">
        <w:rPr>
          <w:lang w:val="en-US"/>
        </w:rPr>
        <w:t xml:space="preserve"> </w:t>
      </w:r>
      <w:r w:rsidR="00E958C7">
        <w:rPr>
          <w:lang w:val="en-US"/>
        </w:rPr>
        <w:t>half of the variables</w:t>
      </w:r>
      <w:r w:rsidR="00E42163">
        <w:rPr>
          <w:lang w:val="en-US"/>
        </w:rPr>
        <w:t>. Hence, according to the results of the latter test, in comparison to males, females scored significantly higher</w:t>
      </w:r>
      <w:r w:rsidR="00E958C7">
        <w:rPr>
          <w:lang w:val="en-US"/>
        </w:rPr>
        <w:t xml:space="preserve"> </w:t>
      </w:r>
      <w:r w:rsidR="00E42163">
        <w:rPr>
          <w:lang w:val="en-US"/>
        </w:rPr>
        <w:t xml:space="preserve">in effort expectancy </w:t>
      </w:r>
      <w:r w:rsidR="00E42163" w:rsidRPr="00E958C7">
        <w:rPr>
          <w:lang w:val="en-US"/>
        </w:rPr>
        <w:t>(</w:t>
      </w:r>
      <w:r w:rsidR="00E42163" w:rsidRPr="00E958C7">
        <w:rPr>
          <w:i/>
          <w:lang w:val="en-US"/>
        </w:rPr>
        <w:t>U</w:t>
      </w:r>
      <w:r w:rsidR="00E42163" w:rsidRPr="00E958C7">
        <w:rPr>
          <w:lang w:val="en-US"/>
        </w:rPr>
        <w:t xml:space="preserve"> = </w:t>
      </w:r>
      <w:r w:rsidR="00E42163" w:rsidRPr="00E42163">
        <w:rPr>
          <w:lang w:val="en-US"/>
        </w:rPr>
        <w:t>93041.5</w:t>
      </w:r>
      <w:r w:rsidR="00E42163" w:rsidRPr="00E958C7">
        <w:rPr>
          <w:lang w:val="en-US"/>
        </w:rPr>
        <w:t xml:space="preserve">, </w:t>
      </w:r>
      <w:r w:rsidR="00E42163" w:rsidRPr="00E958C7">
        <w:rPr>
          <w:i/>
          <w:lang w:val="en-US"/>
        </w:rPr>
        <w:t>z</w:t>
      </w:r>
      <w:r w:rsidR="00E42163" w:rsidRPr="00E958C7">
        <w:rPr>
          <w:lang w:val="en-US"/>
        </w:rPr>
        <w:t xml:space="preserve"> = -</w:t>
      </w:r>
      <w:r w:rsidR="00E42163" w:rsidRPr="00E42163">
        <w:rPr>
          <w:lang w:val="en-US"/>
        </w:rPr>
        <w:t>2.579</w:t>
      </w:r>
      <w:r w:rsidR="00E42163" w:rsidRPr="00E958C7">
        <w:rPr>
          <w:lang w:val="en-US"/>
        </w:rPr>
        <w:t xml:space="preserve">, </w:t>
      </w:r>
      <w:r w:rsidR="00E42163" w:rsidRPr="00E958C7">
        <w:rPr>
          <w:i/>
          <w:lang w:val="en-US"/>
        </w:rPr>
        <w:t>p</w:t>
      </w:r>
      <w:r w:rsidR="00E42163" w:rsidRPr="00E958C7">
        <w:rPr>
          <w:lang w:val="en-US"/>
        </w:rPr>
        <w:t xml:space="preserve"> &lt; 0.0</w:t>
      </w:r>
      <w:r w:rsidR="00E42163">
        <w:rPr>
          <w:lang w:val="en-US"/>
        </w:rPr>
        <w:t>5</w:t>
      </w:r>
      <w:r w:rsidR="00E42163" w:rsidRPr="00E958C7">
        <w:rPr>
          <w:lang w:val="en-US"/>
        </w:rPr>
        <w:t xml:space="preserve">, </w:t>
      </w:r>
      <w:r w:rsidR="00E42163" w:rsidRPr="00E958C7">
        <w:rPr>
          <w:i/>
          <w:lang w:val="en-US"/>
        </w:rPr>
        <w:t>r</w:t>
      </w:r>
      <w:r w:rsidR="00E42163" w:rsidRPr="00E958C7">
        <w:rPr>
          <w:lang w:val="en-US"/>
        </w:rPr>
        <w:t xml:space="preserve"> = 0.</w:t>
      </w:r>
      <w:r w:rsidR="00E42163">
        <w:rPr>
          <w:lang w:val="en-US"/>
        </w:rPr>
        <w:t>083</w:t>
      </w:r>
      <w:r w:rsidR="00E42163" w:rsidRPr="00E958C7">
        <w:rPr>
          <w:lang w:val="en-US"/>
        </w:rPr>
        <w:t>)</w:t>
      </w:r>
      <w:r w:rsidR="00E42163">
        <w:rPr>
          <w:lang w:val="en-US"/>
        </w:rPr>
        <w:t xml:space="preserve">, facilitation conditions </w:t>
      </w:r>
      <w:r w:rsidR="00E42163" w:rsidRPr="00E958C7">
        <w:rPr>
          <w:lang w:val="en-US"/>
        </w:rPr>
        <w:t>(</w:t>
      </w:r>
      <w:r w:rsidR="00E42163" w:rsidRPr="00E958C7">
        <w:rPr>
          <w:i/>
          <w:lang w:val="en-US"/>
        </w:rPr>
        <w:t>U</w:t>
      </w:r>
      <w:r w:rsidR="00E42163" w:rsidRPr="00E958C7">
        <w:rPr>
          <w:lang w:val="en-US"/>
        </w:rPr>
        <w:t xml:space="preserve"> = </w:t>
      </w:r>
      <w:r w:rsidR="00E42163" w:rsidRPr="00C60CD9">
        <w:t>93620</w:t>
      </w:r>
      <w:r w:rsidR="00E42163" w:rsidRPr="00E958C7">
        <w:rPr>
          <w:lang w:val="en-US"/>
        </w:rPr>
        <w:t xml:space="preserve">, </w:t>
      </w:r>
      <w:r w:rsidR="00E42163" w:rsidRPr="00E958C7">
        <w:rPr>
          <w:i/>
          <w:lang w:val="en-US"/>
        </w:rPr>
        <w:t>z</w:t>
      </w:r>
      <w:r w:rsidR="00E42163" w:rsidRPr="00E958C7">
        <w:rPr>
          <w:lang w:val="en-US"/>
        </w:rPr>
        <w:t xml:space="preserve"> = -</w:t>
      </w:r>
      <w:r w:rsidR="00E42163" w:rsidRPr="00C60CD9">
        <w:t>2.425</w:t>
      </w:r>
      <w:r w:rsidR="00E42163" w:rsidRPr="00E958C7">
        <w:rPr>
          <w:lang w:val="en-US"/>
        </w:rPr>
        <w:t xml:space="preserve">, </w:t>
      </w:r>
      <w:r w:rsidR="00E42163" w:rsidRPr="00E958C7">
        <w:rPr>
          <w:i/>
          <w:lang w:val="en-US"/>
        </w:rPr>
        <w:t>p</w:t>
      </w:r>
      <w:r w:rsidR="00E42163" w:rsidRPr="00E958C7">
        <w:rPr>
          <w:lang w:val="en-US"/>
        </w:rPr>
        <w:t xml:space="preserve"> &lt; 0.0</w:t>
      </w:r>
      <w:r w:rsidR="00E42163">
        <w:rPr>
          <w:lang w:val="en-US"/>
        </w:rPr>
        <w:t>5</w:t>
      </w:r>
      <w:r w:rsidR="00E42163" w:rsidRPr="00E958C7">
        <w:rPr>
          <w:lang w:val="en-US"/>
        </w:rPr>
        <w:t xml:space="preserve">, </w:t>
      </w:r>
      <w:r w:rsidR="00E42163" w:rsidRPr="00E958C7">
        <w:rPr>
          <w:i/>
          <w:lang w:val="en-US"/>
        </w:rPr>
        <w:t>r</w:t>
      </w:r>
      <w:r w:rsidR="00E42163" w:rsidRPr="00E958C7">
        <w:rPr>
          <w:lang w:val="en-US"/>
        </w:rPr>
        <w:t xml:space="preserve"> = 0.</w:t>
      </w:r>
      <w:r w:rsidR="00E42163">
        <w:rPr>
          <w:lang w:val="en-US"/>
        </w:rPr>
        <w:t>078</w:t>
      </w:r>
      <w:r w:rsidR="00E42163" w:rsidRPr="00E958C7">
        <w:rPr>
          <w:lang w:val="en-US"/>
        </w:rPr>
        <w:t>)</w:t>
      </w:r>
      <w:r w:rsidR="00E42163">
        <w:rPr>
          <w:lang w:val="en-US"/>
        </w:rPr>
        <w:t xml:space="preserve">, hedonic motivation </w:t>
      </w:r>
      <w:r w:rsidR="00E42163" w:rsidRPr="00E958C7">
        <w:rPr>
          <w:lang w:val="en-US"/>
        </w:rPr>
        <w:t>(</w:t>
      </w:r>
      <w:r w:rsidR="00E42163" w:rsidRPr="00E958C7">
        <w:rPr>
          <w:i/>
          <w:lang w:val="en-US"/>
        </w:rPr>
        <w:t>U</w:t>
      </w:r>
      <w:r w:rsidR="00E42163" w:rsidRPr="00E958C7">
        <w:rPr>
          <w:lang w:val="en-US"/>
        </w:rPr>
        <w:t xml:space="preserve"> = </w:t>
      </w:r>
      <w:r w:rsidR="00E42163" w:rsidRPr="00C60CD9">
        <w:t>93736</w:t>
      </w:r>
      <w:r w:rsidR="00E42163" w:rsidRPr="00E958C7">
        <w:rPr>
          <w:lang w:val="en-US"/>
        </w:rPr>
        <w:t xml:space="preserve">, </w:t>
      </w:r>
      <w:r w:rsidR="00E42163" w:rsidRPr="00E958C7">
        <w:rPr>
          <w:i/>
          <w:lang w:val="en-US"/>
        </w:rPr>
        <w:t>z</w:t>
      </w:r>
      <w:r w:rsidR="00E42163" w:rsidRPr="00E958C7">
        <w:rPr>
          <w:lang w:val="en-US"/>
        </w:rPr>
        <w:t xml:space="preserve"> = -</w:t>
      </w:r>
      <w:r w:rsidR="00E42163" w:rsidRPr="00C60CD9">
        <w:t>2.325</w:t>
      </w:r>
      <w:r w:rsidR="00E42163" w:rsidRPr="00E958C7">
        <w:rPr>
          <w:lang w:val="en-US"/>
        </w:rPr>
        <w:t xml:space="preserve">, </w:t>
      </w:r>
      <w:r w:rsidR="00E42163" w:rsidRPr="00E958C7">
        <w:rPr>
          <w:i/>
          <w:lang w:val="en-US"/>
        </w:rPr>
        <w:t>p</w:t>
      </w:r>
      <w:r w:rsidR="00E42163" w:rsidRPr="00E958C7">
        <w:rPr>
          <w:lang w:val="en-US"/>
        </w:rPr>
        <w:t xml:space="preserve"> &lt; 0.0</w:t>
      </w:r>
      <w:r w:rsidR="00E42163">
        <w:rPr>
          <w:lang w:val="en-US"/>
        </w:rPr>
        <w:t>5</w:t>
      </w:r>
      <w:r w:rsidR="00E42163" w:rsidRPr="00E958C7">
        <w:rPr>
          <w:lang w:val="en-US"/>
        </w:rPr>
        <w:t xml:space="preserve">, </w:t>
      </w:r>
      <w:r w:rsidR="00E42163" w:rsidRPr="00E958C7">
        <w:rPr>
          <w:i/>
          <w:lang w:val="en-US"/>
        </w:rPr>
        <w:t>r</w:t>
      </w:r>
      <w:r w:rsidR="00E42163" w:rsidRPr="00E958C7">
        <w:rPr>
          <w:lang w:val="en-US"/>
        </w:rPr>
        <w:t xml:space="preserve"> = 0.</w:t>
      </w:r>
      <w:r w:rsidR="00E42163">
        <w:rPr>
          <w:lang w:val="en-US"/>
        </w:rPr>
        <w:t>075</w:t>
      </w:r>
      <w:r w:rsidR="00E42163" w:rsidRPr="00E958C7">
        <w:rPr>
          <w:lang w:val="en-US"/>
        </w:rPr>
        <w:t>)</w:t>
      </w:r>
      <w:r w:rsidR="00E42163">
        <w:rPr>
          <w:lang w:val="en-US"/>
        </w:rPr>
        <w:t xml:space="preserve">, and social influence </w:t>
      </w:r>
      <w:r w:rsidR="00E958C7" w:rsidRPr="00E958C7">
        <w:rPr>
          <w:lang w:val="en-US"/>
        </w:rPr>
        <w:t>(</w:t>
      </w:r>
      <w:r w:rsidR="00E958C7" w:rsidRPr="00E958C7">
        <w:rPr>
          <w:i/>
          <w:lang w:val="en-US"/>
        </w:rPr>
        <w:t>U</w:t>
      </w:r>
      <w:r w:rsidR="00E958C7" w:rsidRPr="00E958C7">
        <w:rPr>
          <w:lang w:val="en-US"/>
        </w:rPr>
        <w:t xml:space="preserve"> = </w:t>
      </w:r>
      <w:r w:rsidR="00E42163" w:rsidRPr="00E42163">
        <w:rPr>
          <w:lang w:val="en-US"/>
        </w:rPr>
        <w:t>93383</w:t>
      </w:r>
      <w:r w:rsidR="00E958C7" w:rsidRPr="00E958C7">
        <w:rPr>
          <w:lang w:val="en-US"/>
        </w:rPr>
        <w:t xml:space="preserve">, </w:t>
      </w:r>
      <w:r w:rsidR="00E958C7" w:rsidRPr="00E958C7">
        <w:rPr>
          <w:i/>
          <w:lang w:val="en-US"/>
        </w:rPr>
        <w:t>z</w:t>
      </w:r>
      <w:r w:rsidR="00E958C7" w:rsidRPr="00E958C7">
        <w:rPr>
          <w:lang w:val="en-US"/>
        </w:rPr>
        <w:t xml:space="preserve"> = -</w:t>
      </w:r>
      <w:r w:rsidR="00E42163" w:rsidRPr="00E42163">
        <w:rPr>
          <w:lang w:val="en-US"/>
        </w:rPr>
        <w:t>2.413</w:t>
      </w:r>
      <w:r w:rsidR="00E958C7" w:rsidRPr="00E958C7">
        <w:rPr>
          <w:lang w:val="en-US"/>
        </w:rPr>
        <w:t xml:space="preserve">, </w:t>
      </w:r>
      <w:r w:rsidR="00E958C7" w:rsidRPr="00E958C7">
        <w:rPr>
          <w:i/>
          <w:lang w:val="en-US"/>
        </w:rPr>
        <w:t>p</w:t>
      </w:r>
      <w:r w:rsidR="00E958C7" w:rsidRPr="00E958C7">
        <w:rPr>
          <w:lang w:val="en-US"/>
        </w:rPr>
        <w:t xml:space="preserve"> &lt; 0.0</w:t>
      </w:r>
      <w:r w:rsidR="00E42163">
        <w:rPr>
          <w:lang w:val="en-US"/>
        </w:rPr>
        <w:t>5</w:t>
      </w:r>
      <w:r w:rsidR="00E958C7" w:rsidRPr="00E958C7">
        <w:rPr>
          <w:lang w:val="en-US"/>
        </w:rPr>
        <w:t xml:space="preserve">, </w:t>
      </w:r>
      <w:r w:rsidR="00E958C7" w:rsidRPr="00E958C7">
        <w:rPr>
          <w:i/>
          <w:lang w:val="en-US"/>
        </w:rPr>
        <w:t>r</w:t>
      </w:r>
      <w:r w:rsidR="00E958C7" w:rsidRPr="00E958C7">
        <w:rPr>
          <w:lang w:val="en-US"/>
        </w:rPr>
        <w:t xml:space="preserve"> = 0.</w:t>
      </w:r>
      <w:r w:rsidR="00E42163">
        <w:rPr>
          <w:lang w:val="en-US"/>
        </w:rPr>
        <w:t>078</w:t>
      </w:r>
      <w:r w:rsidR="00E958C7" w:rsidRPr="00E958C7">
        <w:rPr>
          <w:lang w:val="en-US"/>
        </w:rPr>
        <w:t>)</w:t>
      </w:r>
      <w:r w:rsidR="00E42163">
        <w:rPr>
          <w:lang w:val="en-US"/>
        </w:rPr>
        <w:t xml:space="preserve">. The other constructs </w:t>
      </w:r>
      <w:r w:rsidR="00842AA6">
        <w:rPr>
          <w:lang w:val="en-US"/>
        </w:rPr>
        <w:t>(</w:t>
      </w:r>
      <w:r w:rsidR="00842AA6">
        <w:t>behavioral intention,</w:t>
      </w:r>
      <w:r w:rsidR="00842AA6">
        <w:rPr>
          <w:lang w:val="en-US"/>
        </w:rPr>
        <w:t xml:space="preserve"> </w:t>
      </w:r>
      <w:r w:rsidR="00842AA6">
        <w:t xml:space="preserve">habit, </w:t>
      </w:r>
      <w:r w:rsidR="00842AA6">
        <w:rPr>
          <w:lang w:val="en-US"/>
        </w:rPr>
        <w:t xml:space="preserve">performance expectancy, </w:t>
      </w:r>
      <w:r w:rsidR="00842AA6">
        <w:t>user behavior)</w:t>
      </w:r>
      <w:r w:rsidR="00842AA6">
        <w:rPr>
          <w:lang w:val="en-US"/>
        </w:rPr>
        <w:t xml:space="preserve"> </w:t>
      </w:r>
      <w:r w:rsidR="00E42163">
        <w:rPr>
          <w:lang w:val="en-US"/>
        </w:rPr>
        <w:t xml:space="preserve">did not show any statistical gender difference. Considering these results, it can be concluded that gender </w:t>
      </w:r>
      <w:r w:rsidR="00842AA6">
        <w:rPr>
          <w:lang w:val="en-US"/>
        </w:rPr>
        <w:t>is an important individual characteristic that links with half of the UTAUT2 constructs. Compared to males, females scored higher in effort expectancy, facilitation conditions, hedonic motivation, and social influence.</w:t>
      </w:r>
    </w:p>
    <w:p w14:paraId="69639FD5" w14:textId="77777777" w:rsidR="007C5CB6" w:rsidRDefault="007C5CB6" w:rsidP="007C5CB6">
      <w:pPr>
        <w:jc w:val="center"/>
        <w:rPr>
          <w:lang w:val="en-US"/>
        </w:rPr>
      </w:pPr>
      <w:r>
        <w:rPr>
          <w:lang w:val="en-US"/>
        </w:rPr>
        <w:t xml:space="preserve">Table 3. </w:t>
      </w:r>
      <w:r w:rsidRPr="007C5CB6">
        <w:rPr>
          <w:lang w:val="en-US"/>
        </w:rPr>
        <w:t>Results of the Mann-Whitney test</w:t>
      </w:r>
      <w:r>
        <w:rPr>
          <w:lang w:val="en-US"/>
        </w:rPr>
        <w:t xml:space="preserve"> for gender</w:t>
      </w:r>
    </w:p>
    <w:tbl>
      <w:tblPr>
        <w:tblStyle w:val="Mkatabulky"/>
        <w:tblW w:w="5000" w:type="pct"/>
        <w:jc w:val="center"/>
        <w:tblBorders>
          <w:insideH w:val="none" w:sz="0" w:space="0" w:color="auto"/>
          <w:insideV w:val="none" w:sz="0" w:space="0" w:color="auto"/>
        </w:tblBorders>
        <w:tblCellMar>
          <w:left w:w="72" w:type="dxa"/>
          <w:right w:w="72" w:type="dxa"/>
        </w:tblCellMar>
        <w:tblLook w:val="04A0" w:firstRow="1" w:lastRow="0" w:firstColumn="1" w:lastColumn="0" w:noHBand="0" w:noVBand="1"/>
      </w:tblPr>
      <w:tblGrid>
        <w:gridCol w:w="2521"/>
        <w:gridCol w:w="1803"/>
        <w:gridCol w:w="1576"/>
        <w:gridCol w:w="1022"/>
        <w:gridCol w:w="750"/>
        <w:gridCol w:w="673"/>
        <w:gridCol w:w="671"/>
      </w:tblGrid>
      <w:tr w:rsidR="003D3C53" w:rsidRPr="00833F94" w14:paraId="7CDC2263" w14:textId="77777777" w:rsidTr="00B16058">
        <w:trPr>
          <w:trHeight w:val="300"/>
          <w:jc w:val="center"/>
        </w:trPr>
        <w:tc>
          <w:tcPr>
            <w:tcW w:w="1398" w:type="pct"/>
            <w:tcBorders>
              <w:top w:val="single" w:sz="4" w:space="0" w:color="auto"/>
              <w:bottom w:val="nil"/>
            </w:tcBorders>
            <w:noWrap/>
          </w:tcPr>
          <w:p w14:paraId="2DF7B0C1" w14:textId="77777777" w:rsidR="003D3C53" w:rsidRPr="00833F94" w:rsidRDefault="003D3C53" w:rsidP="008B69B9"/>
        </w:tc>
        <w:tc>
          <w:tcPr>
            <w:tcW w:w="1874" w:type="pct"/>
            <w:gridSpan w:val="2"/>
            <w:tcBorders>
              <w:top w:val="single" w:sz="4" w:space="0" w:color="auto"/>
              <w:bottom w:val="single" w:sz="4" w:space="0" w:color="auto"/>
              <w:right w:val="single" w:sz="4" w:space="0" w:color="auto"/>
            </w:tcBorders>
            <w:noWrap/>
          </w:tcPr>
          <w:p w14:paraId="1244B80E" w14:textId="77777777" w:rsidR="003D3C53" w:rsidRPr="00833F94" w:rsidRDefault="003D3C53" w:rsidP="008B69B9">
            <w:pPr>
              <w:jc w:val="center"/>
            </w:pPr>
            <w:r w:rsidRPr="00833F94">
              <w:t xml:space="preserve">Mean </w:t>
            </w:r>
            <w:r>
              <w:t>r</w:t>
            </w:r>
            <w:r w:rsidRPr="00833F94">
              <w:t>ank</w:t>
            </w:r>
            <w:r w:rsidR="00180025">
              <w:t xml:space="preserve"> (gender)</w:t>
            </w:r>
          </w:p>
        </w:tc>
        <w:tc>
          <w:tcPr>
            <w:tcW w:w="1728" w:type="pct"/>
            <w:gridSpan w:val="4"/>
            <w:tcBorders>
              <w:top w:val="single" w:sz="4" w:space="0" w:color="auto"/>
              <w:left w:val="single" w:sz="4" w:space="0" w:color="auto"/>
              <w:bottom w:val="single" w:sz="4" w:space="0" w:color="auto"/>
            </w:tcBorders>
            <w:noWrap/>
          </w:tcPr>
          <w:p w14:paraId="71559FB0" w14:textId="77777777" w:rsidR="003D3C53" w:rsidRDefault="003D3C53" w:rsidP="008B69B9">
            <w:pPr>
              <w:jc w:val="center"/>
              <w:rPr>
                <w:i/>
              </w:rPr>
            </w:pPr>
            <w:r w:rsidRPr="00833F94">
              <w:t>Mann-Whitney</w:t>
            </w:r>
          </w:p>
        </w:tc>
      </w:tr>
      <w:tr w:rsidR="003D3C53" w:rsidRPr="00833F94" w14:paraId="0CAEDF6B" w14:textId="77777777" w:rsidTr="00B16058">
        <w:trPr>
          <w:trHeight w:val="300"/>
          <w:jc w:val="center"/>
        </w:trPr>
        <w:tc>
          <w:tcPr>
            <w:tcW w:w="1398" w:type="pct"/>
            <w:tcBorders>
              <w:top w:val="nil"/>
              <w:bottom w:val="single" w:sz="4" w:space="0" w:color="auto"/>
            </w:tcBorders>
            <w:noWrap/>
            <w:hideMark/>
          </w:tcPr>
          <w:p w14:paraId="24202F1F" w14:textId="77777777" w:rsidR="003D3C53" w:rsidRPr="00833F94" w:rsidRDefault="003D3C53" w:rsidP="008B69B9"/>
        </w:tc>
        <w:tc>
          <w:tcPr>
            <w:tcW w:w="1000" w:type="pct"/>
            <w:tcBorders>
              <w:top w:val="single" w:sz="4" w:space="0" w:color="auto"/>
              <w:bottom w:val="single" w:sz="4" w:space="0" w:color="auto"/>
            </w:tcBorders>
            <w:noWrap/>
            <w:hideMark/>
          </w:tcPr>
          <w:p w14:paraId="01BC752F" w14:textId="77777777" w:rsidR="003D3C53" w:rsidRPr="00833F94" w:rsidRDefault="00C60CD9" w:rsidP="00C60CD9">
            <w:pPr>
              <w:jc w:val="center"/>
            </w:pPr>
            <w:r>
              <w:t>Fem</w:t>
            </w:r>
            <w:r w:rsidR="003D3C53" w:rsidRPr="00833F94">
              <w:t>ale</w:t>
            </w:r>
            <w:r w:rsidR="003D3C53">
              <w:t xml:space="preserve"> (</w:t>
            </w:r>
            <w:r w:rsidR="003D3C53" w:rsidRPr="00F10B08">
              <w:rPr>
                <w:i/>
              </w:rPr>
              <w:t>n</w:t>
            </w:r>
            <w:r w:rsidR="003D3C53">
              <w:t xml:space="preserve"> = </w:t>
            </w:r>
            <w:r>
              <w:t>633</w:t>
            </w:r>
            <w:r w:rsidR="003D3C53">
              <w:t>)</w:t>
            </w:r>
          </w:p>
        </w:tc>
        <w:tc>
          <w:tcPr>
            <w:tcW w:w="874" w:type="pct"/>
            <w:tcBorders>
              <w:top w:val="single" w:sz="4" w:space="0" w:color="auto"/>
              <w:bottom w:val="single" w:sz="4" w:space="0" w:color="auto"/>
              <w:right w:val="single" w:sz="4" w:space="0" w:color="auto"/>
            </w:tcBorders>
            <w:noWrap/>
            <w:hideMark/>
          </w:tcPr>
          <w:p w14:paraId="35E8330A" w14:textId="77777777" w:rsidR="003D3C53" w:rsidRPr="00833F94" w:rsidRDefault="00C60CD9" w:rsidP="00C60CD9">
            <w:pPr>
              <w:jc w:val="center"/>
            </w:pPr>
            <w:r>
              <w:t>M</w:t>
            </w:r>
            <w:r w:rsidR="003D3C53" w:rsidRPr="00833F94">
              <w:t>ale</w:t>
            </w:r>
            <w:r w:rsidR="003D3C53">
              <w:t xml:space="preserve"> (</w:t>
            </w:r>
            <w:r w:rsidR="003D3C53" w:rsidRPr="00F10B08">
              <w:rPr>
                <w:i/>
              </w:rPr>
              <w:t>n</w:t>
            </w:r>
            <w:r w:rsidR="003D3C53">
              <w:t xml:space="preserve"> = </w:t>
            </w:r>
            <w:r>
              <w:t>326</w:t>
            </w:r>
            <w:r w:rsidR="003D3C53">
              <w:t>)</w:t>
            </w:r>
          </w:p>
        </w:tc>
        <w:tc>
          <w:tcPr>
            <w:tcW w:w="567" w:type="pct"/>
            <w:tcBorders>
              <w:top w:val="single" w:sz="4" w:space="0" w:color="auto"/>
              <w:left w:val="single" w:sz="4" w:space="0" w:color="auto"/>
              <w:bottom w:val="single" w:sz="4" w:space="0" w:color="auto"/>
            </w:tcBorders>
            <w:noWrap/>
            <w:hideMark/>
          </w:tcPr>
          <w:p w14:paraId="27FACB7F" w14:textId="77777777" w:rsidR="003D3C53" w:rsidRPr="00833F94" w:rsidRDefault="003D3C53" w:rsidP="008B69B9">
            <w:pPr>
              <w:jc w:val="center"/>
            </w:pPr>
            <w:r w:rsidRPr="00833F94">
              <w:t>U</w:t>
            </w:r>
          </w:p>
        </w:tc>
        <w:tc>
          <w:tcPr>
            <w:tcW w:w="416" w:type="pct"/>
            <w:tcBorders>
              <w:top w:val="single" w:sz="4" w:space="0" w:color="auto"/>
              <w:bottom w:val="single" w:sz="4" w:space="0" w:color="auto"/>
            </w:tcBorders>
            <w:noWrap/>
            <w:hideMark/>
          </w:tcPr>
          <w:p w14:paraId="5B5D8ED7" w14:textId="77777777" w:rsidR="003D3C53" w:rsidRPr="00833F94" w:rsidRDefault="003D3C53" w:rsidP="008B69B9">
            <w:pPr>
              <w:jc w:val="center"/>
              <w:rPr>
                <w:i/>
              </w:rPr>
            </w:pPr>
            <w:r w:rsidRPr="00833F94">
              <w:rPr>
                <w:i/>
              </w:rPr>
              <w:t>z</w:t>
            </w:r>
          </w:p>
        </w:tc>
        <w:tc>
          <w:tcPr>
            <w:tcW w:w="373" w:type="pct"/>
            <w:tcBorders>
              <w:top w:val="single" w:sz="4" w:space="0" w:color="auto"/>
              <w:bottom w:val="single" w:sz="4" w:space="0" w:color="auto"/>
            </w:tcBorders>
            <w:noWrap/>
            <w:hideMark/>
          </w:tcPr>
          <w:p w14:paraId="2F3DC7CA" w14:textId="77777777" w:rsidR="003D3C53" w:rsidRPr="00833F94" w:rsidRDefault="003D3C53" w:rsidP="008B69B9">
            <w:pPr>
              <w:jc w:val="center"/>
              <w:rPr>
                <w:i/>
              </w:rPr>
            </w:pPr>
            <w:r w:rsidRPr="00833F94">
              <w:rPr>
                <w:i/>
              </w:rPr>
              <w:t>p</w:t>
            </w:r>
          </w:p>
        </w:tc>
        <w:tc>
          <w:tcPr>
            <w:tcW w:w="373" w:type="pct"/>
            <w:tcBorders>
              <w:top w:val="single" w:sz="4" w:space="0" w:color="auto"/>
              <w:bottom w:val="single" w:sz="4" w:space="0" w:color="auto"/>
            </w:tcBorders>
          </w:tcPr>
          <w:p w14:paraId="7026699F" w14:textId="77777777" w:rsidR="003D3C53" w:rsidRPr="00833F94" w:rsidRDefault="003D3C53" w:rsidP="008B69B9">
            <w:pPr>
              <w:jc w:val="center"/>
              <w:rPr>
                <w:i/>
              </w:rPr>
            </w:pPr>
            <w:r>
              <w:rPr>
                <w:i/>
              </w:rPr>
              <w:t>r</w:t>
            </w:r>
          </w:p>
        </w:tc>
      </w:tr>
      <w:tr w:rsidR="00FD4CAC" w:rsidRPr="00833F94" w14:paraId="2366008E" w14:textId="77777777" w:rsidTr="00B16058">
        <w:trPr>
          <w:trHeight w:val="300"/>
          <w:jc w:val="center"/>
        </w:trPr>
        <w:tc>
          <w:tcPr>
            <w:tcW w:w="1398" w:type="pct"/>
            <w:tcBorders>
              <w:top w:val="single" w:sz="4" w:space="0" w:color="auto"/>
            </w:tcBorders>
            <w:noWrap/>
            <w:hideMark/>
          </w:tcPr>
          <w:p w14:paraId="2BBDB9A7" w14:textId="77777777" w:rsidR="00FD4CAC" w:rsidRPr="00833F94" w:rsidRDefault="00B16443" w:rsidP="00FD4CAC">
            <w:r>
              <w:t>Behavioural intention</w:t>
            </w:r>
          </w:p>
        </w:tc>
        <w:tc>
          <w:tcPr>
            <w:tcW w:w="1000" w:type="pct"/>
            <w:tcBorders>
              <w:top w:val="single" w:sz="4" w:space="0" w:color="auto"/>
              <w:bottom w:val="nil"/>
            </w:tcBorders>
            <w:noWrap/>
          </w:tcPr>
          <w:p w14:paraId="288814D6" w14:textId="77777777" w:rsidR="00FD4CAC" w:rsidRPr="00833F94" w:rsidRDefault="00FD4CAC" w:rsidP="00FD4CAC">
            <w:pPr>
              <w:jc w:val="center"/>
            </w:pPr>
            <w:r w:rsidRPr="00C60CD9">
              <w:t>486.68</w:t>
            </w:r>
          </w:p>
        </w:tc>
        <w:tc>
          <w:tcPr>
            <w:tcW w:w="874" w:type="pct"/>
            <w:tcBorders>
              <w:top w:val="single" w:sz="4" w:space="0" w:color="auto"/>
              <w:bottom w:val="nil"/>
              <w:right w:val="single" w:sz="4" w:space="0" w:color="auto"/>
            </w:tcBorders>
            <w:noWrap/>
            <w:hideMark/>
          </w:tcPr>
          <w:p w14:paraId="07940F11" w14:textId="77777777" w:rsidR="00FD4CAC" w:rsidRPr="00833F94" w:rsidRDefault="00FD4CAC" w:rsidP="00FD4CAC">
            <w:pPr>
              <w:jc w:val="center"/>
            </w:pPr>
            <w:r w:rsidRPr="00C60CD9">
              <w:t>467.03</w:t>
            </w:r>
          </w:p>
        </w:tc>
        <w:tc>
          <w:tcPr>
            <w:tcW w:w="567" w:type="pct"/>
            <w:tcBorders>
              <w:top w:val="single" w:sz="4" w:space="0" w:color="auto"/>
              <w:left w:val="single" w:sz="4" w:space="0" w:color="auto"/>
              <w:bottom w:val="nil"/>
            </w:tcBorders>
            <w:noWrap/>
            <w:hideMark/>
          </w:tcPr>
          <w:p w14:paraId="5612B0ED" w14:textId="77777777" w:rsidR="00FD4CAC" w:rsidRPr="00833F94" w:rsidRDefault="00FD4CAC" w:rsidP="00FD4CAC">
            <w:pPr>
              <w:jc w:val="center"/>
            </w:pPr>
            <w:r w:rsidRPr="00C60CD9">
              <w:t>98951.5</w:t>
            </w:r>
          </w:p>
        </w:tc>
        <w:tc>
          <w:tcPr>
            <w:tcW w:w="416" w:type="pct"/>
            <w:tcBorders>
              <w:top w:val="single" w:sz="4" w:space="0" w:color="auto"/>
              <w:bottom w:val="nil"/>
            </w:tcBorders>
            <w:noWrap/>
            <w:hideMark/>
          </w:tcPr>
          <w:p w14:paraId="261A6551" w14:textId="77777777" w:rsidR="00FD4CAC" w:rsidRPr="00833F94" w:rsidRDefault="00FD4CAC" w:rsidP="00FD4CAC">
            <w:pPr>
              <w:jc w:val="center"/>
            </w:pPr>
            <w:r w:rsidRPr="00C60CD9">
              <w:t>-1.049</w:t>
            </w:r>
          </w:p>
        </w:tc>
        <w:tc>
          <w:tcPr>
            <w:tcW w:w="373" w:type="pct"/>
            <w:tcBorders>
              <w:top w:val="single" w:sz="4" w:space="0" w:color="auto"/>
              <w:bottom w:val="nil"/>
            </w:tcBorders>
            <w:noWrap/>
            <w:hideMark/>
          </w:tcPr>
          <w:p w14:paraId="5DAD9982" w14:textId="77777777" w:rsidR="00FD4CAC" w:rsidRPr="00833F94" w:rsidRDefault="00FD4CAC" w:rsidP="00FD4CAC">
            <w:pPr>
              <w:jc w:val="center"/>
            </w:pPr>
            <w:r w:rsidRPr="00C60CD9">
              <w:t>0.294</w:t>
            </w:r>
          </w:p>
        </w:tc>
        <w:tc>
          <w:tcPr>
            <w:tcW w:w="373" w:type="pct"/>
            <w:tcBorders>
              <w:top w:val="single" w:sz="4" w:space="0" w:color="auto"/>
              <w:bottom w:val="nil"/>
            </w:tcBorders>
          </w:tcPr>
          <w:p w14:paraId="67E6FC32" w14:textId="77777777" w:rsidR="00FD4CAC" w:rsidRPr="00833F94" w:rsidRDefault="00FD4CAC" w:rsidP="00FD4CAC">
            <w:pPr>
              <w:jc w:val="center"/>
            </w:pPr>
            <w:r w:rsidRPr="00C60CD9">
              <w:t>0.034</w:t>
            </w:r>
          </w:p>
        </w:tc>
      </w:tr>
      <w:tr w:rsidR="00FD4CAC" w:rsidRPr="00833F94" w14:paraId="0D8EDE55" w14:textId="77777777" w:rsidTr="00B16058">
        <w:trPr>
          <w:trHeight w:val="300"/>
          <w:jc w:val="center"/>
        </w:trPr>
        <w:tc>
          <w:tcPr>
            <w:tcW w:w="1398" w:type="pct"/>
            <w:noWrap/>
            <w:hideMark/>
          </w:tcPr>
          <w:p w14:paraId="1B2FFAC4" w14:textId="77777777" w:rsidR="00FD4CAC" w:rsidRPr="00833F94" w:rsidRDefault="00B16443" w:rsidP="00FD4CAC">
            <w:r>
              <w:rPr>
                <w:lang w:val="en-US"/>
              </w:rPr>
              <w:t>Effort expectancy</w:t>
            </w:r>
          </w:p>
        </w:tc>
        <w:tc>
          <w:tcPr>
            <w:tcW w:w="1000" w:type="pct"/>
            <w:tcBorders>
              <w:top w:val="nil"/>
              <w:bottom w:val="nil"/>
            </w:tcBorders>
            <w:noWrap/>
          </w:tcPr>
          <w:p w14:paraId="1AB3E701" w14:textId="77777777" w:rsidR="00FD4CAC" w:rsidRPr="00833F94" w:rsidRDefault="00FD4CAC" w:rsidP="00FD4CAC">
            <w:pPr>
              <w:jc w:val="center"/>
            </w:pPr>
            <w:r w:rsidRPr="00C60CD9">
              <w:t>496.02</w:t>
            </w:r>
          </w:p>
        </w:tc>
        <w:tc>
          <w:tcPr>
            <w:tcW w:w="874" w:type="pct"/>
            <w:tcBorders>
              <w:top w:val="nil"/>
              <w:bottom w:val="nil"/>
              <w:right w:val="single" w:sz="4" w:space="0" w:color="auto"/>
            </w:tcBorders>
            <w:noWrap/>
            <w:hideMark/>
          </w:tcPr>
          <w:p w14:paraId="02B1D4E1" w14:textId="77777777" w:rsidR="00FD4CAC" w:rsidRPr="00833F94" w:rsidRDefault="00FD4CAC" w:rsidP="00FD4CAC">
            <w:pPr>
              <w:jc w:val="center"/>
            </w:pPr>
            <w:r w:rsidRPr="00C60CD9">
              <w:t>448.90</w:t>
            </w:r>
          </w:p>
        </w:tc>
        <w:tc>
          <w:tcPr>
            <w:tcW w:w="567" w:type="pct"/>
            <w:tcBorders>
              <w:top w:val="nil"/>
              <w:left w:val="single" w:sz="4" w:space="0" w:color="auto"/>
              <w:bottom w:val="nil"/>
            </w:tcBorders>
            <w:noWrap/>
            <w:hideMark/>
          </w:tcPr>
          <w:p w14:paraId="7B406219" w14:textId="77777777" w:rsidR="00FD4CAC" w:rsidRPr="00833F94" w:rsidRDefault="00FD4CAC" w:rsidP="00FD4CAC">
            <w:pPr>
              <w:jc w:val="center"/>
            </w:pPr>
            <w:r w:rsidRPr="00C60CD9">
              <w:t>93041.5</w:t>
            </w:r>
          </w:p>
        </w:tc>
        <w:tc>
          <w:tcPr>
            <w:tcW w:w="416" w:type="pct"/>
            <w:tcBorders>
              <w:top w:val="nil"/>
              <w:bottom w:val="nil"/>
            </w:tcBorders>
            <w:noWrap/>
            <w:hideMark/>
          </w:tcPr>
          <w:p w14:paraId="70005949" w14:textId="77777777" w:rsidR="00FD4CAC" w:rsidRPr="00833F94" w:rsidRDefault="00FD4CAC" w:rsidP="00FD4CAC">
            <w:pPr>
              <w:jc w:val="center"/>
            </w:pPr>
            <w:r w:rsidRPr="00C60CD9">
              <w:t>-2.579</w:t>
            </w:r>
          </w:p>
        </w:tc>
        <w:tc>
          <w:tcPr>
            <w:tcW w:w="373" w:type="pct"/>
            <w:tcBorders>
              <w:top w:val="nil"/>
              <w:bottom w:val="nil"/>
            </w:tcBorders>
            <w:noWrap/>
            <w:hideMark/>
          </w:tcPr>
          <w:p w14:paraId="586E2E31" w14:textId="77777777" w:rsidR="00FD4CAC" w:rsidRPr="00A51B6C" w:rsidRDefault="00FD4CAC" w:rsidP="00FD4CAC">
            <w:pPr>
              <w:jc w:val="center"/>
            </w:pPr>
            <w:r w:rsidRPr="00A51B6C">
              <w:t>0.010</w:t>
            </w:r>
          </w:p>
        </w:tc>
        <w:tc>
          <w:tcPr>
            <w:tcW w:w="373" w:type="pct"/>
            <w:tcBorders>
              <w:top w:val="nil"/>
              <w:bottom w:val="nil"/>
            </w:tcBorders>
          </w:tcPr>
          <w:p w14:paraId="15EF0491" w14:textId="77777777" w:rsidR="00FD4CAC" w:rsidRPr="00833F94" w:rsidRDefault="00FD4CAC" w:rsidP="00FD4CAC">
            <w:pPr>
              <w:jc w:val="center"/>
            </w:pPr>
            <w:r w:rsidRPr="00C60CD9">
              <w:t>0.083</w:t>
            </w:r>
          </w:p>
        </w:tc>
      </w:tr>
      <w:tr w:rsidR="00FD4CAC" w:rsidRPr="00833F94" w14:paraId="0865F6A3" w14:textId="77777777" w:rsidTr="00B16058">
        <w:trPr>
          <w:trHeight w:val="300"/>
          <w:jc w:val="center"/>
        </w:trPr>
        <w:tc>
          <w:tcPr>
            <w:tcW w:w="1398" w:type="pct"/>
            <w:noWrap/>
            <w:hideMark/>
          </w:tcPr>
          <w:p w14:paraId="3CF42A70" w14:textId="77777777" w:rsidR="00FD4CAC" w:rsidRPr="00833F94" w:rsidRDefault="00B16443" w:rsidP="00FD4CAC">
            <w:r>
              <w:rPr>
                <w:lang w:val="en-US"/>
              </w:rPr>
              <w:t>Facilitation conditions</w:t>
            </w:r>
          </w:p>
        </w:tc>
        <w:tc>
          <w:tcPr>
            <w:tcW w:w="1000" w:type="pct"/>
            <w:tcBorders>
              <w:top w:val="nil"/>
              <w:bottom w:val="nil"/>
            </w:tcBorders>
            <w:noWrap/>
          </w:tcPr>
          <w:p w14:paraId="7E0CD011" w14:textId="77777777" w:rsidR="00FD4CAC" w:rsidRPr="00833F94" w:rsidRDefault="00FD4CAC" w:rsidP="00FD4CAC">
            <w:pPr>
              <w:jc w:val="center"/>
            </w:pPr>
            <w:r w:rsidRPr="00C60CD9">
              <w:t>495.10</w:t>
            </w:r>
          </w:p>
        </w:tc>
        <w:tc>
          <w:tcPr>
            <w:tcW w:w="874" w:type="pct"/>
            <w:tcBorders>
              <w:top w:val="nil"/>
              <w:bottom w:val="nil"/>
              <w:right w:val="single" w:sz="4" w:space="0" w:color="auto"/>
            </w:tcBorders>
            <w:noWrap/>
            <w:hideMark/>
          </w:tcPr>
          <w:p w14:paraId="4C972405" w14:textId="77777777" w:rsidR="00FD4CAC" w:rsidRPr="00833F94" w:rsidRDefault="00FD4CAC" w:rsidP="00FD4CAC">
            <w:pPr>
              <w:jc w:val="center"/>
            </w:pPr>
            <w:r w:rsidRPr="00C60CD9">
              <w:t>450.68</w:t>
            </w:r>
          </w:p>
        </w:tc>
        <w:tc>
          <w:tcPr>
            <w:tcW w:w="567" w:type="pct"/>
            <w:tcBorders>
              <w:top w:val="nil"/>
              <w:left w:val="single" w:sz="4" w:space="0" w:color="auto"/>
              <w:bottom w:val="nil"/>
            </w:tcBorders>
            <w:noWrap/>
            <w:hideMark/>
          </w:tcPr>
          <w:p w14:paraId="5D4DB9CB" w14:textId="77777777" w:rsidR="00FD4CAC" w:rsidRPr="00833F94" w:rsidRDefault="00FD4CAC" w:rsidP="00FD4CAC">
            <w:pPr>
              <w:jc w:val="center"/>
            </w:pPr>
            <w:r w:rsidRPr="00C60CD9">
              <w:t>93620</w:t>
            </w:r>
          </w:p>
        </w:tc>
        <w:tc>
          <w:tcPr>
            <w:tcW w:w="416" w:type="pct"/>
            <w:tcBorders>
              <w:top w:val="nil"/>
              <w:bottom w:val="nil"/>
            </w:tcBorders>
            <w:noWrap/>
            <w:hideMark/>
          </w:tcPr>
          <w:p w14:paraId="09DD82C2" w14:textId="77777777" w:rsidR="00FD4CAC" w:rsidRPr="00833F94" w:rsidRDefault="00FD4CAC" w:rsidP="00FD4CAC">
            <w:pPr>
              <w:jc w:val="center"/>
            </w:pPr>
            <w:r w:rsidRPr="00C60CD9">
              <w:t>-2.425</w:t>
            </w:r>
          </w:p>
        </w:tc>
        <w:tc>
          <w:tcPr>
            <w:tcW w:w="373" w:type="pct"/>
            <w:tcBorders>
              <w:top w:val="nil"/>
              <w:bottom w:val="nil"/>
            </w:tcBorders>
            <w:noWrap/>
            <w:hideMark/>
          </w:tcPr>
          <w:p w14:paraId="11EDF012" w14:textId="77777777" w:rsidR="00FD4CAC" w:rsidRPr="00A51B6C" w:rsidRDefault="00FD4CAC" w:rsidP="00FD4CAC">
            <w:pPr>
              <w:jc w:val="center"/>
            </w:pPr>
            <w:r w:rsidRPr="00A51B6C">
              <w:t>0.015</w:t>
            </w:r>
          </w:p>
        </w:tc>
        <w:tc>
          <w:tcPr>
            <w:tcW w:w="373" w:type="pct"/>
            <w:tcBorders>
              <w:top w:val="nil"/>
              <w:bottom w:val="nil"/>
            </w:tcBorders>
          </w:tcPr>
          <w:p w14:paraId="701FA0BA" w14:textId="77777777" w:rsidR="00FD4CAC" w:rsidRPr="00833F94" w:rsidRDefault="00FD4CAC" w:rsidP="00FD4CAC">
            <w:pPr>
              <w:jc w:val="center"/>
            </w:pPr>
            <w:r w:rsidRPr="00C60CD9">
              <w:t>0.078</w:t>
            </w:r>
          </w:p>
        </w:tc>
      </w:tr>
      <w:tr w:rsidR="00FD4CAC" w:rsidRPr="00833F94" w14:paraId="5A9FD989" w14:textId="77777777" w:rsidTr="00B16058">
        <w:trPr>
          <w:trHeight w:val="300"/>
          <w:jc w:val="center"/>
        </w:trPr>
        <w:tc>
          <w:tcPr>
            <w:tcW w:w="1398" w:type="pct"/>
            <w:noWrap/>
            <w:hideMark/>
          </w:tcPr>
          <w:p w14:paraId="4AB37074" w14:textId="77777777" w:rsidR="00FD4CAC" w:rsidRPr="00833F94" w:rsidRDefault="00B16443" w:rsidP="00FD4CAC">
            <w:r>
              <w:t>Habit</w:t>
            </w:r>
          </w:p>
        </w:tc>
        <w:tc>
          <w:tcPr>
            <w:tcW w:w="1000" w:type="pct"/>
            <w:tcBorders>
              <w:top w:val="nil"/>
              <w:bottom w:val="nil"/>
            </w:tcBorders>
            <w:noWrap/>
          </w:tcPr>
          <w:p w14:paraId="60EDF68B" w14:textId="77777777" w:rsidR="00FD4CAC" w:rsidRPr="00833F94" w:rsidRDefault="00FD4CAC" w:rsidP="00FD4CAC">
            <w:pPr>
              <w:jc w:val="center"/>
            </w:pPr>
            <w:r w:rsidRPr="00C60CD9">
              <w:t>491.21</w:t>
            </w:r>
          </w:p>
        </w:tc>
        <w:tc>
          <w:tcPr>
            <w:tcW w:w="874" w:type="pct"/>
            <w:tcBorders>
              <w:top w:val="nil"/>
              <w:bottom w:val="nil"/>
              <w:right w:val="single" w:sz="4" w:space="0" w:color="auto"/>
            </w:tcBorders>
            <w:noWrap/>
            <w:hideMark/>
          </w:tcPr>
          <w:p w14:paraId="24181B9F" w14:textId="77777777" w:rsidR="00FD4CAC" w:rsidRPr="00833F94" w:rsidRDefault="00FD4CAC" w:rsidP="00FD4CAC">
            <w:pPr>
              <w:jc w:val="center"/>
            </w:pPr>
            <w:r w:rsidRPr="00C60CD9">
              <w:t>458.24</w:t>
            </w:r>
          </w:p>
        </w:tc>
        <w:tc>
          <w:tcPr>
            <w:tcW w:w="567" w:type="pct"/>
            <w:tcBorders>
              <w:top w:val="nil"/>
              <w:left w:val="single" w:sz="4" w:space="0" w:color="auto"/>
              <w:bottom w:val="nil"/>
            </w:tcBorders>
            <w:noWrap/>
            <w:hideMark/>
          </w:tcPr>
          <w:p w14:paraId="4BE87688" w14:textId="77777777" w:rsidR="00FD4CAC" w:rsidRPr="00833F94" w:rsidRDefault="00FD4CAC" w:rsidP="00FD4CAC">
            <w:pPr>
              <w:jc w:val="center"/>
            </w:pPr>
            <w:r w:rsidRPr="00C60CD9">
              <w:t>96085</w:t>
            </w:r>
          </w:p>
        </w:tc>
        <w:tc>
          <w:tcPr>
            <w:tcW w:w="416" w:type="pct"/>
            <w:tcBorders>
              <w:top w:val="nil"/>
              <w:bottom w:val="nil"/>
            </w:tcBorders>
            <w:noWrap/>
            <w:hideMark/>
          </w:tcPr>
          <w:p w14:paraId="30181C18" w14:textId="77777777" w:rsidR="00FD4CAC" w:rsidRPr="00833F94" w:rsidRDefault="00FD4CAC" w:rsidP="00FD4CAC">
            <w:pPr>
              <w:jc w:val="center"/>
            </w:pPr>
            <w:r w:rsidRPr="00C60CD9">
              <w:t>-1.748</w:t>
            </w:r>
          </w:p>
        </w:tc>
        <w:tc>
          <w:tcPr>
            <w:tcW w:w="373" w:type="pct"/>
            <w:tcBorders>
              <w:top w:val="nil"/>
              <w:bottom w:val="nil"/>
            </w:tcBorders>
            <w:noWrap/>
            <w:hideMark/>
          </w:tcPr>
          <w:p w14:paraId="27FA92A5" w14:textId="77777777" w:rsidR="00FD4CAC" w:rsidRPr="00A51B6C" w:rsidRDefault="00FD4CAC" w:rsidP="00FD4CAC">
            <w:pPr>
              <w:jc w:val="center"/>
            </w:pPr>
            <w:r w:rsidRPr="00A51B6C">
              <w:t>0.080</w:t>
            </w:r>
          </w:p>
        </w:tc>
        <w:tc>
          <w:tcPr>
            <w:tcW w:w="373" w:type="pct"/>
            <w:tcBorders>
              <w:top w:val="nil"/>
              <w:bottom w:val="nil"/>
            </w:tcBorders>
          </w:tcPr>
          <w:p w14:paraId="52D89A2F" w14:textId="77777777" w:rsidR="00FD4CAC" w:rsidRPr="00833F94" w:rsidRDefault="00FD4CAC" w:rsidP="00FD4CAC">
            <w:pPr>
              <w:jc w:val="center"/>
            </w:pPr>
            <w:r w:rsidRPr="00C60CD9">
              <w:t>0.056</w:t>
            </w:r>
          </w:p>
        </w:tc>
      </w:tr>
      <w:tr w:rsidR="00FD4CAC" w:rsidRPr="00833F94" w14:paraId="32949FE2" w14:textId="77777777" w:rsidTr="00B16058">
        <w:trPr>
          <w:trHeight w:val="300"/>
          <w:jc w:val="center"/>
        </w:trPr>
        <w:tc>
          <w:tcPr>
            <w:tcW w:w="1398" w:type="pct"/>
            <w:noWrap/>
            <w:hideMark/>
          </w:tcPr>
          <w:p w14:paraId="41693C27" w14:textId="77777777" w:rsidR="00FD4CAC" w:rsidRPr="00833F94" w:rsidRDefault="00B16443" w:rsidP="00FD4CAC">
            <w:r>
              <w:rPr>
                <w:lang w:val="en-US"/>
              </w:rPr>
              <w:t>Hedonic motivation</w:t>
            </w:r>
          </w:p>
        </w:tc>
        <w:tc>
          <w:tcPr>
            <w:tcW w:w="1000" w:type="pct"/>
            <w:tcBorders>
              <w:top w:val="nil"/>
              <w:bottom w:val="nil"/>
            </w:tcBorders>
            <w:noWrap/>
          </w:tcPr>
          <w:p w14:paraId="7D3586C5" w14:textId="77777777" w:rsidR="00FD4CAC" w:rsidRPr="00833F94" w:rsidRDefault="00FD4CAC" w:rsidP="00FD4CAC">
            <w:pPr>
              <w:jc w:val="center"/>
            </w:pPr>
            <w:r w:rsidRPr="00C60CD9">
              <w:t>494.92</w:t>
            </w:r>
          </w:p>
        </w:tc>
        <w:tc>
          <w:tcPr>
            <w:tcW w:w="874" w:type="pct"/>
            <w:tcBorders>
              <w:top w:val="nil"/>
              <w:bottom w:val="nil"/>
              <w:right w:val="single" w:sz="4" w:space="0" w:color="auto"/>
            </w:tcBorders>
            <w:noWrap/>
            <w:hideMark/>
          </w:tcPr>
          <w:p w14:paraId="09803545" w14:textId="77777777" w:rsidR="00FD4CAC" w:rsidRPr="00833F94" w:rsidRDefault="00FD4CAC" w:rsidP="00FD4CAC">
            <w:pPr>
              <w:jc w:val="center"/>
            </w:pPr>
            <w:r w:rsidRPr="00C60CD9">
              <w:t>451.03</w:t>
            </w:r>
          </w:p>
        </w:tc>
        <w:tc>
          <w:tcPr>
            <w:tcW w:w="567" w:type="pct"/>
            <w:tcBorders>
              <w:top w:val="nil"/>
              <w:left w:val="single" w:sz="4" w:space="0" w:color="auto"/>
              <w:bottom w:val="nil"/>
            </w:tcBorders>
            <w:noWrap/>
            <w:hideMark/>
          </w:tcPr>
          <w:p w14:paraId="16885BBB" w14:textId="77777777" w:rsidR="00FD4CAC" w:rsidRPr="00833F94" w:rsidRDefault="00FD4CAC" w:rsidP="00FD4CAC">
            <w:pPr>
              <w:jc w:val="center"/>
            </w:pPr>
            <w:r w:rsidRPr="00C60CD9">
              <w:t>93736</w:t>
            </w:r>
          </w:p>
        </w:tc>
        <w:tc>
          <w:tcPr>
            <w:tcW w:w="416" w:type="pct"/>
            <w:tcBorders>
              <w:top w:val="nil"/>
              <w:bottom w:val="nil"/>
            </w:tcBorders>
            <w:noWrap/>
            <w:hideMark/>
          </w:tcPr>
          <w:p w14:paraId="0833C93D" w14:textId="77777777" w:rsidR="00FD4CAC" w:rsidRPr="00833F94" w:rsidRDefault="00FD4CAC" w:rsidP="00FD4CAC">
            <w:pPr>
              <w:jc w:val="center"/>
            </w:pPr>
            <w:r w:rsidRPr="00C60CD9">
              <w:t>-2.325</w:t>
            </w:r>
          </w:p>
        </w:tc>
        <w:tc>
          <w:tcPr>
            <w:tcW w:w="373" w:type="pct"/>
            <w:tcBorders>
              <w:top w:val="nil"/>
              <w:bottom w:val="nil"/>
            </w:tcBorders>
            <w:noWrap/>
            <w:hideMark/>
          </w:tcPr>
          <w:p w14:paraId="45BBD465" w14:textId="77777777" w:rsidR="00FD4CAC" w:rsidRPr="00A51B6C" w:rsidRDefault="00FD4CAC" w:rsidP="00FD4CAC">
            <w:pPr>
              <w:jc w:val="center"/>
            </w:pPr>
            <w:r w:rsidRPr="00A51B6C">
              <w:t>0.020</w:t>
            </w:r>
          </w:p>
        </w:tc>
        <w:tc>
          <w:tcPr>
            <w:tcW w:w="373" w:type="pct"/>
            <w:tcBorders>
              <w:top w:val="nil"/>
              <w:bottom w:val="nil"/>
            </w:tcBorders>
          </w:tcPr>
          <w:p w14:paraId="51CFF91D" w14:textId="77777777" w:rsidR="00FD4CAC" w:rsidRPr="00833F94" w:rsidRDefault="00FD4CAC" w:rsidP="00FD4CAC">
            <w:pPr>
              <w:jc w:val="center"/>
            </w:pPr>
            <w:r w:rsidRPr="00C60CD9">
              <w:t>0.075</w:t>
            </w:r>
          </w:p>
        </w:tc>
      </w:tr>
      <w:tr w:rsidR="00FD4CAC" w:rsidRPr="00833F94" w14:paraId="76D74403" w14:textId="77777777" w:rsidTr="00B16058">
        <w:trPr>
          <w:trHeight w:val="300"/>
          <w:jc w:val="center"/>
        </w:trPr>
        <w:tc>
          <w:tcPr>
            <w:tcW w:w="1398" w:type="pct"/>
            <w:noWrap/>
            <w:hideMark/>
          </w:tcPr>
          <w:p w14:paraId="0AC66C7C" w14:textId="77777777" w:rsidR="00FD4CAC" w:rsidRPr="00833F94" w:rsidRDefault="00B16443" w:rsidP="00FD4CAC">
            <w:r>
              <w:rPr>
                <w:lang w:val="en-US"/>
              </w:rPr>
              <w:t>Performance expectancy</w:t>
            </w:r>
          </w:p>
        </w:tc>
        <w:tc>
          <w:tcPr>
            <w:tcW w:w="1000" w:type="pct"/>
            <w:tcBorders>
              <w:top w:val="nil"/>
              <w:bottom w:val="nil"/>
            </w:tcBorders>
            <w:noWrap/>
          </w:tcPr>
          <w:p w14:paraId="793C7A2E" w14:textId="77777777" w:rsidR="00FD4CAC" w:rsidRPr="00833F94" w:rsidRDefault="00FD4CAC" w:rsidP="00FD4CAC">
            <w:pPr>
              <w:jc w:val="center"/>
            </w:pPr>
            <w:r w:rsidRPr="00C60CD9">
              <w:t>489.52</w:t>
            </w:r>
          </w:p>
        </w:tc>
        <w:tc>
          <w:tcPr>
            <w:tcW w:w="874" w:type="pct"/>
            <w:tcBorders>
              <w:top w:val="nil"/>
              <w:bottom w:val="nil"/>
              <w:right w:val="single" w:sz="4" w:space="0" w:color="auto"/>
            </w:tcBorders>
            <w:noWrap/>
            <w:hideMark/>
          </w:tcPr>
          <w:p w14:paraId="20282C33" w14:textId="77777777" w:rsidR="00FD4CAC" w:rsidRPr="00833F94" w:rsidRDefault="00FD4CAC" w:rsidP="00FD4CAC">
            <w:pPr>
              <w:jc w:val="center"/>
            </w:pPr>
            <w:r w:rsidRPr="00C60CD9">
              <w:t>461.51</w:t>
            </w:r>
          </w:p>
        </w:tc>
        <w:tc>
          <w:tcPr>
            <w:tcW w:w="567" w:type="pct"/>
            <w:tcBorders>
              <w:top w:val="nil"/>
              <w:left w:val="single" w:sz="4" w:space="0" w:color="auto"/>
              <w:bottom w:val="nil"/>
            </w:tcBorders>
            <w:noWrap/>
            <w:hideMark/>
          </w:tcPr>
          <w:p w14:paraId="4034732C" w14:textId="77777777" w:rsidR="00FD4CAC" w:rsidRPr="00833F94" w:rsidRDefault="00FD4CAC" w:rsidP="00FD4CAC">
            <w:pPr>
              <w:jc w:val="center"/>
            </w:pPr>
            <w:r w:rsidRPr="00C60CD9">
              <w:t>97152</w:t>
            </w:r>
          </w:p>
        </w:tc>
        <w:tc>
          <w:tcPr>
            <w:tcW w:w="416" w:type="pct"/>
            <w:tcBorders>
              <w:top w:val="nil"/>
              <w:bottom w:val="nil"/>
            </w:tcBorders>
            <w:noWrap/>
            <w:hideMark/>
          </w:tcPr>
          <w:p w14:paraId="3733463D" w14:textId="77777777" w:rsidR="00FD4CAC" w:rsidRPr="00833F94" w:rsidRDefault="00FD4CAC" w:rsidP="00FD4CAC">
            <w:pPr>
              <w:jc w:val="center"/>
            </w:pPr>
            <w:r w:rsidRPr="00C60CD9">
              <w:t>-1.502</w:t>
            </w:r>
          </w:p>
        </w:tc>
        <w:tc>
          <w:tcPr>
            <w:tcW w:w="373" w:type="pct"/>
            <w:tcBorders>
              <w:top w:val="nil"/>
              <w:bottom w:val="nil"/>
            </w:tcBorders>
            <w:noWrap/>
            <w:hideMark/>
          </w:tcPr>
          <w:p w14:paraId="451A512D" w14:textId="77777777" w:rsidR="00FD4CAC" w:rsidRPr="00A51B6C" w:rsidRDefault="00FD4CAC" w:rsidP="00FD4CAC">
            <w:pPr>
              <w:jc w:val="center"/>
            </w:pPr>
            <w:r w:rsidRPr="00A51B6C">
              <w:t>0.133</w:t>
            </w:r>
          </w:p>
        </w:tc>
        <w:tc>
          <w:tcPr>
            <w:tcW w:w="373" w:type="pct"/>
            <w:tcBorders>
              <w:top w:val="nil"/>
              <w:bottom w:val="nil"/>
            </w:tcBorders>
          </w:tcPr>
          <w:p w14:paraId="1DA8FBF9" w14:textId="77777777" w:rsidR="00FD4CAC" w:rsidRPr="00833F94" w:rsidRDefault="00FD4CAC" w:rsidP="00FD4CAC">
            <w:pPr>
              <w:jc w:val="center"/>
            </w:pPr>
            <w:r w:rsidRPr="00C60CD9">
              <w:t>0.048</w:t>
            </w:r>
          </w:p>
        </w:tc>
      </w:tr>
      <w:tr w:rsidR="00FD4CAC" w:rsidRPr="00833F94" w14:paraId="0D589EF3" w14:textId="77777777" w:rsidTr="00B16058">
        <w:trPr>
          <w:trHeight w:val="300"/>
          <w:jc w:val="center"/>
        </w:trPr>
        <w:tc>
          <w:tcPr>
            <w:tcW w:w="1398" w:type="pct"/>
            <w:noWrap/>
            <w:hideMark/>
          </w:tcPr>
          <w:p w14:paraId="3B592F03" w14:textId="77777777" w:rsidR="00FD4CAC" w:rsidRPr="00833F94" w:rsidRDefault="00B16443" w:rsidP="00FD4CAC">
            <w:r>
              <w:rPr>
                <w:lang w:val="en-US"/>
              </w:rPr>
              <w:t>Social influence</w:t>
            </w:r>
          </w:p>
        </w:tc>
        <w:tc>
          <w:tcPr>
            <w:tcW w:w="1000" w:type="pct"/>
            <w:tcBorders>
              <w:top w:val="nil"/>
              <w:bottom w:val="nil"/>
            </w:tcBorders>
            <w:noWrap/>
          </w:tcPr>
          <w:p w14:paraId="676D4CBF" w14:textId="77777777" w:rsidR="00FD4CAC" w:rsidRPr="00833F94" w:rsidRDefault="00FD4CAC" w:rsidP="00FD4CAC">
            <w:pPr>
              <w:jc w:val="center"/>
            </w:pPr>
            <w:r w:rsidRPr="00C60CD9">
              <w:t>495.48</w:t>
            </w:r>
          </w:p>
        </w:tc>
        <w:tc>
          <w:tcPr>
            <w:tcW w:w="874" w:type="pct"/>
            <w:tcBorders>
              <w:top w:val="nil"/>
              <w:bottom w:val="nil"/>
              <w:right w:val="single" w:sz="4" w:space="0" w:color="auto"/>
            </w:tcBorders>
            <w:noWrap/>
            <w:hideMark/>
          </w:tcPr>
          <w:p w14:paraId="6726203D" w14:textId="77777777" w:rsidR="00FD4CAC" w:rsidRPr="00833F94" w:rsidRDefault="00FD4CAC" w:rsidP="00FD4CAC">
            <w:pPr>
              <w:jc w:val="center"/>
            </w:pPr>
            <w:r w:rsidRPr="00C60CD9">
              <w:t>449.95</w:t>
            </w:r>
          </w:p>
        </w:tc>
        <w:tc>
          <w:tcPr>
            <w:tcW w:w="567" w:type="pct"/>
            <w:tcBorders>
              <w:top w:val="nil"/>
              <w:left w:val="single" w:sz="4" w:space="0" w:color="auto"/>
              <w:bottom w:val="nil"/>
            </w:tcBorders>
            <w:noWrap/>
            <w:hideMark/>
          </w:tcPr>
          <w:p w14:paraId="3CAFB0BB" w14:textId="77777777" w:rsidR="00FD4CAC" w:rsidRPr="00833F94" w:rsidRDefault="00FD4CAC" w:rsidP="00FD4CAC">
            <w:pPr>
              <w:jc w:val="center"/>
            </w:pPr>
            <w:r w:rsidRPr="00C60CD9">
              <w:t>93383</w:t>
            </w:r>
          </w:p>
        </w:tc>
        <w:tc>
          <w:tcPr>
            <w:tcW w:w="416" w:type="pct"/>
            <w:tcBorders>
              <w:top w:val="nil"/>
              <w:bottom w:val="nil"/>
            </w:tcBorders>
            <w:noWrap/>
            <w:hideMark/>
          </w:tcPr>
          <w:p w14:paraId="3B1BD757" w14:textId="77777777" w:rsidR="00FD4CAC" w:rsidRPr="00833F94" w:rsidRDefault="00FD4CAC" w:rsidP="00FD4CAC">
            <w:pPr>
              <w:jc w:val="center"/>
            </w:pPr>
            <w:r w:rsidRPr="00C60CD9">
              <w:t>-2.413</w:t>
            </w:r>
          </w:p>
        </w:tc>
        <w:tc>
          <w:tcPr>
            <w:tcW w:w="373" w:type="pct"/>
            <w:tcBorders>
              <w:top w:val="nil"/>
              <w:bottom w:val="nil"/>
            </w:tcBorders>
            <w:noWrap/>
            <w:hideMark/>
          </w:tcPr>
          <w:p w14:paraId="3621038A" w14:textId="77777777" w:rsidR="00FD4CAC" w:rsidRPr="00A51B6C" w:rsidRDefault="00FD4CAC" w:rsidP="00FD4CAC">
            <w:pPr>
              <w:jc w:val="center"/>
            </w:pPr>
            <w:r w:rsidRPr="00A51B6C">
              <w:t>0.016</w:t>
            </w:r>
          </w:p>
        </w:tc>
        <w:tc>
          <w:tcPr>
            <w:tcW w:w="373" w:type="pct"/>
            <w:tcBorders>
              <w:top w:val="nil"/>
              <w:bottom w:val="nil"/>
            </w:tcBorders>
          </w:tcPr>
          <w:p w14:paraId="2B91A44B" w14:textId="77777777" w:rsidR="00FD4CAC" w:rsidRPr="00833F94" w:rsidRDefault="00FD4CAC" w:rsidP="00FD4CAC">
            <w:pPr>
              <w:jc w:val="center"/>
            </w:pPr>
            <w:r w:rsidRPr="00C60CD9">
              <w:t>0.078</w:t>
            </w:r>
          </w:p>
        </w:tc>
      </w:tr>
      <w:tr w:rsidR="00FD4CAC" w:rsidRPr="00833F94" w14:paraId="5D058203" w14:textId="77777777" w:rsidTr="00B16058">
        <w:trPr>
          <w:trHeight w:val="300"/>
          <w:jc w:val="center"/>
        </w:trPr>
        <w:tc>
          <w:tcPr>
            <w:tcW w:w="1398" w:type="pct"/>
            <w:noWrap/>
            <w:hideMark/>
          </w:tcPr>
          <w:p w14:paraId="1BD6919E" w14:textId="77777777" w:rsidR="00FD4CAC" w:rsidRPr="00833F94" w:rsidRDefault="00B16443" w:rsidP="00FD4CAC">
            <w:r>
              <w:t>User behaviour</w:t>
            </w:r>
          </w:p>
        </w:tc>
        <w:tc>
          <w:tcPr>
            <w:tcW w:w="1000" w:type="pct"/>
            <w:tcBorders>
              <w:top w:val="nil"/>
              <w:bottom w:val="single" w:sz="4" w:space="0" w:color="auto"/>
            </w:tcBorders>
            <w:noWrap/>
          </w:tcPr>
          <w:p w14:paraId="119D1CDD" w14:textId="77777777" w:rsidR="00FD4CAC" w:rsidRPr="00833F94" w:rsidRDefault="00FD4CAC" w:rsidP="00FD4CAC">
            <w:pPr>
              <w:jc w:val="center"/>
            </w:pPr>
            <w:r w:rsidRPr="00C60CD9">
              <w:t>476.94</w:t>
            </w:r>
          </w:p>
        </w:tc>
        <w:tc>
          <w:tcPr>
            <w:tcW w:w="874" w:type="pct"/>
            <w:tcBorders>
              <w:top w:val="nil"/>
              <w:bottom w:val="single" w:sz="4" w:space="0" w:color="auto"/>
              <w:right w:val="single" w:sz="4" w:space="0" w:color="auto"/>
            </w:tcBorders>
            <w:noWrap/>
            <w:hideMark/>
          </w:tcPr>
          <w:p w14:paraId="5369022E" w14:textId="77777777" w:rsidR="00FD4CAC" w:rsidRPr="00833F94" w:rsidRDefault="00FD4CAC" w:rsidP="00FD4CAC">
            <w:pPr>
              <w:jc w:val="center"/>
            </w:pPr>
            <w:r w:rsidRPr="00C60CD9">
              <w:t>485.94</w:t>
            </w:r>
          </w:p>
        </w:tc>
        <w:tc>
          <w:tcPr>
            <w:tcW w:w="567" w:type="pct"/>
            <w:tcBorders>
              <w:top w:val="nil"/>
              <w:left w:val="single" w:sz="4" w:space="0" w:color="auto"/>
              <w:bottom w:val="single" w:sz="4" w:space="0" w:color="auto"/>
            </w:tcBorders>
            <w:noWrap/>
            <w:hideMark/>
          </w:tcPr>
          <w:p w14:paraId="7E858BE1" w14:textId="77777777" w:rsidR="00FD4CAC" w:rsidRPr="00833F94" w:rsidRDefault="00FD4CAC" w:rsidP="00FD4CAC">
            <w:pPr>
              <w:jc w:val="center"/>
            </w:pPr>
            <w:r w:rsidRPr="00C60CD9">
              <w:t>101242.5</w:t>
            </w:r>
          </w:p>
        </w:tc>
        <w:tc>
          <w:tcPr>
            <w:tcW w:w="416" w:type="pct"/>
            <w:tcBorders>
              <w:top w:val="nil"/>
              <w:bottom w:val="single" w:sz="4" w:space="0" w:color="auto"/>
            </w:tcBorders>
            <w:noWrap/>
            <w:hideMark/>
          </w:tcPr>
          <w:p w14:paraId="64542987" w14:textId="77777777" w:rsidR="00FD4CAC" w:rsidRPr="00833F94" w:rsidRDefault="00FD4CAC" w:rsidP="00FD4CAC">
            <w:pPr>
              <w:jc w:val="center"/>
            </w:pPr>
            <w:r w:rsidRPr="00C60CD9">
              <w:t>-0.482</w:t>
            </w:r>
          </w:p>
        </w:tc>
        <w:tc>
          <w:tcPr>
            <w:tcW w:w="373" w:type="pct"/>
            <w:tcBorders>
              <w:top w:val="nil"/>
              <w:bottom w:val="single" w:sz="4" w:space="0" w:color="auto"/>
            </w:tcBorders>
            <w:noWrap/>
            <w:hideMark/>
          </w:tcPr>
          <w:p w14:paraId="0BCA0460" w14:textId="77777777" w:rsidR="00FD4CAC" w:rsidRPr="00833F94" w:rsidRDefault="00FD4CAC" w:rsidP="00FD4CAC">
            <w:pPr>
              <w:jc w:val="center"/>
            </w:pPr>
            <w:r w:rsidRPr="00C60CD9">
              <w:t>0.630</w:t>
            </w:r>
          </w:p>
        </w:tc>
        <w:tc>
          <w:tcPr>
            <w:tcW w:w="373" w:type="pct"/>
            <w:tcBorders>
              <w:top w:val="nil"/>
              <w:bottom w:val="single" w:sz="4" w:space="0" w:color="auto"/>
            </w:tcBorders>
          </w:tcPr>
          <w:p w14:paraId="601692AB" w14:textId="77777777" w:rsidR="00FD4CAC" w:rsidRPr="00833F94" w:rsidRDefault="00FD4CAC" w:rsidP="00FD4CAC">
            <w:pPr>
              <w:jc w:val="center"/>
            </w:pPr>
            <w:r w:rsidRPr="00C60CD9">
              <w:t>0.016</w:t>
            </w:r>
          </w:p>
        </w:tc>
      </w:tr>
    </w:tbl>
    <w:p w14:paraId="37598967" w14:textId="77777777" w:rsidR="003D3C53" w:rsidRDefault="003D3C53" w:rsidP="003D3C53">
      <w:pPr>
        <w:rPr>
          <w:lang w:val="en-US"/>
        </w:rPr>
      </w:pPr>
    </w:p>
    <w:p w14:paraId="00F905DF" w14:textId="4131945E" w:rsidR="007F49C2" w:rsidRPr="007F49C2" w:rsidRDefault="00101684" w:rsidP="00101684">
      <w:r>
        <w:t>The e</w:t>
      </w:r>
      <w:r w:rsidR="00842AA6" w:rsidRPr="00180025">
        <w:t>mployment status of the respondent was the second individual</w:t>
      </w:r>
      <w:r w:rsidR="005F1A24" w:rsidRPr="00180025">
        <w:t xml:space="preserve"> demographic taking into the analysis. </w:t>
      </w:r>
      <w:r w:rsidR="00E6224D">
        <w:t>Table 4 summarizes</w:t>
      </w:r>
      <w:r w:rsidR="005F1A24" w:rsidRPr="00180025">
        <w:t xml:space="preserve"> </w:t>
      </w:r>
      <w:r w:rsidR="00842AA6" w:rsidRPr="00180025">
        <w:t xml:space="preserve">the results of the Mann-Whitney test for </w:t>
      </w:r>
      <w:r w:rsidR="005F1A24" w:rsidRPr="00180025">
        <w:t>employment status (being employed, including self-employed, or not)</w:t>
      </w:r>
      <w:r w:rsidR="00842AA6" w:rsidRPr="00180025">
        <w:t xml:space="preserve">. The test </w:t>
      </w:r>
      <w:r w:rsidR="005F1A24" w:rsidRPr="00180025">
        <w:t>showed</w:t>
      </w:r>
      <w:r w:rsidR="00842AA6" w:rsidRPr="00180025">
        <w:t xml:space="preserve"> that </w:t>
      </w:r>
      <w:r w:rsidR="005F1A24" w:rsidRPr="00180025">
        <w:t>employment status do</w:t>
      </w:r>
      <w:r w:rsidR="007861F6">
        <w:t>es</w:t>
      </w:r>
      <w:r w:rsidR="005F1A24" w:rsidRPr="00180025">
        <w:t xml:space="preserve"> link with almost all the UTAUT2 constructs</w:t>
      </w:r>
      <w:r w:rsidR="00842AA6" w:rsidRPr="00180025">
        <w:t xml:space="preserve">. </w:t>
      </w:r>
      <w:r w:rsidR="005F1A24" w:rsidRPr="00180025">
        <w:t>The only construct that reflected no statistical difference in terms of employment status was hedonic motivation (</w:t>
      </w:r>
      <w:r w:rsidR="005F1A24" w:rsidRPr="00180025">
        <w:rPr>
          <w:i/>
        </w:rPr>
        <w:t>U</w:t>
      </w:r>
      <w:r w:rsidR="005F1A24" w:rsidRPr="00180025">
        <w:t xml:space="preserve"> = 97683.5, </w:t>
      </w:r>
      <w:r w:rsidR="005F1A24" w:rsidRPr="00180025">
        <w:rPr>
          <w:i/>
        </w:rPr>
        <w:t>z</w:t>
      </w:r>
      <w:r w:rsidR="005F1A24" w:rsidRPr="00180025">
        <w:t xml:space="preserve"> = -0.203, </w:t>
      </w:r>
      <w:r w:rsidR="005F1A24" w:rsidRPr="00180025">
        <w:rPr>
          <w:i/>
        </w:rPr>
        <w:t>p</w:t>
      </w:r>
      <w:r w:rsidR="005F1A24" w:rsidRPr="00180025">
        <w:t xml:space="preserve"> &gt; 0.05, </w:t>
      </w:r>
      <w:r w:rsidR="005F1A24" w:rsidRPr="00180025">
        <w:rPr>
          <w:i/>
        </w:rPr>
        <w:t>r</w:t>
      </w:r>
      <w:r w:rsidR="005F1A24" w:rsidRPr="00180025">
        <w:t xml:space="preserve"> = 0.007). </w:t>
      </w:r>
      <w:r w:rsidR="00180025" w:rsidRPr="00180025">
        <w:t>The strongest effect size was recorded for user behaviour</w:t>
      </w:r>
      <w:r w:rsidR="00180025">
        <w:t xml:space="preserve"> </w:t>
      </w:r>
      <w:r w:rsidR="00180025" w:rsidRPr="00180025">
        <w:t>(</w:t>
      </w:r>
      <w:r w:rsidR="00180025" w:rsidRPr="00180025">
        <w:rPr>
          <w:i/>
        </w:rPr>
        <w:t>U</w:t>
      </w:r>
      <w:r w:rsidR="00180025" w:rsidRPr="00180025">
        <w:t xml:space="preserve"> = 69628.5, </w:t>
      </w:r>
      <w:r w:rsidR="00180025" w:rsidRPr="00180025">
        <w:rPr>
          <w:i/>
        </w:rPr>
        <w:t>z</w:t>
      </w:r>
      <w:r w:rsidR="00180025" w:rsidRPr="00180025">
        <w:t xml:space="preserve"> = -7.347, </w:t>
      </w:r>
      <w:r w:rsidR="00180025" w:rsidRPr="00180025">
        <w:rPr>
          <w:i/>
        </w:rPr>
        <w:t>p</w:t>
      </w:r>
      <w:r w:rsidR="00180025" w:rsidRPr="00180025">
        <w:t xml:space="preserve"> &lt; 0.0</w:t>
      </w:r>
      <w:r w:rsidR="00180025">
        <w:t>01</w:t>
      </w:r>
      <w:r w:rsidR="00180025" w:rsidRPr="00180025">
        <w:t xml:space="preserve">, </w:t>
      </w:r>
      <w:r w:rsidR="00180025" w:rsidRPr="00180025">
        <w:rPr>
          <w:i/>
        </w:rPr>
        <w:t>r</w:t>
      </w:r>
      <w:r w:rsidR="00180025" w:rsidRPr="00180025">
        <w:t xml:space="preserve"> = 0.</w:t>
      </w:r>
      <w:r w:rsidR="00180025">
        <w:t>237</w:t>
      </w:r>
      <w:r w:rsidR="00180025" w:rsidRPr="00180025">
        <w:t xml:space="preserve">), </w:t>
      </w:r>
      <w:r w:rsidR="00180025">
        <w:t xml:space="preserve">habit </w:t>
      </w:r>
      <w:r w:rsidR="00180025" w:rsidRPr="00180025">
        <w:t>(</w:t>
      </w:r>
      <w:r w:rsidR="00180025" w:rsidRPr="00180025">
        <w:rPr>
          <w:i/>
        </w:rPr>
        <w:t>U</w:t>
      </w:r>
      <w:r w:rsidR="00180025" w:rsidRPr="00180025">
        <w:t xml:space="preserve"> = 73672.5, </w:t>
      </w:r>
      <w:r w:rsidR="00180025" w:rsidRPr="00180025">
        <w:rPr>
          <w:i/>
        </w:rPr>
        <w:t>z</w:t>
      </w:r>
      <w:r w:rsidR="00180025" w:rsidRPr="00180025">
        <w:t xml:space="preserve"> = -6.259, </w:t>
      </w:r>
      <w:r w:rsidR="00180025" w:rsidRPr="00180025">
        <w:rPr>
          <w:i/>
        </w:rPr>
        <w:t>p</w:t>
      </w:r>
      <w:r w:rsidR="00180025" w:rsidRPr="00180025">
        <w:t xml:space="preserve"> &lt; 0.0</w:t>
      </w:r>
      <w:r w:rsidR="00180025">
        <w:t>01</w:t>
      </w:r>
      <w:r w:rsidR="00180025" w:rsidRPr="00180025">
        <w:t xml:space="preserve">, </w:t>
      </w:r>
      <w:r w:rsidR="00180025" w:rsidRPr="00180025">
        <w:rPr>
          <w:i/>
        </w:rPr>
        <w:t>r</w:t>
      </w:r>
      <w:r w:rsidR="00180025" w:rsidRPr="00180025">
        <w:t xml:space="preserve"> = 0.</w:t>
      </w:r>
      <w:r w:rsidR="00180025">
        <w:t>202</w:t>
      </w:r>
      <w:r w:rsidR="00180025" w:rsidRPr="00180025">
        <w:t>)</w:t>
      </w:r>
      <w:r w:rsidR="00180025">
        <w:t xml:space="preserve"> and behavioural intention </w:t>
      </w:r>
      <w:r w:rsidR="00180025" w:rsidRPr="00180025">
        <w:t>(</w:t>
      </w:r>
      <w:r w:rsidR="00180025" w:rsidRPr="00180025">
        <w:rPr>
          <w:i/>
        </w:rPr>
        <w:t>U</w:t>
      </w:r>
      <w:r w:rsidR="00180025" w:rsidRPr="00180025">
        <w:t xml:space="preserve"> = </w:t>
      </w:r>
      <w:r w:rsidR="00180025" w:rsidRPr="00FD4CAC">
        <w:t>79114</w:t>
      </w:r>
      <w:r w:rsidR="00180025" w:rsidRPr="00180025">
        <w:t xml:space="preserve">, </w:t>
      </w:r>
      <w:r w:rsidR="00180025" w:rsidRPr="00180025">
        <w:rPr>
          <w:i/>
        </w:rPr>
        <w:t>z</w:t>
      </w:r>
      <w:r w:rsidR="00180025" w:rsidRPr="00180025">
        <w:t xml:space="preserve"> = -4.921, </w:t>
      </w:r>
      <w:r w:rsidR="00180025" w:rsidRPr="00180025">
        <w:rPr>
          <w:i/>
        </w:rPr>
        <w:t>p</w:t>
      </w:r>
      <w:r w:rsidR="00180025" w:rsidRPr="00180025">
        <w:t xml:space="preserve"> &lt; 0.0</w:t>
      </w:r>
      <w:r w:rsidR="00180025">
        <w:t>01</w:t>
      </w:r>
      <w:r w:rsidR="00180025" w:rsidRPr="00180025">
        <w:t xml:space="preserve">, </w:t>
      </w:r>
      <w:r w:rsidR="00180025" w:rsidRPr="00180025">
        <w:rPr>
          <w:i/>
        </w:rPr>
        <w:t>r</w:t>
      </w:r>
      <w:r w:rsidR="00180025" w:rsidRPr="00180025">
        <w:t xml:space="preserve"> = 0.</w:t>
      </w:r>
      <w:r w:rsidR="00180025">
        <w:t>159</w:t>
      </w:r>
      <w:r w:rsidR="00180025" w:rsidRPr="00180025">
        <w:t>)</w:t>
      </w:r>
      <w:r w:rsidR="00180025">
        <w:t xml:space="preserve">. According to </w:t>
      </w:r>
      <w:r w:rsidR="00180025" w:rsidRPr="00180025">
        <w:rPr>
          <w:noProof/>
        </w:rPr>
        <w:t>Cohen</w:t>
      </w:r>
      <w:r w:rsidR="00180025">
        <w:rPr>
          <w:noProof/>
        </w:rPr>
        <w:t>’s</w:t>
      </w:r>
      <w:r w:rsidR="00180025">
        <w:t xml:space="preserve"> </w:t>
      </w:r>
      <w:r w:rsidR="00180025">
        <w:fldChar w:fldCharType="begin" w:fldLock="1"/>
      </w:r>
      <w:r w:rsidR="00B12E5D">
        <w:instrText>ADDIN CSL_CITATION {"citationItems":[{"id":"ITEM-1","itemData":{"ISBN":"9780805802832","abstract":"2nd ed. This is a nontechnical guide to power analysis in research planning that provides users of applied statistics with the tools they need for more effective analysis. The second edition includes: a chapter covering power analysis in set correlation and multivariate methods; a chapter considering effect size, psychometric reliability, and the efficacy of \"qualifying\" dependent variables and; expanded power and sample size tables for multiple regression/correlation. Chapter 1. The concepts of power analysis -- Chapter 2. The t test for means -- Chapter 3. The significance of a product moment r[sub s] -- Chapter 4. Differences between correlation coefficients -- Chapter 5. The test that a proportion is .50 and the sign test -- Chapter 6. Differences between proportions -- Chapter 7. Chi-square tests for goodness of fit and contingency tables -- Chapter 8. The analysis of variance and covariance -- Chapter 9. Multiple regression and correlation analysis -- Chapter 10. Set correlation and multivariate methods -- Chapter 11. Some issues in power analysis -- Chapter 12. Computational procedures.","author":[{"dropping-particle":"","family":"Cohen","given":"Jacob","non-dropping-particle":"","parse-names":false,"suffix":""}],"edition":"2","id":"ITEM-1","issued":{"date-parts":[["1988"]]},"number-of-pages":"567","publisher":"L. Erlbaum Associates","publisher-place":"United States of America","title":"Statistical power analysis for the behavioral sciences","type":"book"},"uris":["http://www.mendeley.com/documents/?uuid=5265271c-0e09-3abf-b037-96ac9ceddb90"]}],"mendeley":{"formattedCitation":"(Cohen, 1988)","plainTextFormattedCitation":"(Cohen, 1988)","previouslyFormattedCitation":"(Cohen, 1988)"},"properties":{"noteIndex":0},"schema":"https://github.com/citation-style-language/schema/raw/master/csl-citation.json"}</w:instrText>
      </w:r>
      <w:r w:rsidR="00180025">
        <w:fldChar w:fldCharType="separate"/>
      </w:r>
      <w:r w:rsidR="00B16657" w:rsidRPr="00B16657">
        <w:rPr>
          <w:noProof/>
        </w:rPr>
        <w:t>(Cohen, 1988)</w:t>
      </w:r>
      <w:r w:rsidR="00180025">
        <w:fldChar w:fldCharType="end"/>
      </w:r>
      <w:r w:rsidR="00180025">
        <w:t xml:space="preserve"> benchmarks, the above effect sizes were small to medium effect. </w:t>
      </w:r>
      <w:r w:rsidR="00CF22C7">
        <w:t xml:space="preserve">The other constructs manifested </w:t>
      </w:r>
      <w:r w:rsidR="00E6224D">
        <w:t xml:space="preserve">a </w:t>
      </w:r>
      <w:r w:rsidR="00CF22C7">
        <w:t xml:space="preserve">small effect size in </w:t>
      </w:r>
      <w:r w:rsidR="00E6224D">
        <w:t>employment status difference</w:t>
      </w:r>
      <w:r w:rsidR="00CF22C7">
        <w:t xml:space="preserve">s (see </w:t>
      </w:r>
      <w:r w:rsidR="007861F6">
        <w:t xml:space="preserve">the </w:t>
      </w:r>
      <w:r w:rsidR="00CF22C7">
        <w:t xml:space="preserve">last column of Table 4). </w:t>
      </w:r>
      <w:r w:rsidR="00AC1428" w:rsidRPr="00AC1428">
        <w:t>As has been noted</w:t>
      </w:r>
      <w:r w:rsidR="00842AA6" w:rsidRPr="00180025">
        <w:t xml:space="preserve">, </w:t>
      </w:r>
      <w:r w:rsidR="00AC1428">
        <w:t xml:space="preserve">those </w:t>
      </w:r>
      <w:r w:rsidR="00E6224D">
        <w:t>who</w:t>
      </w:r>
      <w:r w:rsidR="00AC1428">
        <w:t xml:space="preserve"> had a job (including self-employed) scored significantly higher in almost all the UTAUT2 constructs, indicat</w:t>
      </w:r>
      <w:r w:rsidR="00C36C70">
        <w:t>ing</w:t>
      </w:r>
      <w:r w:rsidR="00AC1428">
        <w:t xml:space="preserve"> the role of employment status in the technology adaption such as mobile banking</w:t>
      </w:r>
      <w:r w:rsidR="00842AA6" w:rsidRPr="00180025">
        <w:t xml:space="preserve">. </w:t>
      </w:r>
    </w:p>
    <w:p w14:paraId="6C62DA21" w14:textId="77777777" w:rsidR="00833F94" w:rsidRDefault="007C5CB6" w:rsidP="003A0B75">
      <w:pPr>
        <w:keepNext/>
        <w:jc w:val="center"/>
        <w:rPr>
          <w:lang w:val="en-US"/>
        </w:rPr>
      </w:pPr>
      <w:r>
        <w:rPr>
          <w:lang w:val="en-US"/>
        </w:rPr>
        <w:t xml:space="preserve">Table 4. </w:t>
      </w:r>
      <w:r w:rsidRPr="007C5CB6">
        <w:rPr>
          <w:lang w:val="en-US"/>
        </w:rPr>
        <w:t>Results of the Mann-Whitney test</w:t>
      </w:r>
      <w:r>
        <w:rPr>
          <w:lang w:val="en-US"/>
        </w:rPr>
        <w:t xml:space="preserve"> for employment status</w:t>
      </w:r>
    </w:p>
    <w:tbl>
      <w:tblPr>
        <w:tblStyle w:val="Mkatabulky"/>
        <w:tblW w:w="5000" w:type="pct"/>
        <w:jc w:val="center"/>
        <w:tblBorders>
          <w:insideH w:val="none" w:sz="0" w:space="0" w:color="auto"/>
          <w:insideV w:val="none" w:sz="0" w:space="0" w:color="auto"/>
        </w:tblBorders>
        <w:tblLook w:val="04A0" w:firstRow="1" w:lastRow="0" w:firstColumn="1" w:lastColumn="0" w:noHBand="0" w:noVBand="1"/>
      </w:tblPr>
      <w:tblGrid>
        <w:gridCol w:w="2619"/>
        <w:gridCol w:w="1515"/>
        <w:gridCol w:w="1553"/>
        <w:gridCol w:w="990"/>
        <w:gridCol w:w="833"/>
        <w:gridCol w:w="754"/>
        <w:gridCol w:w="752"/>
      </w:tblGrid>
      <w:tr w:rsidR="003D3C53" w:rsidRPr="00D8283E" w14:paraId="352777A3" w14:textId="77777777" w:rsidTr="00B16058">
        <w:trPr>
          <w:trHeight w:val="300"/>
          <w:jc w:val="center"/>
        </w:trPr>
        <w:tc>
          <w:tcPr>
            <w:tcW w:w="1453" w:type="pct"/>
            <w:tcBorders>
              <w:top w:val="single" w:sz="4" w:space="0" w:color="auto"/>
              <w:bottom w:val="nil"/>
            </w:tcBorders>
            <w:noWrap/>
          </w:tcPr>
          <w:p w14:paraId="275724F1" w14:textId="77777777" w:rsidR="003D3C53" w:rsidRPr="00D8283E" w:rsidRDefault="003D3C53" w:rsidP="00D8283E"/>
        </w:tc>
        <w:tc>
          <w:tcPr>
            <w:tcW w:w="1701" w:type="pct"/>
            <w:gridSpan w:val="2"/>
            <w:tcBorders>
              <w:top w:val="single" w:sz="4" w:space="0" w:color="auto"/>
              <w:bottom w:val="single" w:sz="4" w:space="0" w:color="auto"/>
              <w:right w:val="single" w:sz="4" w:space="0" w:color="auto"/>
            </w:tcBorders>
            <w:noWrap/>
          </w:tcPr>
          <w:p w14:paraId="553107CB" w14:textId="77777777" w:rsidR="003D3C53" w:rsidRPr="00D8283E" w:rsidRDefault="003D3C53" w:rsidP="003D3C53">
            <w:pPr>
              <w:jc w:val="center"/>
            </w:pPr>
            <w:r>
              <w:t>Mean r</w:t>
            </w:r>
            <w:r w:rsidRPr="00D8283E">
              <w:t>ank</w:t>
            </w:r>
            <w:r w:rsidR="00180025">
              <w:t xml:space="preserve"> (employed)</w:t>
            </w:r>
          </w:p>
        </w:tc>
        <w:tc>
          <w:tcPr>
            <w:tcW w:w="1847" w:type="pct"/>
            <w:gridSpan w:val="4"/>
            <w:tcBorders>
              <w:top w:val="single" w:sz="4" w:space="0" w:color="auto"/>
              <w:left w:val="single" w:sz="4" w:space="0" w:color="auto"/>
              <w:bottom w:val="single" w:sz="4" w:space="0" w:color="auto"/>
            </w:tcBorders>
            <w:noWrap/>
          </w:tcPr>
          <w:p w14:paraId="5504D335" w14:textId="77777777" w:rsidR="003D3C53" w:rsidRDefault="003D3C53" w:rsidP="003D3C53">
            <w:pPr>
              <w:jc w:val="center"/>
              <w:rPr>
                <w:i/>
              </w:rPr>
            </w:pPr>
            <w:r w:rsidRPr="00D8283E">
              <w:t>Mann-Whitney</w:t>
            </w:r>
          </w:p>
        </w:tc>
      </w:tr>
      <w:tr w:rsidR="003D3C53" w:rsidRPr="00D8283E" w14:paraId="4150328F" w14:textId="77777777" w:rsidTr="00B16058">
        <w:trPr>
          <w:trHeight w:val="300"/>
          <w:jc w:val="center"/>
        </w:trPr>
        <w:tc>
          <w:tcPr>
            <w:tcW w:w="1453" w:type="pct"/>
            <w:tcBorders>
              <w:top w:val="nil"/>
              <w:bottom w:val="single" w:sz="4" w:space="0" w:color="auto"/>
            </w:tcBorders>
            <w:noWrap/>
            <w:hideMark/>
          </w:tcPr>
          <w:p w14:paraId="46258AD2" w14:textId="77777777" w:rsidR="003D3C53" w:rsidRPr="00D8283E" w:rsidRDefault="003D3C53" w:rsidP="00D8283E"/>
        </w:tc>
        <w:tc>
          <w:tcPr>
            <w:tcW w:w="840" w:type="pct"/>
            <w:tcBorders>
              <w:top w:val="single" w:sz="4" w:space="0" w:color="auto"/>
              <w:bottom w:val="single" w:sz="4" w:space="0" w:color="auto"/>
            </w:tcBorders>
            <w:noWrap/>
            <w:hideMark/>
          </w:tcPr>
          <w:p w14:paraId="294B75A1" w14:textId="77777777" w:rsidR="003D3C53" w:rsidRPr="00D8283E" w:rsidRDefault="00C73002" w:rsidP="00C73002">
            <w:pPr>
              <w:jc w:val="center"/>
            </w:pPr>
            <w:r>
              <w:t>No</w:t>
            </w:r>
            <w:r w:rsidR="003D3C53">
              <w:t xml:space="preserve"> (</w:t>
            </w:r>
            <w:r w:rsidR="003D3C53" w:rsidRPr="00F10B08">
              <w:rPr>
                <w:i/>
              </w:rPr>
              <w:t>n</w:t>
            </w:r>
            <w:r w:rsidR="003D3C53">
              <w:t xml:space="preserve"> = </w:t>
            </w:r>
            <w:r>
              <w:t>298</w:t>
            </w:r>
            <w:r w:rsidR="003D3C53">
              <w:t>)</w:t>
            </w:r>
          </w:p>
        </w:tc>
        <w:tc>
          <w:tcPr>
            <w:tcW w:w="861" w:type="pct"/>
            <w:tcBorders>
              <w:top w:val="single" w:sz="4" w:space="0" w:color="auto"/>
              <w:bottom w:val="single" w:sz="4" w:space="0" w:color="auto"/>
              <w:right w:val="single" w:sz="4" w:space="0" w:color="auto"/>
            </w:tcBorders>
            <w:noWrap/>
            <w:hideMark/>
          </w:tcPr>
          <w:p w14:paraId="4EEC6513" w14:textId="77777777" w:rsidR="003D3C53" w:rsidRPr="00D8283E" w:rsidRDefault="00C73002" w:rsidP="00C73002">
            <w:pPr>
              <w:jc w:val="center"/>
            </w:pPr>
            <w:r>
              <w:t>Yes</w:t>
            </w:r>
            <w:r w:rsidR="003D3C53">
              <w:t xml:space="preserve"> (</w:t>
            </w:r>
            <w:r w:rsidR="003D3C53" w:rsidRPr="00F10B08">
              <w:rPr>
                <w:i/>
              </w:rPr>
              <w:t>n</w:t>
            </w:r>
            <w:r w:rsidR="003D3C53">
              <w:t xml:space="preserve"> = </w:t>
            </w:r>
            <w:r>
              <w:t>661</w:t>
            </w:r>
            <w:r w:rsidR="003D3C53">
              <w:t>)</w:t>
            </w:r>
          </w:p>
        </w:tc>
        <w:tc>
          <w:tcPr>
            <w:tcW w:w="549" w:type="pct"/>
            <w:tcBorders>
              <w:top w:val="single" w:sz="4" w:space="0" w:color="auto"/>
              <w:left w:val="single" w:sz="4" w:space="0" w:color="auto"/>
              <w:bottom w:val="single" w:sz="4" w:space="0" w:color="auto"/>
            </w:tcBorders>
            <w:noWrap/>
            <w:hideMark/>
          </w:tcPr>
          <w:p w14:paraId="5DEE5D99" w14:textId="77777777" w:rsidR="003D3C53" w:rsidRPr="00D8283E" w:rsidRDefault="003D3C53" w:rsidP="003D3C53">
            <w:pPr>
              <w:jc w:val="center"/>
            </w:pPr>
            <w:r w:rsidRPr="00D8283E">
              <w:t>U</w:t>
            </w:r>
          </w:p>
        </w:tc>
        <w:tc>
          <w:tcPr>
            <w:tcW w:w="462" w:type="pct"/>
            <w:tcBorders>
              <w:top w:val="single" w:sz="4" w:space="0" w:color="auto"/>
              <w:bottom w:val="single" w:sz="4" w:space="0" w:color="auto"/>
            </w:tcBorders>
            <w:noWrap/>
            <w:hideMark/>
          </w:tcPr>
          <w:p w14:paraId="1C898C4D" w14:textId="77777777" w:rsidR="003D3C53" w:rsidRPr="00833F94" w:rsidRDefault="003D3C53" w:rsidP="003D3C53">
            <w:pPr>
              <w:jc w:val="center"/>
              <w:rPr>
                <w:i/>
              </w:rPr>
            </w:pPr>
            <w:r w:rsidRPr="00833F94">
              <w:rPr>
                <w:i/>
              </w:rPr>
              <w:t>z</w:t>
            </w:r>
          </w:p>
        </w:tc>
        <w:tc>
          <w:tcPr>
            <w:tcW w:w="418" w:type="pct"/>
            <w:tcBorders>
              <w:top w:val="single" w:sz="4" w:space="0" w:color="auto"/>
              <w:bottom w:val="single" w:sz="4" w:space="0" w:color="auto"/>
            </w:tcBorders>
            <w:noWrap/>
            <w:hideMark/>
          </w:tcPr>
          <w:p w14:paraId="63D83804" w14:textId="77777777" w:rsidR="003D3C53" w:rsidRPr="00833F94" w:rsidRDefault="003D3C53" w:rsidP="003D3C53">
            <w:pPr>
              <w:jc w:val="center"/>
              <w:rPr>
                <w:i/>
              </w:rPr>
            </w:pPr>
            <w:r w:rsidRPr="00833F94">
              <w:rPr>
                <w:i/>
              </w:rPr>
              <w:t>p</w:t>
            </w:r>
          </w:p>
        </w:tc>
        <w:tc>
          <w:tcPr>
            <w:tcW w:w="418" w:type="pct"/>
            <w:tcBorders>
              <w:top w:val="single" w:sz="4" w:space="0" w:color="auto"/>
              <w:bottom w:val="single" w:sz="4" w:space="0" w:color="auto"/>
            </w:tcBorders>
          </w:tcPr>
          <w:p w14:paraId="78E9EDAE" w14:textId="77777777" w:rsidR="003D3C53" w:rsidRPr="00833F94" w:rsidRDefault="003D3C53" w:rsidP="003D3C53">
            <w:pPr>
              <w:jc w:val="center"/>
              <w:rPr>
                <w:i/>
              </w:rPr>
            </w:pPr>
            <w:r>
              <w:rPr>
                <w:i/>
              </w:rPr>
              <w:t>r</w:t>
            </w:r>
          </w:p>
        </w:tc>
      </w:tr>
      <w:tr w:rsidR="00B16443" w:rsidRPr="00D8283E" w14:paraId="069B6B83" w14:textId="77777777" w:rsidTr="00B16058">
        <w:trPr>
          <w:trHeight w:val="300"/>
          <w:jc w:val="center"/>
        </w:trPr>
        <w:tc>
          <w:tcPr>
            <w:tcW w:w="1453" w:type="pct"/>
            <w:tcBorders>
              <w:top w:val="single" w:sz="4" w:space="0" w:color="auto"/>
            </w:tcBorders>
            <w:noWrap/>
            <w:hideMark/>
          </w:tcPr>
          <w:p w14:paraId="3CB065A6" w14:textId="77777777" w:rsidR="00B16443" w:rsidRPr="00D8283E" w:rsidRDefault="00B16443" w:rsidP="00B16443">
            <w:r>
              <w:t>Behavioural intention</w:t>
            </w:r>
          </w:p>
        </w:tc>
        <w:tc>
          <w:tcPr>
            <w:tcW w:w="840" w:type="pct"/>
            <w:tcBorders>
              <w:top w:val="single" w:sz="4" w:space="0" w:color="auto"/>
              <w:bottom w:val="nil"/>
            </w:tcBorders>
            <w:noWrap/>
          </w:tcPr>
          <w:p w14:paraId="56387901" w14:textId="77777777" w:rsidR="00B16443" w:rsidRPr="00D8283E" w:rsidRDefault="00B16443" w:rsidP="00B16443">
            <w:pPr>
              <w:jc w:val="center"/>
            </w:pPr>
            <w:r w:rsidRPr="00FD4CAC">
              <w:t>414.98</w:t>
            </w:r>
          </w:p>
        </w:tc>
        <w:tc>
          <w:tcPr>
            <w:tcW w:w="861" w:type="pct"/>
            <w:tcBorders>
              <w:top w:val="single" w:sz="4" w:space="0" w:color="auto"/>
              <w:bottom w:val="nil"/>
              <w:right w:val="single" w:sz="4" w:space="0" w:color="auto"/>
            </w:tcBorders>
            <w:noWrap/>
            <w:hideMark/>
          </w:tcPr>
          <w:p w14:paraId="4F870430" w14:textId="77777777" w:rsidR="00B16443" w:rsidRPr="00D8283E" w:rsidRDefault="00B16443" w:rsidP="00B16443">
            <w:pPr>
              <w:jc w:val="center"/>
            </w:pPr>
            <w:r w:rsidRPr="00FD4CAC">
              <w:t>509.31</w:t>
            </w:r>
          </w:p>
        </w:tc>
        <w:tc>
          <w:tcPr>
            <w:tcW w:w="549" w:type="pct"/>
            <w:tcBorders>
              <w:top w:val="single" w:sz="4" w:space="0" w:color="auto"/>
              <w:left w:val="single" w:sz="4" w:space="0" w:color="auto"/>
              <w:bottom w:val="nil"/>
            </w:tcBorders>
            <w:noWrap/>
            <w:hideMark/>
          </w:tcPr>
          <w:p w14:paraId="09B883B3" w14:textId="77777777" w:rsidR="00B16443" w:rsidRPr="00D8283E" w:rsidRDefault="00B16443" w:rsidP="00B16443">
            <w:pPr>
              <w:jc w:val="right"/>
            </w:pPr>
            <w:r w:rsidRPr="00FD4CAC">
              <w:t>79114</w:t>
            </w:r>
          </w:p>
        </w:tc>
        <w:tc>
          <w:tcPr>
            <w:tcW w:w="462" w:type="pct"/>
            <w:tcBorders>
              <w:top w:val="single" w:sz="4" w:space="0" w:color="auto"/>
              <w:bottom w:val="nil"/>
            </w:tcBorders>
            <w:noWrap/>
            <w:hideMark/>
          </w:tcPr>
          <w:p w14:paraId="06A130D7" w14:textId="77777777" w:rsidR="00B16443" w:rsidRPr="00D8283E" w:rsidRDefault="00B16443" w:rsidP="00B16443">
            <w:pPr>
              <w:jc w:val="center"/>
            </w:pPr>
            <w:r w:rsidRPr="00FD4CAC">
              <w:t>-4.921</w:t>
            </w:r>
          </w:p>
        </w:tc>
        <w:tc>
          <w:tcPr>
            <w:tcW w:w="418" w:type="pct"/>
            <w:tcBorders>
              <w:top w:val="single" w:sz="4" w:space="0" w:color="auto"/>
              <w:bottom w:val="nil"/>
            </w:tcBorders>
            <w:noWrap/>
            <w:hideMark/>
          </w:tcPr>
          <w:p w14:paraId="70DB4E2B" w14:textId="77777777" w:rsidR="00B16443" w:rsidRPr="00A51B6C" w:rsidRDefault="00B16443" w:rsidP="00B16443">
            <w:pPr>
              <w:jc w:val="center"/>
            </w:pPr>
            <w:r w:rsidRPr="00A51B6C">
              <w:t>0.000</w:t>
            </w:r>
          </w:p>
        </w:tc>
        <w:tc>
          <w:tcPr>
            <w:tcW w:w="418" w:type="pct"/>
            <w:tcBorders>
              <w:top w:val="single" w:sz="4" w:space="0" w:color="auto"/>
              <w:bottom w:val="nil"/>
            </w:tcBorders>
          </w:tcPr>
          <w:p w14:paraId="2852ABF4" w14:textId="77777777" w:rsidR="00B16443" w:rsidRPr="00D8283E" w:rsidRDefault="00B16443" w:rsidP="00B16443">
            <w:pPr>
              <w:jc w:val="center"/>
            </w:pPr>
            <w:r w:rsidRPr="00FD4CAC">
              <w:t>0.159</w:t>
            </w:r>
          </w:p>
        </w:tc>
      </w:tr>
      <w:tr w:rsidR="00B16443" w:rsidRPr="00D8283E" w14:paraId="7177F3A5" w14:textId="77777777" w:rsidTr="00B16058">
        <w:trPr>
          <w:trHeight w:val="300"/>
          <w:jc w:val="center"/>
        </w:trPr>
        <w:tc>
          <w:tcPr>
            <w:tcW w:w="1453" w:type="pct"/>
            <w:noWrap/>
            <w:hideMark/>
          </w:tcPr>
          <w:p w14:paraId="13783917" w14:textId="77777777" w:rsidR="00B16443" w:rsidRPr="00D8283E" w:rsidRDefault="00B16443" w:rsidP="00B16443">
            <w:r>
              <w:rPr>
                <w:lang w:val="en-US"/>
              </w:rPr>
              <w:t>Effort expectancy</w:t>
            </w:r>
          </w:p>
        </w:tc>
        <w:tc>
          <w:tcPr>
            <w:tcW w:w="840" w:type="pct"/>
            <w:tcBorders>
              <w:top w:val="nil"/>
              <w:bottom w:val="nil"/>
            </w:tcBorders>
            <w:noWrap/>
          </w:tcPr>
          <w:p w14:paraId="0632D930" w14:textId="77777777" w:rsidR="00B16443" w:rsidRPr="00D8283E" w:rsidRDefault="00B16443" w:rsidP="00B16443">
            <w:pPr>
              <w:jc w:val="center"/>
            </w:pPr>
            <w:r w:rsidRPr="00FD4CAC">
              <w:t>454.05</w:t>
            </w:r>
          </w:p>
        </w:tc>
        <w:tc>
          <w:tcPr>
            <w:tcW w:w="861" w:type="pct"/>
            <w:tcBorders>
              <w:top w:val="nil"/>
              <w:bottom w:val="nil"/>
              <w:right w:val="single" w:sz="4" w:space="0" w:color="auto"/>
            </w:tcBorders>
            <w:noWrap/>
            <w:hideMark/>
          </w:tcPr>
          <w:p w14:paraId="67C2B1E5" w14:textId="77777777" w:rsidR="00B16443" w:rsidRPr="00D8283E" w:rsidRDefault="00B16443" w:rsidP="00B16443">
            <w:pPr>
              <w:jc w:val="center"/>
            </w:pPr>
            <w:r w:rsidRPr="00FD4CAC">
              <w:t>491.70</w:t>
            </w:r>
          </w:p>
        </w:tc>
        <w:tc>
          <w:tcPr>
            <w:tcW w:w="549" w:type="pct"/>
            <w:tcBorders>
              <w:top w:val="nil"/>
              <w:left w:val="single" w:sz="4" w:space="0" w:color="auto"/>
              <w:bottom w:val="nil"/>
            </w:tcBorders>
            <w:noWrap/>
            <w:hideMark/>
          </w:tcPr>
          <w:p w14:paraId="332F8585" w14:textId="77777777" w:rsidR="00B16443" w:rsidRPr="00D8283E" w:rsidRDefault="00B16443" w:rsidP="00B16443">
            <w:pPr>
              <w:jc w:val="right"/>
            </w:pPr>
            <w:r w:rsidRPr="00FD4CAC">
              <w:t>90754.5</w:t>
            </w:r>
          </w:p>
        </w:tc>
        <w:tc>
          <w:tcPr>
            <w:tcW w:w="462" w:type="pct"/>
            <w:tcBorders>
              <w:top w:val="nil"/>
              <w:bottom w:val="nil"/>
            </w:tcBorders>
            <w:noWrap/>
            <w:hideMark/>
          </w:tcPr>
          <w:p w14:paraId="4122054D" w14:textId="77777777" w:rsidR="00B16443" w:rsidRPr="00D8283E" w:rsidRDefault="00B16443" w:rsidP="00B16443">
            <w:pPr>
              <w:jc w:val="center"/>
            </w:pPr>
            <w:r w:rsidRPr="00FD4CAC">
              <w:t>-2.014</w:t>
            </w:r>
          </w:p>
        </w:tc>
        <w:tc>
          <w:tcPr>
            <w:tcW w:w="418" w:type="pct"/>
            <w:tcBorders>
              <w:top w:val="nil"/>
              <w:bottom w:val="nil"/>
            </w:tcBorders>
            <w:noWrap/>
            <w:hideMark/>
          </w:tcPr>
          <w:p w14:paraId="51322779" w14:textId="77777777" w:rsidR="00B16443" w:rsidRPr="00A51B6C" w:rsidRDefault="00B16443" w:rsidP="00B16443">
            <w:pPr>
              <w:jc w:val="center"/>
            </w:pPr>
            <w:r w:rsidRPr="00A51B6C">
              <w:t>0.044</w:t>
            </w:r>
          </w:p>
        </w:tc>
        <w:tc>
          <w:tcPr>
            <w:tcW w:w="418" w:type="pct"/>
            <w:tcBorders>
              <w:top w:val="nil"/>
              <w:bottom w:val="nil"/>
            </w:tcBorders>
          </w:tcPr>
          <w:p w14:paraId="0C213842" w14:textId="77777777" w:rsidR="00B16443" w:rsidRPr="00D8283E" w:rsidRDefault="00B16443" w:rsidP="00B16443">
            <w:pPr>
              <w:jc w:val="center"/>
            </w:pPr>
            <w:r w:rsidRPr="00FD4CAC">
              <w:t>0.065</w:t>
            </w:r>
          </w:p>
        </w:tc>
      </w:tr>
      <w:tr w:rsidR="00B16443" w:rsidRPr="00D8283E" w14:paraId="1252015E" w14:textId="77777777" w:rsidTr="00B16058">
        <w:trPr>
          <w:trHeight w:val="300"/>
          <w:jc w:val="center"/>
        </w:trPr>
        <w:tc>
          <w:tcPr>
            <w:tcW w:w="1453" w:type="pct"/>
            <w:noWrap/>
            <w:hideMark/>
          </w:tcPr>
          <w:p w14:paraId="21CAFF93" w14:textId="77777777" w:rsidR="00B16443" w:rsidRPr="00D8283E" w:rsidRDefault="00B16443" w:rsidP="00B16443">
            <w:r>
              <w:rPr>
                <w:lang w:val="en-US"/>
              </w:rPr>
              <w:t>Facilitation conditions</w:t>
            </w:r>
          </w:p>
        </w:tc>
        <w:tc>
          <w:tcPr>
            <w:tcW w:w="840" w:type="pct"/>
            <w:tcBorders>
              <w:top w:val="nil"/>
              <w:bottom w:val="nil"/>
            </w:tcBorders>
            <w:noWrap/>
          </w:tcPr>
          <w:p w14:paraId="03BB5CFC" w14:textId="77777777" w:rsidR="00B16443" w:rsidRPr="00D8283E" w:rsidRDefault="00B16443" w:rsidP="00B16443">
            <w:pPr>
              <w:jc w:val="center"/>
            </w:pPr>
            <w:r w:rsidRPr="00FD4CAC">
              <w:t>435.57</w:t>
            </w:r>
          </w:p>
        </w:tc>
        <w:tc>
          <w:tcPr>
            <w:tcW w:w="861" w:type="pct"/>
            <w:tcBorders>
              <w:top w:val="nil"/>
              <w:bottom w:val="nil"/>
              <w:right w:val="single" w:sz="4" w:space="0" w:color="auto"/>
            </w:tcBorders>
            <w:noWrap/>
            <w:hideMark/>
          </w:tcPr>
          <w:p w14:paraId="45EAD3F6" w14:textId="77777777" w:rsidR="00B16443" w:rsidRPr="00D8283E" w:rsidRDefault="00B16443" w:rsidP="00B16443">
            <w:pPr>
              <w:jc w:val="center"/>
            </w:pPr>
            <w:r w:rsidRPr="00FD4CAC">
              <w:t>500.03</w:t>
            </w:r>
          </w:p>
        </w:tc>
        <w:tc>
          <w:tcPr>
            <w:tcW w:w="549" w:type="pct"/>
            <w:tcBorders>
              <w:top w:val="nil"/>
              <w:left w:val="single" w:sz="4" w:space="0" w:color="auto"/>
              <w:bottom w:val="nil"/>
            </w:tcBorders>
            <w:noWrap/>
            <w:hideMark/>
          </w:tcPr>
          <w:p w14:paraId="5CD268D8" w14:textId="77777777" w:rsidR="00B16443" w:rsidRPr="00D8283E" w:rsidRDefault="00B16443" w:rsidP="00B16443">
            <w:pPr>
              <w:jc w:val="right"/>
            </w:pPr>
            <w:r w:rsidRPr="00FD4CAC">
              <w:t>85248.5</w:t>
            </w:r>
          </w:p>
        </w:tc>
        <w:tc>
          <w:tcPr>
            <w:tcW w:w="462" w:type="pct"/>
            <w:tcBorders>
              <w:top w:val="nil"/>
              <w:bottom w:val="nil"/>
            </w:tcBorders>
            <w:noWrap/>
            <w:hideMark/>
          </w:tcPr>
          <w:p w14:paraId="0F0D1691" w14:textId="77777777" w:rsidR="00B16443" w:rsidRPr="00D8283E" w:rsidRDefault="00B16443" w:rsidP="00B16443">
            <w:pPr>
              <w:jc w:val="center"/>
            </w:pPr>
            <w:r w:rsidRPr="00FD4CAC">
              <w:t>-3.439</w:t>
            </w:r>
          </w:p>
        </w:tc>
        <w:tc>
          <w:tcPr>
            <w:tcW w:w="418" w:type="pct"/>
            <w:tcBorders>
              <w:top w:val="nil"/>
              <w:bottom w:val="nil"/>
            </w:tcBorders>
            <w:noWrap/>
            <w:hideMark/>
          </w:tcPr>
          <w:p w14:paraId="042761F7" w14:textId="77777777" w:rsidR="00B16443" w:rsidRPr="00A51B6C" w:rsidRDefault="00B16443" w:rsidP="00B16443">
            <w:pPr>
              <w:jc w:val="center"/>
            </w:pPr>
            <w:r w:rsidRPr="00A51B6C">
              <w:t>0.001</w:t>
            </w:r>
          </w:p>
        </w:tc>
        <w:tc>
          <w:tcPr>
            <w:tcW w:w="418" w:type="pct"/>
            <w:tcBorders>
              <w:top w:val="nil"/>
              <w:bottom w:val="nil"/>
            </w:tcBorders>
          </w:tcPr>
          <w:p w14:paraId="75E5F76D" w14:textId="77777777" w:rsidR="00B16443" w:rsidRPr="00D8283E" w:rsidRDefault="00B16443" w:rsidP="00B16443">
            <w:pPr>
              <w:jc w:val="center"/>
            </w:pPr>
            <w:r w:rsidRPr="00FD4CAC">
              <w:t>0.111</w:t>
            </w:r>
          </w:p>
        </w:tc>
      </w:tr>
      <w:tr w:rsidR="00B16443" w:rsidRPr="00D8283E" w14:paraId="0E733876" w14:textId="77777777" w:rsidTr="00B16058">
        <w:trPr>
          <w:trHeight w:val="300"/>
          <w:jc w:val="center"/>
        </w:trPr>
        <w:tc>
          <w:tcPr>
            <w:tcW w:w="1453" w:type="pct"/>
            <w:noWrap/>
            <w:hideMark/>
          </w:tcPr>
          <w:p w14:paraId="6F0B34DC" w14:textId="77777777" w:rsidR="00B16443" w:rsidRPr="00D8283E" w:rsidRDefault="00B16443" w:rsidP="00B16443">
            <w:r>
              <w:t>Habit</w:t>
            </w:r>
          </w:p>
        </w:tc>
        <w:tc>
          <w:tcPr>
            <w:tcW w:w="840" w:type="pct"/>
            <w:tcBorders>
              <w:top w:val="nil"/>
              <w:bottom w:val="nil"/>
            </w:tcBorders>
            <w:noWrap/>
          </w:tcPr>
          <w:p w14:paraId="1BF7C13A" w14:textId="77777777" w:rsidR="00B16443" w:rsidRPr="00D8283E" w:rsidRDefault="00B16443" w:rsidP="00B16443">
            <w:pPr>
              <w:jc w:val="center"/>
            </w:pPr>
            <w:r w:rsidRPr="00FD4CAC">
              <w:t>396.72</w:t>
            </w:r>
          </w:p>
        </w:tc>
        <w:tc>
          <w:tcPr>
            <w:tcW w:w="861" w:type="pct"/>
            <w:tcBorders>
              <w:top w:val="nil"/>
              <w:bottom w:val="nil"/>
              <w:right w:val="single" w:sz="4" w:space="0" w:color="auto"/>
            </w:tcBorders>
            <w:noWrap/>
            <w:hideMark/>
          </w:tcPr>
          <w:p w14:paraId="0ABC97BA" w14:textId="77777777" w:rsidR="00B16443" w:rsidRPr="00D8283E" w:rsidRDefault="00B16443" w:rsidP="00B16443">
            <w:pPr>
              <w:jc w:val="center"/>
            </w:pPr>
            <w:r w:rsidRPr="00FD4CAC">
              <w:t>517.54</w:t>
            </w:r>
          </w:p>
        </w:tc>
        <w:tc>
          <w:tcPr>
            <w:tcW w:w="549" w:type="pct"/>
            <w:tcBorders>
              <w:top w:val="nil"/>
              <w:left w:val="single" w:sz="4" w:space="0" w:color="auto"/>
              <w:bottom w:val="nil"/>
            </w:tcBorders>
            <w:noWrap/>
            <w:hideMark/>
          </w:tcPr>
          <w:p w14:paraId="00158341" w14:textId="77777777" w:rsidR="00B16443" w:rsidRPr="00D8283E" w:rsidRDefault="00B16443" w:rsidP="00B16443">
            <w:pPr>
              <w:jc w:val="right"/>
            </w:pPr>
            <w:r w:rsidRPr="00FD4CAC">
              <w:t>73672.5</w:t>
            </w:r>
          </w:p>
        </w:tc>
        <w:tc>
          <w:tcPr>
            <w:tcW w:w="462" w:type="pct"/>
            <w:tcBorders>
              <w:top w:val="nil"/>
              <w:bottom w:val="nil"/>
            </w:tcBorders>
            <w:noWrap/>
            <w:hideMark/>
          </w:tcPr>
          <w:p w14:paraId="54590F6E" w14:textId="77777777" w:rsidR="00B16443" w:rsidRPr="00D8283E" w:rsidRDefault="00B16443" w:rsidP="00B16443">
            <w:pPr>
              <w:jc w:val="center"/>
            </w:pPr>
            <w:r w:rsidRPr="00FD4CAC">
              <w:t>-6.259</w:t>
            </w:r>
          </w:p>
        </w:tc>
        <w:tc>
          <w:tcPr>
            <w:tcW w:w="418" w:type="pct"/>
            <w:tcBorders>
              <w:top w:val="nil"/>
              <w:bottom w:val="nil"/>
            </w:tcBorders>
            <w:noWrap/>
            <w:hideMark/>
          </w:tcPr>
          <w:p w14:paraId="77B1DF5A" w14:textId="77777777" w:rsidR="00B16443" w:rsidRPr="00A51B6C" w:rsidRDefault="00B16443" w:rsidP="00B16443">
            <w:pPr>
              <w:jc w:val="center"/>
            </w:pPr>
            <w:r w:rsidRPr="00A51B6C">
              <w:t>0.000</w:t>
            </w:r>
          </w:p>
        </w:tc>
        <w:tc>
          <w:tcPr>
            <w:tcW w:w="418" w:type="pct"/>
            <w:tcBorders>
              <w:top w:val="nil"/>
              <w:bottom w:val="nil"/>
            </w:tcBorders>
          </w:tcPr>
          <w:p w14:paraId="7DD278DA" w14:textId="77777777" w:rsidR="00B16443" w:rsidRPr="00D8283E" w:rsidRDefault="00B16443" w:rsidP="00B16443">
            <w:pPr>
              <w:jc w:val="center"/>
            </w:pPr>
            <w:r w:rsidRPr="00FD4CAC">
              <w:t>0.202</w:t>
            </w:r>
          </w:p>
        </w:tc>
      </w:tr>
      <w:tr w:rsidR="00B16443" w:rsidRPr="00D8283E" w14:paraId="73F0D603" w14:textId="77777777" w:rsidTr="00B16058">
        <w:trPr>
          <w:trHeight w:val="300"/>
          <w:jc w:val="center"/>
        </w:trPr>
        <w:tc>
          <w:tcPr>
            <w:tcW w:w="1453" w:type="pct"/>
            <w:noWrap/>
            <w:hideMark/>
          </w:tcPr>
          <w:p w14:paraId="7549C4AE" w14:textId="77777777" w:rsidR="00B16443" w:rsidRPr="00D8283E" w:rsidRDefault="00B16443" w:rsidP="00B16443">
            <w:r>
              <w:rPr>
                <w:lang w:val="en-US"/>
              </w:rPr>
              <w:t>Hedonic motivation</w:t>
            </w:r>
          </w:p>
        </w:tc>
        <w:tc>
          <w:tcPr>
            <w:tcW w:w="840" w:type="pct"/>
            <w:tcBorders>
              <w:top w:val="nil"/>
              <w:bottom w:val="nil"/>
            </w:tcBorders>
            <w:noWrap/>
          </w:tcPr>
          <w:p w14:paraId="2A0B41CC" w14:textId="77777777" w:rsidR="00B16443" w:rsidRPr="00D8283E" w:rsidRDefault="00B16443" w:rsidP="00B16443">
            <w:pPr>
              <w:jc w:val="center"/>
            </w:pPr>
            <w:r w:rsidRPr="00FD4CAC">
              <w:t>477.30</w:t>
            </w:r>
          </w:p>
        </w:tc>
        <w:tc>
          <w:tcPr>
            <w:tcW w:w="861" w:type="pct"/>
            <w:tcBorders>
              <w:top w:val="nil"/>
              <w:bottom w:val="nil"/>
              <w:right w:val="single" w:sz="4" w:space="0" w:color="auto"/>
            </w:tcBorders>
            <w:noWrap/>
            <w:hideMark/>
          </w:tcPr>
          <w:p w14:paraId="0CE7E8E2" w14:textId="77777777" w:rsidR="00B16443" w:rsidRPr="00D8283E" w:rsidRDefault="00B16443" w:rsidP="00B16443">
            <w:pPr>
              <w:jc w:val="center"/>
            </w:pPr>
            <w:r w:rsidRPr="00FD4CAC">
              <w:t>481.22</w:t>
            </w:r>
          </w:p>
        </w:tc>
        <w:tc>
          <w:tcPr>
            <w:tcW w:w="549" w:type="pct"/>
            <w:tcBorders>
              <w:top w:val="nil"/>
              <w:left w:val="single" w:sz="4" w:space="0" w:color="auto"/>
              <w:bottom w:val="nil"/>
            </w:tcBorders>
            <w:noWrap/>
            <w:hideMark/>
          </w:tcPr>
          <w:p w14:paraId="37DDDB4D" w14:textId="77777777" w:rsidR="00B16443" w:rsidRPr="00D8283E" w:rsidRDefault="00B16443" w:rsidP="00B16443">
            <w:pPr>
              <w:jc w:val="right"/>
            </w:pPr>
            <w:r w:rsidRPr="00FD4CAC">
              <w:t>97683.5</w:t>
            </w:r>
          </w:p>
        </w:tc>
        <w:tc>
          <w:tcPr>
            <w:tcW w:w="462" w:type="pct"/>
            <w:tcBorders>
              <w:top w:val="nil"/>
              <w:bottom w:val="nil"/>
            </w:tcBorders>
            <w:noWrap/>
            <w:hideMark/>
          </w:tcPr>
          <w:p w14:paraId="5532F176" w14:textId="77777777" w:rsidR="00B16443" w:rsidRPr="00D8283E" w:rsidRDefault="00B16443" w:rsidP="00B16443">
            <w:pPr>
              <w:jc w:val="center"/>
            </w:pPr>
            <w:r w:rsidRPr="00FD4CAC">
              <w:t>-0.203</w:t>
            </w:r>
          </w:p>
        </w:tc>
        <w:tc>
          <w:tcPr>
            <w:tcW w:w="418" w:type="pct"/>
            <w:tcBorders>
              <w:top w:val="nil"/>
              <w:bottom w:val="nil"/>
            </w:tcBorders>
            <w:noWrap/>
            <w:hideMark/>
          </w:tcPr>
          <w:p w14:paraId="1E662991" w14:textId="77777777" w:rsidR="00B16443" w:rsidRPr="00A51B6C" w:rsidRDefault="00B16443" w:rsidP="00B16443">
            <w:pPr>
              <w:jc w:val="center"/>
            </w:pPr>
            <w:r w:rsidRPr="00A51B6C">
              <w:t>0.839</w:t>
            </w:r>
          </w:p>
        </w:tc>
        <w:tc>
          <w:tcPr>
            <w:tcW w:w="418" w:type="pct"/>
            <w:tcBorders>
              <w:top w:val="nil"/>
              <w:bottom w:val="nil"/>
            </w:tcBorders>
          </w:tcPr>
          <w:p w14:paraId="50555027" w14:textId="77777777" w:rsidR="00B16443" w:rsidRPr="00D8283E" w:rsidRDefault="00B16443" w:rsidP="00B16443">
            <w:pPr>
              <w:jc w:val="center"/>
            </w:pPr>
            <w:r w:rsidRPr="00FD4CAC">
              <w:t>0.007</w:t>
            </w:r>
          </w:p>
        </w:tc>
      </w:tr>
      <w:tr w:rsidR="00B16443" w:rsidRPr="00D8283E" w14:paraId="477D90A7" w14:textId="77777777" w:rsidTr="00B16058">
        <w:trPr>
          <w:trHeight w:val="300"/>
          <w:jc w:val="center"/>
        </w:trPr>
        <w:tc>
          <w:tcPr>
            <w:tcW w:w="1453" w:type="pct"/>
            <w:noWrap/>
            <w:hideMark/>
          </w:tcPr>
          <w:p w14:paraId="794F15DD" w14:textId="77777777" w:rsidR="00B16443" w:rsidRPr="00D8283E" w:rsidRDefault="00B16443" w:rsidP="00B16443">
            <w:r>
              <w:rPr>
                <w:lang w:val="en-US"/>
              </w:rPr>
              <w:t>Performance expectancy</w:t>
            </w:r>
          </w:p>
        </w:tc>
        <w:tc>
          <w:tcPr>
            <w:tcW w:w="840" w:type="pct"/>
            <w:tcBorders>
              <w:top w:val="nil"/>
              <w:bottom w:val="nil"/>
            </w:tcBorders>
            <w:noWrap/>
          </w:tcPr>
          <w:p w14:paraId="6A06CB53" w14:textId="77777777" w:rsidR="00B16443" w:rsidRPr="00D8283E" w:rsidRDefault="00B16443" w:rsidP="00B16443">
            <w:pPr>
              <w:jc w:val="center"/>
            </w:pPr>
            <w:r w:rsidRPr="00FD4CAC">
              <w:t>441.29</w:t>
            </w:r>
          </w:p>
        </w:tc>
        <w:tc>
          <w:tcPr>
            <w:tcW w:w="861" w:type="pct"/>
            <w:tcBorders>
              <w:top w:val="nil"/>
              <w:bottom w:val="nil"/>
              <w:right w:val="single" w:sz="4" w:space="0" w:color="auto"/>
            </w:tcBorders>
            <w:noWrap/>
            <w:hideMark/>
          </w:tcPr>
          <w:p w14:paraId="21B31BBA" w14:textId="77777777" w:rsidR="00B16443" w:rsidRPr="00D8283E" w:rsidRDefault="00B16443" w:rsidP="00B16443">
            <w:pPr>
              <w:jc w:val="center"/>
            </w:pPr>
            <w:r w:rsidRPr="00FD4CAC">
              <w:t>497.45</w:t>
            </w:r>
          </w:p>
        </w:tc>
        <w:tc>
          <w:tcPr>
            <w:tcW w:w="549" w:type="pct"/>
            <w:tcBorders>
              <w:top w:val="nil"/>
              <w:left w:val="single" w:sz="4" w:space="0" w:color="auto"/>
              <w:bottom w:val="nil"/>
            </w:tcBorders>
            <w:noWrap/>
            <w:hideMark/>
          </w:tcPr>
          <w:p w14:paraId="6F3B699C" w14:textId="77777777" w:rsidR="00B16443" w:rsidRPr="00D8283E" w:rsidRDefault="00B16443" w:rsidP="00B16443">
            <w:pPr>
              <w:jc w:val="right"/>
            </w:pPr>
            <w:r w:rsidRPr="00FD4CAC">
              <w:t>86952.5</w:t>
            </w:r>
          </w:p>
        </w:tc>
        <w:tc>
          <w:tcPr>
            <w:tcW w:w="462" w:type="pct"/>
            <w:tcBorders>
              <w:top w:val="nil"/>
              <w:bottom w:val="nil"/>
            </w:tcBorders>
            <w:noWrap/>
            <w:hideMark/>
          </w:tcPr>
          <w:p w14:paraId="554F8AF8" w14:textId="77777777" w:rsidR="00B16443" w:rsidRPr="00D8283E" w:rsidRDefault="00B16443" w:rsidP="00B16443">
            <w:pPr>
              <w:jc w:val="center"/>
            </w:pPr>
            <w:r w:rsidRPr="00FD4CAC">
              <w:t>-2.942</w:t>
            </w:r>
          </w:p>
        </w:tc>
        <w:tc>
          <w:tcPr>
            <w:tcW w:w="418" w:type="pct"/>
            <w:tcBorders>
              <w:top w:val="nil"/>
              <w:bottom w:val="nil"/>
            </w:tcBorders>
            <w:noWrap/>
            <w:hideMark/>
          </w:tcPr>
          <w:p w14:paraId="67932B53" w14:textId="77777777" w:rsidR="00B16443" w:rsidRPr="00A51B6C" w:rsidRDefault="00B16443" w:rsidP="00B16443">
            <w:pPr>
              <w:jc w:val="center"/>
            </w:pPr>
            <w:r w:rsidRPr="00A51B6C">
              <w:t>0.003</w:t>
            </w:r>
          </w:p>
        </w:tc>
        <w:tc>
          <w:tcPr>
            <w:tcW w:w="418" w:type="pct"/>
            <w:tcBorders>
              <w:top w:val="nil"/>
              <w:bottom w:val="nil"/>
            </w:tcBorders>
          </w:tcPr>
          <w:p w14:paraId="13F20A30" w14:textId="77777777" w:rsidR="00B16443" w:rsidRPr="00D8283E" w:rsidRDefault="00B16443" w:rsidP="00B16443">
            <w:pPr>
              <w:jc w:val="center"/>
            </w:pPr>
            <w:r w:rsidRPr="00FD4CAC">
              <w:t>0.095</w:t>
            </w:r>
          </w:p>
        </w:tc>
      </w:tr>
      <w:tr w:rsidR="00B16443" w:rsidRPr="00D8283E" w14:paraId="6A58BF4E" w14:textId="77777777" w:rsidTr="00B16058">
        <w:trPr>
          <w:trHeight w:val="300"/>
          <w:jc w:val="center"/>
        </w:trPr>
        <w:tc>
          <w:tcPr>
            <w:tcW w:w="1453" w:type="pct"/>
            <w:noWrap/>
            <w:hideMark/>
          </w:tcPr>
          <w:p w14:paraId="37233FDE" w14:textId="77777777" w:rsidR="00B16443" w:rsidRPr="00D8283E" w:rsidRDefault="00B16443" w:rsidP="00B16443">
            <w:r>
              <w:rPr>
                <w:lang w:val="en-US"/>
              </w:rPr>
              <w:t>Social influence</w:t>
            </w:r>
          </w:p>
        </w:tc>
        <w:tc>
          <w:tcPr>
            <w:tcW w:w="840" w:type="pct"/>
            <w:tcBorders>
              <w:top w:val="nil"/>
              <w:bottom w:val="nil"/>
            </w:tcBorders>
            <w:noWrap/>
          </w:tcPr>
          <w:p w14:paraId="5E560263" w14:textId="77777777" w:rsidR="00B16443" w:rsidRPr="00D8283E" w:rsidRDefault="00B16443" w:rsidP="00B16443">
            <w:pPr>
              <w:jc w:val="center"/>
            </w:pPr>
            <w:r w:rsidRPr="00FD4CAC">
              <w:t>449.06</w:t>
            </w:r>
          </w:p>
        </w:tc>
        <w:tc>
          <w:tcPr>
            <w:tcW w:w="861" w:type="pct"/>
            <w:tcBorders>
              <w:top w:val="nil"/>
              <w:bottom w:val="nil"/>
              <w:right w:val="single" w:sz="4" w:space="0" w:color="auto"/>
            </w:tcBorders>
            <w:noWrap/>
            <w:hideMark/>
          </w:tcPr>
          <w:p w14:paraId="24A66888" w14:textId="77777777" w:rsidR="00B16443" w:rsidRPr="00D8283E" w:rsidRDefault="00B16443" w:rsidP="00B16443">
            <w:pPr>
              <w:jc w:val="center"/>
            </w:pPr>
            <w:r w:rsidRPr="00FD4CAC">
              <w:t>493.95</w:t>
            </w:r>
          </w:p>
        </w:tc>
        <w:tc>
          <w:tcPr>
            <w:tcW w:w="549" w:type="pct"/>
            <w:tcBorders>
              <w:top w:val="nil"/>
              <w:left w:val="single" w:sz="4" w:space="0" w:color="auto"/>
              <w:bottom w:val="nil"/>
            </w:tcBorders>
            <w:noWrap/>
            <w:hideMark/>
          </w:tcPr>
          <w:p w14:paraId="1F04F7B5" w14:textId="77777777" w:rsidR="00B16443" w:rsidRPr="00D8283E" w:rsidRDefault="00B16443" w:rsidP="00B16443">
            <w:pPr>
              <w:jc w:val="right"/>
            </w:pPr>
            <w:r w:rsidRPr="00FD4CAC">
              <w:t>89267.5</w:t>
            </w:r>
          </w:p>
        </w:tc>
        <w:tc>
          <w:tcPr>
            <w:tcW w:w="462" w:type="pct"/>
            <w:tcBorders>
              <w:top w:val="nil"/>
              <w:bottom w:val="nil"/>
            </w:tcBorders>
            <w:noWrap/>
            <w:hideMark/>
          </w:tcPr>
          <w:p w14:paraId="1C9FAD7A" w14:textId="77777777" w:rsidR="00B16443" w:rsidRPr="00D8283E" w:rsidRDefault="00B16443" w:rsidP="00B16443">
            <w:pPr>
              <w:jc w:val="center"/>
            </w:pPr>
            <w:r w:rsidRPr="00FD4CAC">
              <w:t>-2.325</w:t>
            </w:r>
          </w:p>
        </w:tc>
        <w:tc>
          <w:tcPr>
            <w:tcW w:w="418" w:type="pct"/>
            <w:tcBorders>
              <w:top w:val="nil"/>
              <w:bottom w:val="nil"/>
            </w:tcBorders>
            <w:noWrap/>
            <w:hideMark/>
          </w:tcPr>
          <w:p w14:paraId="34CEE92D" w14:textId="77777777" w:rsidR="00B16443" w:rsidRPr="00A51B6C" w:rsidRDefault="00B16443" w:rsidP="00B16443">
            <w:pPr>
              <w:jc w:val="center"/>
            </w:pPr>
            <w:r w:rsidRPr="00A51B6C">
              <w:t>0.020</w:t>
            </w:r>
          </w:p>
        </w:tc>
        <w:tc>
          <w:tcPr>
            <w:tcW w:w="418" w:type="pct"/>
            <w:tcBorders>
              <w:top w:val="nil"/>
              <w:bottom w:val="nil"/>
            </w:tcBorders>
          </w:tcPr>
          <w:p w14:paraId="00D4449C" w14:textId="77777777" w:rsidR="00B16443" w:rsidRPr="00D8283E" w:rsidRDefault="00B16443" w:rsidP="00B16443">
            <w:pPr>
              <w:jc w:val="center"/>
            </w:pPr>
            <w:r w:rsidRPr="00FD4CAC">
              <w:t>0.075</w:t>
            </w:r>
          </w:p>
        </w:tc>
      </w:tr>
      <w:tr w:rsidR="00B16443" w:rsidRPr="00D8283E" w14:paraId="7AFC9C3E" w14:textId="77777777" w:rsidTr="00B16058">
        <w:trPr>
          <w:trHeight w:val="80"/>
          <w:jc w:val="center"/>
        </w:trPr>
        <w:tc>
          <w:tcPr>
            <w:tcW w:w="1453" w:type="pct"/>
            <w:noWrap/>
            <w:hideMark/>
          </w:tcPr>
          <w:p w14:paraId="69AFFABC" w14:textId="77777777" w:rsidR="00B16443" w:rsidRPr="00D8283E" w:rsidRDefault="00B16443" w:rsidP="00B16443">
            <w:r>
              <w:t>User behaviour</w:t>
            </w:r>
          </w:p>
        </w:tc>
        <w:tc>
          <w:tcPr>
            <w:tcW w:w="840" w:type="pct"/>
            <w:tcBorders>
              <w:top w:val="nil"/>
              <w:bottom w:val="single" w:sz="4" w:space="0" w:color="auto"/>
            </w:tcBorders>
            <w:noWrap/>
          </w:tcPr>
          <w:p w14:paraId="1F32FD14" w14:textId="77777777" w:rsidR="00B16443" w:rsidRPr="00D8283E" w:rsidRDefault="00B16443" w:rsidP="00B16443">
            <w:pPr>
              <w:jc w:val="center"/>
            </w:pPr>
            <w:r w:rsidRPr="00FD4CAC">
              <w:t>383.15</w:t>
            </w:r>
          </w:p>
        </w:tc>
        <w:tc>
          <w:tcPr>
            <w:tcW w:w="861" w:type="pct"/>
            <w:tcBorders>
              <w:top w:val="nil"/>
              <w:bottom w:val="single" w:sz="4" w:space="0" w:color="auto"/>
              <w:right w:val="single" w:sz="4" w:space="0" w:color="auto"/>
            </w:tcBorders>
            <w:noWrap/>
            <w:hideMark/>
          </w:tcPr>
          <w:p w14:paraId="0223A8A2" w14:textId="77777777" w:rsidR="00B16443" w:rsidRPr="00D8283E" w:rsidRDefault="00B16443" w:rsidP="00B16443">
            <w:pPr>
              <w:jc w:val="center"/>
            </w:pPr>
            <w:r w:rsidRPr="00FD4CAC">
              <w:t>523.66</w:t>
            </w:r>
          </w:p>
        </w:tc>
        <w:tc>
          <w:tcPr>
            <w:tcW w:w="549" w:type="pct"/>
            <w:tcBorders>
              <w:top w:val="nil"/>
              <w:left w:val="single" w:sz="4" w:space="0" w:color="auto"/>
              <w:bottom w:val="single" w:sz="4" w:space="0" w:color="auto"/>
            </w:tcBorders>
            <w:noWrap/>
            <w:hideMark/>
          </w:tcPr>
          <w:p w14:paraId="2D090374" w14:textId="77777777" w:rsidR="00B16443" w:rsidRPr="00D8283E" w:rsidRDefault="00B16443" w:rsidP="00B16443">
            <w:pPr>
              <w:jc w:val="right"/>
            </w:pPr>
            <w:r w:rsidRPr="00FD4CAC">
              <w:t>69628.5</w:t>
            </w:r>
          </w:p>
        </w:tc>
        <w:tc>
          <w:tcPr>
            <w:tcW w:w="462" w:type="pct"/>
            <w:tcBorders>
              <w:top w:val="nil"/>
              <w:bottom w:val="single" w:sz="4" w:space="0" w:color="auto"/>
            </w:tcBorders>
            <w:noWrap/>
            <w:hideMark/>
          </w:tcPr>
          <w:p w14:paraId="4DD64040" w14:textId="77777777" w:rsidR="00B16443" w:rsidRPr="00D8283E" w:rsidRDefault="00B16443" w:rsidP="00B16443">
            <w:pPr>
              <w:jc w:val="center"/>
            </w:pPr>
            <w:r w:rsidRPr="00FD4CAC">
              <w:t>-7.347</w:t>
            </w:r>
          </w:p>
        </w:tc>
        <w:tc>
          <w:tcPr>
            <w:tcW w:w="418" w:type="pct"/>
            <w:tcBorders>
              <w:top w:val="nil"/>
              <w:bottom w:val="single" w:sz="4" w:space="0" w:color="auto"/>
            </w:tcBorders>
            <w:noWrap/>
            <w:hideMark/>
          </w:tcPr>
          <w:p w14:paraId="2F6BB031" w14:textId="77777777" w:rsidR="00B16443" w:rsidRPr="00A51B6C" w:rsidRDefault="00B16443" w:rsidP="00B16443">
            <w:pPr>
              <w:jc w:val="center"/>
            </w:pPr>
            <w:r w:rsidRPr="00A51B6C">
              <w:t>0.000</w:t>
            </w:r>
          </w:p>
        </w:tc>
        <w:tc>
          <w:tcPr>
            <w:tcW w:w="418" w:type="pct"/>
            <w:tcBorders>
              <w:top w:val="nil"/>
              <w:bottom w:val="single" w:sz="4" w:space="0" w:color="auto"/>
            </w:tcBorders>
          </w:tcPr>
          <w:p w14:paraId="51531294" w14:textId="77777777" w:rsidR="00B16443" w:rsidRPr="00D8283E" w:rsidRDefault="00B16443" w:rsidP="00B16443">
            <w:pPr>
              <w:jc w:val="center"/>
            </w:pPr>
            <w:r w:rsidRPr="00FD4CAC">
              <w:t>0.237</w:t>
            </w:r>
          </w:p>
        </w:tc>
      </w:tr>
    </w:tbl>
    <w:p w14:paraId="4802E69E" w14:textId="77777777" w:rsidR="00D8283E" w:rsidRDefault="00D8283E" w:rsidP="008F3BB2">
      <w:pPr>
        <w:rPr>
          <w:lang w:val="en-US"/>
        </w:rPr>
      </w:pPr>
    </w:p>
    <w:p w14:paraId="32560B0C" w14:textId="328C8945" w:rsidR="00CF6776" w:rsidRPr="00AC1428" w:rsidRDefault="00022759" w:rsidP="0020439A">
      <w:r>
        <w:t xml:space="preserve">The third </w:t>
      </w:r>
      <w:r w:rsidR="000879BE">
        <w:t xml:space="preserve">individual demographic considered in the current research is where individuals live, known as </w:t>
      </w:r>
      <w:r w:rsidR="007861F6">
        <w:t xml:space="preserve">the </w:t>
      </w:r>
      <w:r w:rsidR="000879BE">
        <w:t xml:space="preserve">living settlement. </w:t>
      </w:r>
      <w:r w:rsidR="00AC1428" w:rsidRPr="00180025">
        <w:t xml:space="preserve">Table </w:t>
      </w:r>
      <w:r w:rsidR="000879BE">
        <w:t>5 summarises</w:t>
      </w:r>
      <w:r w:rsidR="00AC1428" w:rsidRPr="00180025">
        <w:t xml:space="preserve"> the results of the Mann-Whitney test for </w:t>
      </w:r>
      <w:r w:rsidR="000879BE">
        <w:t>this demographic variable</w:t>
      </w:r>
      <w:r w:rsidR="00AC1428" w:rsidRPr="00180025">
        <w:t xml:space="preserve">. </w:t>
      </w:r>
      <w:r w:rsidR="000879BE">
        <w:t xml:space="preserve">It was found </w:t>
      </w:r>
      <w:r w:rsidR="00AC1428" w:rsidRPr="00180025">
        <w:t xml:space="preserve">that </w:t>
      </w:r>
      <w:r w:rsidR="000879BE">
        <w:t xml:space="preserve">the place where people </w:t>
      </w:r>
      <w:r w:rsidR="003256EF">
        <w:t xml:space="preserve">live </w:t>
      </w:r>
      <w:r w:rsidR="000879BE">
        <w:t>do</w:t>
      </w:r>
      <w:r w:rsidR="007861F6">
        <w:t>es</w:t>
      </w:r>
      <w:r w:rsidR="000879BE">
        <w:t xml:space="preserve"> matter in technology acceptance</w:t>
      </w:r>
      <w:r w:rsidR="00101684">
        <w:t>,</w:t>
      </w:r>
      <w:r w:rsidR="000879BE">
        <w:t xml:space="preserve"> including mobile banking. Indeed, the respective test showed that living settlement </w:t>
      </w:r>
      <w:r w:rsidR="00AC1428" w:rsidRPr="00180025">
        <w:t>do</w:t>
      </w:r>
      <w:r w:rsidR="007861F6">
        <w:t>es</w:t>
      </w:r>
      <w:r w:rsidR="00AC1428" w:rsidRPr="00180025">
        <w:t xml:space="preserve"> </w:t>
      </w:r>
      <w:r w:rsidR="000879BE">
        <w:t xml:space="preserve">associate </w:t>
      </w:r>
      <w:r w:rsidR="00AC1428" w:rsidRPr="00180025">
        <w:t xml:space="preserve">with almost all </w:t>
      </w:r>
      <w:r w:rsidR="000879BE">
        <w:t xml:space="preserve">constructs </w:t>
      </w:r>
      <w:r w:rsidR="00101684">
        <w:t xml:space="preserve">of </w:t>
      </w:r>
      <w:r w:rsidR="00AC1428" w:rsidRPr="00180025">
        <w:t xml:space="preserve">the UTAUT2 </w:t>
      </w:r>
      <w:r w:rsidR="000879BE">
        <w:t>model</w:t>
      </w:r>
      <w:r w:rsidR="00AC1428" w:rsidRPr="00180025">
        <w:t xml:space="preserve">. The only </w:t>
      </w:r>
      <w:r w:rsidR="000879BE">
        <w:t xml:space="preserve">two </w:t>
      </w:r>
      <w:r w:rsidR="00AC1428" w:rsidRPr="00180025">
        <w:t>construct</w:t>
      </w:r>
      <w:r w:rsidR="000879BE">
        <w:t>s</w:t>
      </w:r>
      <w:r w:rsidR="00AC1428" w:rsidRPr="00180025">
        <w:t xml:space="preserve"> that reflected no statistical difference in terms of </w:t>
      </w:r>
      <w:r w:rsidR="000879BE">
        <w:t xml:space="preserve">living settlement </w:t>
      </w:r>
      <w:r w:rsidR="00AC1428" w:rsidRPr="00180025">
        <w:t>w</w:t>
      </w:r>
      <w:r w:rsidR="000879BE">
        <w:t xml:space="preserve">ere </w:t>
      </w:r>
      <w:r w:rsidR="00AC1428" w:rsidRPr="00180025">
        <w:t>hedonic motivation (</w:t>
      </w:r>
      <w:r w:rsidR="00AC1428" w:rsidRPr="00180025">
        <w:rPr>
          <w:i/>
        </w:rPr>
        <w:t>U</w:t>
      </w:r>
      <w:r w:rsidR="00AC1428" w:rsidRPr="00180025">
        <w:t xml:space="preserve"> = </w:t>
      </w:r>
      <w:r w:rsidR="000879BE">
        <w:t>68702</w:t>
      </w:r>
      <w:r w:rsidR="00AC1428" w:rsidRPr="00180025">
        <w:t xml:space="preserve">, </w:t>
      </w:r>
      <w:r w:rsidR="00AC1428" w:rsidRPr="00180025">
        <w:rPr>
          <w:i/>
        </w:rPr>
        <w:t>z</w:t>
      </w:r>
      <w:r w:rsidR="00AC1428" w:rsidRPr="00180025">
        <w:t xml:space="preserve"> = -</w:t>
      </w:r>
      <w:r w:rsidR="000879BE" w:rsidRPr="00C73002">
        <w:t>0.421</w:t>
      </w:r>
      <w:r w:rsidR="00AC1428" w:rsidRPr="00180025">
        <w:t xml:space="preserve">, </w:t>
      </w:r>
      <w:r w:rsidR="00AC1428" w:rsidRPr="00180025">
        <w:rPr>
          <w:i/>
        </w:rPr>
        <w:t>p</w:t>
      </w:r>
      <w:r w:rsidR="00AC1428" w:rsidRPr="00180025">
        <w:t xml:space="preserve"> &gt; 0.05, </w:t>
      </w:r>
      <w:r w:rsidR="00AC1428" w:rsidRPr="00180025">
        <w:rPr>
          <w:i/>
        </w:rPr>
        <w:t>r</w:t>
      </w:r>
      <w:r w:rsidR="00AC1428" w:rsidRPr="00180025">
        <w:t xml:space="preserve"> = 0.0</w:t>
      </w:r>
      <w:r w:rsidR="000879BE">
        <w:t>14</w:t>
      </w:r>
      <w:r w:rsidR="00AC1428" w:rsidRPr="00180025">
        <w:t>)</w:t>
      </w:r>
      <w:r w:rsidR="000879BE">
        <w:t xml:space="preserve"> and social influence </w:t>
      </w:r>
      <w:r w:rsidR="000879BE" w:rsidRPr="00180025">
        <w:t>(</w:t>
      </w:r>
      <w:r w:rsidR="000879BE" w:rsidRPr="00180025">
        <w:rPr>
          <w:i/>
        </w:rPr>
        <w:t>U</w:t>
      </w:r>
      <w:r w:rsidR="000879BE" w:rsidRPr="00180025">
        <w:t xml:space="preserve"> = </w:t>
      </w:r>
      <w:r w:rsidR="000879BE" w:rsidRPr="000879BE">
        <w:t>68894.5</w:t>
      </w:r>
      <w:r w:rsidR="000879BE" w:rsidRPr="00180025">
        <w:t xml:space="preserve">, </w:t>
      </w:r>
      <w:r w:rsidR="000879BE" w:rsidRPr="00180025">
        <w:rPr>
          <w:i/>
        </w:rPr>
        <w:t>z</w:t>
      </w:r>
      <w:r w:rsidR="000879BE" w:rsidRPr="00180025">
        <w:t xml:space="preserve"> = -0.</w:t>
      </w:r>
      <w:r w:rsidR="000879BE">
        <w:t>363</w:t>
      </w:r>
      <w:r w:rsidR="000879BE" w:rsidRPr="00180025">
        <w:t xml:space="preserve">, </w:t>
      </w:r>
      <w:r w:rsidR="000879BE" w:rsidRPr="00180025">
        <w:rPr>
          <w:i/>
        </w:rPr>
        <w:t>p</w:t>
      </w:r>
      <w:r w:rsidR="000879BE" w:rsidRPr="00180025">
        <w:t xml:space="preserve"> &gt; 0.05, </w:t>
      </w:r>
      <w:r w:rsidR="000879BE" w:rsidRPr="00180025">
        <w:rPr>
          <w:i/>
        </w:rPr>
        <w:t>r</w:t>
      </w:r>
      <w:r w:rsidR="000879BE" w:rsidRPr="00180025">
        <w:t xml:space="preserve"> = 0.0</w:t>
      </w:r>
      <w:r w:rsidR="000879BE">
        <w:t>12</w:t>
      </w:r>
      <w:r w:rsidR="000879BE" w:rsidRPr="00180025">
        <w:t>)</w:t>
      </w:r>
      <w:r w:rsidR="00AC1428" w:rsidRPr="00180025">
        <w:t xml:space="preserve">. The strongest effect size </w:t>
      </w:r>
      <w:r w:rsidR="000879BE">
        <w:t>among the other constructs were found</w:t>
      </w:r>
      <w:r w:rsidR="00AC1428" w:rsidRPr="00180025">
        <w:t xml:space="preserve"> for </w:t>
      </w:r>
      <w:r w:rsidR="000879BE">
        <w:t>effort expectancy</w:t>
      </w:r>
      <w:r w:rsidR="00AC1428">
        <w:t xml:space="preserve"> </w:t>
      </w:r>
      <w:r w:rsidR="00AC1428" w:rsidRPr="00180025">
        <w:t>(</w:t>
      </w:r>
      <w:r w:rsidR="00AC1428" w:rsidRPr="00180025">
        <w:rPr>
          <w:i/>
        </w:rPr>
        <w:t>U</w:t>
      </w:r>
      <w:r w:rsidR="00AC1428" w:rsidRPr="00180025">
        <w:t xml:space="preserve"> = </w:t>
      </w:r>
      <w:r w:rsidR="000879BE" w:rsidRPr="000879BE">
        <w:t>59333.5</w:t>
      </w:r>
      <w:r w:rsidR="00AC1428" w:rsidRPr="00180025">
        <w:t xml:space="preserve">, </w:t>
      </w:r>
      <w:r w:rsidR="00AC1428" w:rsidRPr="00180025">
        <w:rPr>
          <w:i/>
        </w:rPr>
        <w:t>z</w:t>
      </w:r>
      <w:r w:rsidR="00AC1428" w:rsidRPr="00180025">
        <w:t xml:space="preserve"> = -</w:t>
      </w:r>
      <w:r w:rsidR="000879BE">
        <w:t>3.326</w:t>
      </w:r>
      <w:r w:rsidR="00AC1428" w:rsidRPr="00180025">
        <w:t xml:space="preserve">, </w:t>
      </w:r>
      <w:r w:rsidR="00AC1428" w:rsidRPr="00180025">
        <w:rPr>
          <w:i/>
        </w:rPr>
        <w:t>p</w:t>
      </w:r>
      <w:r w:rsidR="00AC1428" w:rsidRPr="00180025">
        <w:t xml:space="preserve"> &lt; 0.0</w:t>
      </w:r>
      <w:r w:rsidR="00AC1428">
        <w:t>01</w:t>
      </w:r>
      <w:r w:rsidR="00AC1428" w:rsidRPr="00180025">
        <w:t xml:space="preserve">, </w:t>
      </w:r>
      <w:r w:rsidR="00AC1428" w:rsidRPr="00180025">
        <w:rPr>
          <w:i/>
        </w:rPr>
        <w:t>r</w:t>
      </w:r>
      <w:r w:rsidR="00AC1428" w:rsidRPr="00180025">
        <w:t xml:space="preserve"> = 0.</w:t>
      </w:r>
      <w:r w:rsidR="000879BE">
        <w:t>107</w:t>
      </w:r>
      <w:r w:rsidR="00AC1428" w:rsidRPr="00180025">
        <w:t>),</w:t>
      </w:r>
      <w:r w:rsidR="000879BE">
        <w:t xml:space="preserve"> and facilitation conditions</w:t>
      </w:r>
      <w:r w:rsidR="00AC1428">
        <w:t xml:space="preserve"> </w:t>
      </w:r>
      <w:r w:rsidR="00AC1428" w:rsidRPr="00180025">
        <w:t>(</w:t>
      </w:r>
      <w:r w:rsidR="00AC1428" w:rsidRPr="00180025">
        <w:rPr>
          <w:i/>
        </w:rPr>
        <w:t>U</w:t>
      </w:r>
      <w:r w:rsidR="00AC1428" w:rsidRPr="00180025">
        <w:t xml:space="preserve"> = </w:t>
      </w:r>
      <w:r w:rsidR="000879BE" w:rsidRPr="000879BE">
        <w:t>59800.5</w:t>
      </w:r>
      <w:r w:rsidR="00AC1428" w:rsidRPr="00180025">
        <w:t xml:space="preserve">, </w:t>
      </w:r>
      <w:r w:rsidR="00AC1428" w:rsidRPr="00180025">
        <w:rPr>
          <w:i/>
        </w:rPr>
        <w:t>z</w:t>
      </w:r>
      <w:r w:rsidR="00AC1428" w:rsidRPr="00180025">
        <w:t xml:space="preserve"> = -</w:t>
      </w:r>
      <w:r w:rsidR="000879BE">
        <w:t>3.173</w:t>
      </w:r>
      <w:r w:rsidR="00AC1428" w:rsidRPr="00180025">
        <w:t xml:space="preserve">, </w:t>
      </w:r>
      <w:r w:rsidR="00AC1428" w:rsidRPr="00180025">
        <w:rPr>
          <w:i/>
        </w:rPr>
        <w:t>p</w:t>
      </w:r>
      <w:r w:rsidR="00AC1428" w:rsidRPr="00180025">
        <w:t xml:space="preserve"> &lt; 0.0</w:t>
      </w:r>
      <w:r w:rsidR="000879BE">
        <w:t>5</w:t>
      </w:r>
      <w:r w:rsidR="00AC1428" w:rsidRPr="00180025">
        <w:t xml:space="preserve">, </w:t>
      </w:r>
      <w:r w:rsidR="00AC1428" w:rsidRPr="00180025">
        <w:rPr>
          <w:i/>
        </w:rPr>
        <w:t>r</w:t>
      </w:r>
      <w:r w:rsidR="00AC1428" w:rsidRPr="00180025">
        <w:t xml:space="preserve"> = 0.</w:t>
      </w:r>
      <w:r w:rsidR="000879BE">
        <w:t>1</w:t>
      </w:r>
      <w:r w:rsidR="00AC1428">
        <w:t>02</w:t>
      </w:r>
      <w:r w:rsidR="00AC1428" w:rsidRPr="00180025">
        <w:t>)</w:t>
      </w:r>
      <w:r w:rsidR="000879BE">
        <w:t>.</w:t>
      </w:r>
      <w:r w:rsidR="00AC1428">
        <w:t xml:space="preserve"> According to the</w:t>
      </w:r>
      <w:r w:rsidR="00AC1428" w:rsidRPr="00180025">
        <w:rPr>
          <w:noProof/>
        </w:rPr>
        <w:t xml:space="preserve"> </w:t>
      </w:r>
      <w:r w:rsidR="000879BE">
        <w:t>benchmarks</w:t>
      </w:r>
      <w:r w:rsidR="000879BE" w:rsidRPr="00180025">
        <w:rPr>
          <w:noProof/>
        </w:rPr>
        <w:t xml:space="preserve"> </w:t>
      </w:r>
      <w:r w:rsidR="000879BE">
        <w:rPr>
          <w:noProof/>
        </w:rPr>
        <w:t xml:space="preserve">proposed by </w:t>
      </w:r>
      <w:r w:rsidR="00AC1428" w:rsidRPr="00180025">
        <w:rPr>
          <w:noProof/>
        </w:rPr>
        <w:t>Cohen</w:t>
      </w:r>
      <w:r w:rsidR="00AC1428">
        <w:rPr>
          <w:noProof/>
        </w:rPr>
        <w:t>’s</w:t>
      </w:r>
      <w:r w:rsidR="00AC1428">
        <w:t xml:space="preserve"> </w:t>
      </w:r>
      <w:r w:rsidR="00AC1428">
        <w:fldChar w:fldCharType="begin" w:fldLock="1"/>
      </w:r>
      <w:r w:rsidR="00B12E5D">
        <w:instrText>ADDIN CSL_CITATION {"citationItems":[{"id":"ITEM-1","itemData":{"ISBN":"9780805802832","abstract":"2nd ed. This is a nontechnical guide to power analysis in research planning that provides users of applied statistics with the tools they need for more effective analysis. The second edition includes: a chapter covering power analysis in set correlation and multivariate methods; a chapter considering effect size, psychometric reliability, and the efficacy of \"qualifying\" dependent variables and; expanded power and sample size tables for multiple regression/correlation. Chapter 1. The concepts of power analysis -- Chapter 2. The t test for means -- Chapter 3. The significance of a product moment r[sub s] -- Chapter 4. Differences between correlation coefficients -- Chapter 5. The test that a proportion is .50 and the sign test -- Chapter 6. Differences between proportions -- Chapter 7. Chi-square tests for goodness of fit and contingency tables -- Chapter 8. The analysis of variance and covariance -- Chapter 9. Multiple regression and correlation analysis -- Chapter 10. Set correlation and multivariate methods -- Chapter 11. Some issues in power analysis -- Chapter 12. Computational procedures.","author":[{"dropping-particle":"","family":"Cohen","given":"Jacob","non-dropping-particle":"","parse-names":false,"suffix":""}],"edition":"2","id":"ITEM-1","issued":{"date-parts":[["1988"]]},"number-of-pages":"567","publisher":"L. Erlbaum Associates","publisher-place":"United States of America","title":"Statistical power analysis for the behavioral sciences","type":"book"},"uris":["http://www.mendeley.com/documents/?uuid=5265271c-0e09-3abf-b037-96ac9ceddb90"]}],"mendeley":{"formattedCitation":"(Cohen, 1988)","plainTextFormattedCitation":"(Cohen, 1988)","previouslyFormattedCitation":"(Cohen, 1988)"},"properties":{"noteIndex":0},"schema":"https://github.com/citation-style-language/schema/raw/master/csl-citation.json"}</w:instrText>
      </w:r>
      <w:r w:rsidR="00AC1428">
        <w:fldChar w:fldCharType="separate"/>
      </w:r>
      <w:r w:rsidR="00B16657" w:rsidRPr="00B16657">
        <w:rPr>
          <w:noProof/>
        </w:rPr>
        <w:t>(Cohen, 1988)</w:t>
      </w:r>
      <w:r w:rsidR="00AC1428">
        <w:fldChar w:fldCharType="end"/>
      </w:r>
      <w:r w:rsidR="00AC1428">
        <w:t xml:space="preserve">, the above effect sizes were small to medium effect. The </w:t>
      </w:r>
      <w:r w:rsidR="000879BE">
        <w:t>rest of the UTAUT2</w:t>
      </w:r>
      <w:r w:rsidR="00AC1428">
        <w:t xml:space="preserve"> constructs manifested </w:t>
      </w:r>
      <w:r w:rsidR="00101684">
        <w:t xml:space="preserve">a </w:t>
      </w:r>
      <w:r w:rsidR="00AC1428">
        <w:t xml:space="preserve">small effect size in terms of the </w:t>
      </w:r>
      <w:r w:rsidR="00BA78C8">
        <w:t>living settlement differences</w:t>
      </w:r>
      <w:r w:rsidR="00AC1428">
        <w:t xml:space="preserve">. </w:t>
      </w:r>
      <w:r w:rsidR="000879BE">
        <w:t xml:space="preserve">Moreover, </w:t>
      </w:r>
      <w:r w:rsidR="005E2EE7">
        <w:t xml:space="preserve">the analysis </w:t>
      </w:r>
      <w:r w:rsidR="000879BE">
        <w:t>showed that</w:t>
      </w:r>
      <w:r w:rsidR="00AC1428" w:rsidRPr="00180025">
        <w:t xml:space="preserve"> </w:t>
      </w:r>
      <w:r w:rsidR="00AC1428">
        <w:t xml:space="preserve">those </w:t>
      </w:r>
      <w:r w:rsidR="00BA78C8">
        <w:t>who</w:t>
      </w:r>
      <w:r w:rsidR="00AC1428">
        <w:t xml:space="preserve"> </w:t>
      </w:r>
      <w:r w:rsidR="000879BE">
        <w:t xml:space="preserve">lived in urban areas </w:t>
      </w:r>
      <w:r w:rsidR="00AC1428">
        <w:t xml:space="preserve">scored significantly higher in almost all the </w:t>
      </w:r>
      <w:r w:rsidR="00C36C70">
        <w:t xml:space="preserve">constructs of </w:t>
      </w:r>
      <w:r w:rsidR="00101684">
        <w:t xml:space="preserve">the </w:t>
      </w:r>
      <w:r w:rsidR="00AC1428">
        <w:t xml:space="preserve">UTAUT2 </w:t>
      </w:r>
      <w:r w:rsidR="00C36C70">
        <w:t>model</w:t>
      </w:r>
      <w:r w:rsidR="00AC1428">
        <w:t xml:space="preserve">, </w:t>
      </w:r>
      <w:r w:rsidR="00836C7D">
        <w:t>signalling</w:t>
      </w:r>
      <w:r w:rsidR="0063124A">
        <w:t xml:space="preserve"> that technology adaption and acceptance</w:t>
      </w:r>
      <w:r w:rsidR="00101684">
        <w:t>,</w:t>
      </w:r>
      <w:r w:rsidR="0063124A">
        <w:t xml:space="preserve"> including mobile banking</w:t>
      </w:r>
      <w:r w:rsidR="00101684">
        <w:t>,</w:t>
      </w:r>
      <w:r w:rsidR="0063124A">
        <w:t xml:space="preserve"> have higher chances to occur in urban areas than in rural ones</w:t>
      </w:r>
      <w:r w:rsidR="00AC1428" w:rsidRPr="00180025">
        <w:t xml:space="preserve">. </w:t>
      </w:r>
    </w:p>
    <w:p w14:paraId="29F2A86C" w14:textId="77777777" w:rsidR="00833F94" w:rsidRDefault="007C5CB6" w:rsidP="00F320F5">
      <w:pPr>
        <w:jc w:val="center"/>
        <w:rPr>
          <w:lang w:val="en-US"/>
        </w:rPr>
      </w:pPr>
      <w:r>
        <w:rPr>
          <w:lang w:val="en-US"/>
        </w:rPr>
        <w:t xml:space="preserve">Table 5. </w:t>
      </w:r>
      <w:r w:rsidRPr="007C5CB6">
        <w:rPr>
          <w:lang w:val="en-US"/>
        </w:rPr>
        <w:t>Results of the Mann-Whitney test</w:t>
      </w:r>
      <w:r>
        <w:rPr>
          <w:lang w:val="en-US"/>
        </w:rPr>
        <w:t xml:space="preserve"> for living settlement</w:t>
      </w:r>
    </w:p>
    <w:tbl>
      <w:tblPr>
        <w:tblStyle w:val="Mkatabulky"/>
        <w:tblW w:w="5000" w:type="pct"/>
        <w:jc w:val="center"/>
        <w:tblBorders>
          <w:insideH w:val="none" w:sz="0" w:space="0" w:color="auto"/>
          <w:insideV w:val="none" w:sz="0" w:space="0" w:color="auto"/>
        </w:tblBorders>
        <w:tblCellMar>
          <w:left w:w="43" w:type="dxa"/>
          <w:right w:w="43" w:type="dxa"/>
        </w:tblCellMar>
        <w:tblLook w:val="04A0" w:firstRow="1" w:lastRow="0" w:firstColumn="1" w:lastColumn="0" w:noHBand="0" w:noVBand="1"/>
      </w:tblPr>
      <w:tblGrid>
        <w:gridCol w:w="2369"/>
        <w:gridCol w:w="1941"/>
        <w:gridCol w:w="2034"/>
        <w:gridCol w:w="814"/>
        <w:gridCol w:w="664"/>
        <w:gridCol w:w="593"/>
        <w:gridCol w:w="601"/>
      </w:tblGrid>
      <w:tr w:rsidR="00F320F5" w:rsidRPr="00332D59" w14:paraId="24C8DF34" w14:textId="77777777" w:rsidTr="003A0B75">
        <w:trPr>
          <w:trHeight w:val="300"/>
          <w:jc w:val="center"/>
        </w:trPr>
        <w:tc>
          <w:tcPr>
            <w:tcW w:w="1251" w:type="pct"/>
            <w:tcBorders>
              <w:top w:val="single" w:sz="4" w:space="0" w:color="auto"/>
              <w:bottom w:val="nil"/>
            </w:tcBorders>
            <w:noWrap/>
          </w:tcPr>
          <w:p w14:paraId="5D3401A3" w14:textId="77777777" w:rsidR="00F320F5" w:rsidRPr="00332D59" w:rsidRDefault="00F320F5" w:rsidP="00332D59"/>
        </w:tc>
        <w:tc>
          <w:tcPr>
            <w:tcW w:w="2125" w:type="pct"/>
            <w:gridSpan w:val="2"/>
            <w:tcBorders>
              <w:top w:val="single" w:sz="4" w:space="0" w:color="auto"/>
              <w:bottom w:val="single" w:sz="4" w:space="0" w:color="auto"/>
              <w:right w:val="single" w:sz="4" w:space="0" w:color="auto"/>
            </w:tcBorders>
            <w:noWrap/>
          </w:tcPr>
          <w:p w14:paraId="2F2FB237" w14:textId="77777777" w:rsidR="00F320F5" w:rsidRPr="00332D59" w:rsidRDefault="00F320F5" w:rsidP="00180025">
            <w:pPr>
              <w:jc w:val="center"/>
            </w:pPr>
            <w:r w:rsidRPr="00332D59">
              <w:t xml:space="preserve">Mean </w:t>
            </w:r>
            <w:r>
              <w:t>r</w:t>
            </w:r>
            <w:r w:rsidRPr="00332D59">
              <w:t>ank</w:t>
            </w:r>
            <w:r w:rsidR="00180025">
              <w:t xml:space="preserve"> (</w:t>
            </w:r>
            <w:r w:rsidR="00180025">
              <w:rPr>
                <w:lang w:val="en-US"/>
              </w:rPr>
              <w:t>living settlement)</w:t>
            </w:r>
          </w:p>
        </w:tc>
        <w:tc>
          <w:tcPr>
            <w:tcW w:w="1624" w:type="pct"/>
            <w:gridSpan w:val="4"/>
            <w:tcBorders>
              <w:top w:val="single" w:sz="4" w:space="0" w:color="auto"/>
              <w:left w:val="single" w:sz="4" w:space="0" w:color="auto"/>
              <w:bottom w:val="single" w:sz="4" w:space="0" w:color="auto"/>
            </w:tcBorders>
            <w:noWrap/>
          </w:tcPr>
          <w:p w14:paraId="53D4C650" w14:textId="77777777" w:rsidR="00F320F5" w:rsidRPr="00332D59" w:rsidRDefault="00F320F5" w:rsidP="00F320F5">
            <w:pPr>
              <w:jc w:val="center"/>
              <w:rPr>
                <w:i/>
              </w:rPr>
            </w:pPr>
            <w:r w:rsidRPr="00332D59">
              <w:t>Mann-Whitney</w:t>
            </w:r>
          </w:p>
        </w:tc>
      </w:tr>
      <w:tr w:rsidR="00F320F5" w:rsidRPr="00332D59" w14:paraId="4B1F94BD" w14:textId="77777777" w:rsidTr="003A0B75">
        <w:trPr>
          <w:trHeight w:val="300"/>
          <w:jc w:val="center"/>
        </w:trPr>
        <w:tc>
          <w:tcPr>
            <w:tcW w:w="1251" w:type="pct"/>
            <w:tcBorders>
              <w:top w:val="nil"/>
              <w:bottom w:val="single" w:sz="4" w:space="0" w:color="auto"/>
            </w:tcBorders>
            <w:noWrap/>
            <w:hideMark/>
          </w:tcPr>
          <w:p w14:paraId="49279632" w14:textId="77777777" w:rsidR="00F320F5" w:rsidRPr="00F320F5" w:rsidRDefault="00F320F5" w:rsidP="00F320F5">
            <w:pPr>
              <w:jc w:val="center"/>
              <w:rPr>
                <w:lang w:val="en-US"/>
              </w:rPr>
            </w:pPr>
          </w:p>
        </w:tc>
        <w:tc>
          <w:tcPr>
            <w:tcW w:w="1039" w:type="pct"/>
            <w:tcBorders>
              <w:top w:val="single" w:sz="4" w:space="0" w:color="auto"/>
              <w:bottom w:val="single" w:sz="4" w:space="0" w:color="auto"/>
            </w:tcBorders>
            <w:noWrap/>
            <w:hideMark/>
          </w:tcPr>
          <w:p w14:paraId="0EB9E0DF" w14:textId="77777777" w:rsidR="00F320F5" w:rsidRPr="00332D59" w:rsidRDefault="00ED5853" w:rsidP="00F320F5">
            <w:pPr>
              <w:jc w:val="center"/>
            </w:pPr>
            <w:r>
              <w:t>Rural</w:t>
            </w:r>
            <w:r w:rsidR="00F320F5" w:rsidRPr="00332D59">
              <w:t xml:space="preserve"> area</w:t>
            </w:r>
            <w:r w:rsidR="00F320F5">
              <w:t xml:space="preserve"> (</w:t>
            </w:r>
            <w:r w:rsidR="00F320F5" w:rsidRPr="00F10B08">
              <w:rPr>
                <w:i/>
              </w:rPr>
              <w:t>n</w:t>
            </w:r>
            <w:r w:rsidR="00F320F5">
              <w:t xml:space="preserve"> = 877)</w:t>
            </w:r>
          </w:p>
        </w:tc>
        <w:tc>
          <w:tcPr>
            <w:tcW w:w="1085" w:type="pct"/>
            <w:tcBorders>
              <w:top w:val="single" w:sz="4" w:space="0" w:color="auto"/>
              <w:bottom w:val="single" w:sz="4" w:space="0" w:color="auto"/>
              <w:right w:val="single" w:sz="4" w:space="0" w:color="auto"/>
            </w:tcBorders>
            <w:noWrap/>
            <w:hideMark/>
          </w:tcPr>
          <w:p w14:paraId="0BF48349" w14:textId="77777777" w:rsidR="00F320F5" w:rsidRPr="00332D59" w:rsidRDefault="00ED5853" w:rsidP="00F320F5">
            <w:pPr>
              <w:jc w:val="center"/>
            </w:pPr>
            <w:r>
              <w:t>Urban</w:t>
            </w:r>
            <w:r w:rsidR="00F320F5" w:rsidRPr="00332D59">
              <w:t xml:space="preserve"> area</w:t>
            </w:r>
            <w:r w:rsidR="00F320F5">
              <w:t xml:space="preserve"> (</w:t>
            </w:r>
            <w:r w:rsidR="00F320F5" w:rsidRPr="00F10B08">
              <w:rPr>
                <w:i/>
              </w:rPr>
              <w:t>n</w:t>
            </w:r>
            <w:r w:rsidR="00F320F5">
              <w:t xml:space="preserve"> = 229)</w:t>
            </w:r>
          </w:p>
        </w:tc>
        <w:tc>
          <w:tcPr>
            <w:tcW w:w="480" w:type="pct"/>
            <w:tcBorders>
              <w:top w:val="single" w:sz="4" w:space="0" w:color="auto"/>
              <w:left w:val="single" w:sz="4" w:space="0" w:color="auto"/>
              <w:bottom w:val="single" w:sz="4" w:space="0" w:color="auto"/>
            </w:tcBorders>
            <w:noWrap/>
            <w:hideMark/>
          </w:tcPr>
          <w:p w14:paraId="3E5D4ACE" w14:textId="77777777" w:rsidR="00F320F5" w:rsidRPr="00332D59" w:rsidRDefault="00F320F5" w:rsidP="00F320F5">
            <w:pPr>
              <w:jc w:val="center"/>
            </w:pPr>
            <w:r w:rsidRPr="00332D59">
              <w:t>U</w:t>
            </w:r>
          </w:p>
        </w:tc>
        <w:tc>
          <w:tcPr>
            <w:tcW w:w="406" w:type="pct"/>
            <w:tcBorders>
              <w:top w:val="nil"/>
              <w:bottom w:val="single" w:sz="4" w:space="0" w:color="auto"/>
            </w:tcBorders>
            <w:noWrap/>
            <w:hideMark/>
          </w:tcPr>
          <w:p w14:paraId="1C0B9F06" w14:textId="77777777" w:rsidR="00F320F5" w:rsidRPr="00332D59" w:rsidRDefault="00F320F5" w:rsidP="00F320F5">
            <w:pPr>
              <w:jc w:val="center"/>
              <w:rPr>
                <w:i/>
              </w:rPr>
            </w:pPr>
            <w:r w:rsidRPr="00332D59">
              <w:rPr>
                <w:i/>
              </w:rPr>
              <w:t>z</w:t>
            </w:r>
          </w:p>
        </w:tc>
        <w:tc>
          <w:tcPr>
            <w:tcW w:w="369" w:type="pct"/>
            <w:tcBorders>
              <w:top w:val="nil"/>
              <w:bottom w:val="single" w:sz="4" w:space="0" w:color="auto"/>
            </w:tcBorders>
            <w:noWrap/>
            <w:hideMark/>
          </w:tcPr>
          <w:p w14:paraId="04E06906" w14:textId="77777777" w:rsidR="00F320F5" w:rsidRPr="00332D59" w:rsidRDefault="00F320F5" w:rsidP="00F320F5">
            <w:pPr>
              <w:jc w:val="center"/>
              <w:rPr>
                <w:i/>
              </w:rPr>
            </w:pPr>
            <w:r w:rsidRPr="00332D59">
              <w:rPr>
                <w:i/>
              </w:rPr>
              <w:t>p</w:t>
            </w:r>
          </w:p>
        </w:tc>
        <w:tc>
          <w:tcPr>
            <w:tcW w:w="369" w:type="pct"/>
            <w:tcBorders>
              <w:top w:val="nil"/>
              <w:bottom w:val="single" w:sz="4" w:space="0" w:color="auto"/>
            </w:tcBorders>
            <w:noWrap/>
            <w:hideMark/>
          </w:tcPr>
          <w:p w14:paraId="3029B55E" w14:textId="77777777" w:rsidR="00F320F5" w:rsidRPr="00332D59" w:rsidRDefault="00F320F5" w:rsidP="00F320F5">
            <w:pPr>
              <w:jc w:val="center"/>
              <w:rPr>
                <w:i/>
              </w:rPr>
            </w:pPr>
            <w:r w:rsidRPr="00332D59">
              <w:rPr>
                <w:i/>
              </w:rPr>
              <w:t>r</w:t>
            </w:r>
          </w:p>
        </w:tc>
      </w:tr>
      <w:tr w:rsidR="00B16443" w:rsidRPr="00332D59" w14:paraId="3B0DC22A" w14:textId="77777777" w:rsidTr="003A0B75">
        <w:trPr>
          <w:trHeight w:val="300"/>
          <w:jc w:val="center"/>
        </w:trPr>
        <w:tc>
          <w:tcPr>
            <w:tcW w:w="1251" w:type="pct"/>
            <w:tcBorders>
              <w:top w:val="single" w:sz="4" w:space="0" w:color="auto"/>
            </w:tcBorders>
            <w:noWrap/>
            <w:hideMark/>
          </w:tcPr>
          <w:p w14:paraId="1599FC57" w14:textId="77777777" w:rsidR="00B16443" w:rsidRPr="00332D59" w:rsidRDefault="00B16443" w:rsidP="00B16443">
            <w:r>
              <w:t>Behavioural intention</w:t>
            </w:r>
          </w:p>
        </w:tc>
        <w:tc>
          <w:tcPr>
            <w:tcW w:w="1039" w:type="pct"/>
            <w:tcBorders>
              <w:top w:val="single" w:sz="4" w:space="0" w:color="auto"/>
              <w:bottom w:val="nil"/>
            </w:tcBorders>
            <w:noWrap/>
          </w:tcPr>
          <w:p w14:paraId="4F725BBD" w14:textId="77777777" w:rsidR="00B16443" w:rsidRPr="00332D59" w:rsidRDefault="00B16443" w:rsidP="00B16443">
            <w:pPr>
              <w:jc w:val="center"/>
            </w:pPr>
            <w:r w:rsidRPr="00C73002">
              <w:t>425.12</w:t>
            </w:r>
          </w:p>
        </w:tc>
        <w:tc>
          <w:tcPr>
            <w:tcW w:w="1085" w:type="pct"/>
            <w:tcBorders>
              <w:top w:val="single" w:sz="4" w:space="0" w:color="auto"/>
              <w:bottom w:val="nil"/>
              <w:right w:val="single" w:sz="4" w:space="0" w:color="auto"/>
            </w:tcBorders>
            <w:noWrap/>
            <w:hideMark/>
          </w:tcPr>
          <w:p w14:paraId="71363C19" w14:textId="77777777" w:rsidR="00B16443" w:rsidRPr="00332D59" w:rsidRDefault="00B16443" w:rsidP="00B16443">
            <w:pPr>
              <w:jc w:val="center"/>
            </w:pPr>
            <w:r w:rsidRPr="00C73002">
              <w:t>492.68</w:t>
            </w:r>
          </w:p>
        </w:tc>
        <w:tc>
          <w:tcPr>
            <w:tcW w:w="480" w:type="pct"/>
            <w:tcBorders>
              <w:top w:val="single" w:sz="4" w:space="0" w:color="auto"/>
              <w:left w:val="single" w:sz="4" w:space="0" w:color="auto"/>
              <w:bottom w:val="nil"/>
            </w:tcBorders>
            <w:noWrap/>
            <w:hideMark/>
          </w:tcPr>
          <w:p w14:paraId="48AC6E23" w14:textId="77777777" w:rsidR="00B16443" w:rsidRPr="00332D59" w:rsidRDefault="00B16443" w:rsidP="00B16443">
            <w:pPr>
              <w:jc w:val="right"/>
            </w:pPr>
            <w:r>
              <w:t>60231</w:t>
            </w:r>
          </w:p>
        </w:tc>
        <w:tc>
          <w:tcPr>
            <w:tcW w:w="406" w:type="pct"/>
            <w:tcBorders>
              <w:top w:val="single" w:sz="4" w:space="0" w:color="auto"/>
              <w:bottom w:val="nil"/>
            </w:tcBorders>
            <w:noWrap/>
            <w:hideMark/>
          </w:tcPr>
          <w:p w14:paraId="1A0A13A7" w14:textId="77777777" w:rsidR="00B16443" w:rsidRPr="00332D59" w:rsidRDefault="00B16443" w:rsidP="00B16443">
            <w:pPr>
              <w:jc w:val="center"/>
            </w:pPr>
            <w:r w:rsidRPr="00C73002">
              <w:t>-2.974</w:t>
            </w:r>
          </w:p>
        </w:tc>
        <w:tc>
          <w:tcPr>
            <w:tcW w:w="369" w:type="pct"/>
            <w:tcBorders>
              <w:top w:val="single" w:sz="4" w:space="0" w:color="auto"/>
              <w:bottom w:val="nil"/>
            </w:tcBorders>
            <w:noWrap/>
            <w:hideMark/>
          </w:tcPr>
          <w:p w14:paraId="0FA0A678" w14:textId="77777777" w:rsidR="00B16443" w:rsidRPr="00A51B6C" w:rsidRDefault="00B16443" w:rsidP="00B16443">
            <w:pPr>
              <w:jc w:val="center"/>
            </w:pPr>
            <w:r w:rsidRPr="00A51B6C">
              <w:t>0.003</w:t>
            </w:r>
          </w:p>
        </w:tc>
        <w:tc>
          <w:tcPr>
            <w:tcW w:w="369" w:type="pct"/>
            <w:tcBorders>
              <w:top w:val="single" w:sz="4" w:space="0" w:color="auto"/>
              <w:bottom w:val="nil"/>
            </w:tcBorders>
            <w:noWrap/>
            <w:hideMark/>
          </w:tcPr>
          <w:p w14:paraId="211EF0EF" w14:textId="77777777" w:rsidR="00B16443" w:rsidRPr="00332D59" w:rsidRDefault="00B16443" w:rsidP="00B16443">
            <w:pPr>
              <w:jc w:val="center"/>
            </w:pPr>
            <w:r w:rsidRPr="00C73002">
              <w:t>0.096</w:t>
            </w:r>
          </w:p>
        </w:tc>
      </w:tr>
      <w:tr w:rsidR="00B16443" w:rsidRPr="00332D59" w14:paraId="3EB13173" w14:textId="77777777" w:rsidTr="003A0B75">
        <w:trPr>
          <w:trHeight w:val="300"/>
          <w:jc w:val="center"/>
        </w:trPr>
        <w:tc>
          <w:tcPr>
            <w:tcW w:w="1251" w:type="pct"/>
            <w:noWrap/>
            <w:hideMark/>
          </w:tcPr>
          <w:p w14:paraId="19DE87B9" w14:textId="77777777" w:rsidR="00B16443" w:rsidRPr="00332D59" w:rsidRDefault="00B16443" w:rsidP="00B16443">
            <w:r>
              <w:rPr>
                <w:lang w:val="en-US"/>
              </w:rPr>
              <w:t>Effort expectancy</w:t>
            </w:r>
          </w:p>
        </w:tc>
        <w:tc>
          <w:tcPr>
            <w:tcW w:w="1039" w:type="pct"/>
            <w:tcBorders>
              <w:top w:val="nil"/>
              <w:bottom w:val="nil"/>
            </w:tcBorders>
            <w:noWrap/>
          </w:tcPr>
          <w:p w14:paraId="09097C1B" w14:textId="77777777" w:rsidR="00B16443" w:rsidRPr="00332D59" w:rsidRDefault="00B16443" w:rsidP="00B16443">
            <w:pPr>
              <w:jc w:val="center"/>
            </w:pPr>
            <w:r w:rsidRPr="00C73002">
              <w:t>420.13</w:t>
            </w:r>
          </w:p>
        </w:tc>
        <w:tc>
          <w:tcPr>
            <w:tcW w:w="1085" w:type="pct"/>
            <w:tcBorders>
              <w:top w:val="nil"/>
              <w:bottom w:val="nil"/>
              <w:right w:val="single" w:sz="4" w:space="0" w:color="auto"/>
            </w:tcBorders>
            <w:noWrap/>
            <w:hideMark/>
          </w:tcPr>
          <w:p w14:paraId="4BEADE9E" w14:textId="77777777" w:rsidR="00B16443" w:rsidRPr="00332D59" w:rsidRDefault="00B16443" w:rsidP="00B16443">
            <w:pPr>
              <w:jc w:val="center"/>
            </w:pPr>
            <w:r w:rsidRPr="00C73002">
              <w:t>493.83</w:t>
            </w:r>
          </w:p>
        </w:tc>
        <w:tc>
          <w:tcPr>
            <w:tcW w:w="480" w:type="pct"/>
            <w:tcBorders>
              <w:top w:val="nil"/>
              <w:left w:val="single" w:sz="4" w:space="0" w:color="auto"/>
              <w:bottom w:val="nil"/>
            </w:tcBorders>
            <w:noWrap/>
            <w:hideMark/>
          </w:tcPr>
          <w:p w14:paraId="0C6B1FD4" w14:textId="77777777" w:rsidR="00B16443" w:rsidRPr="00332D59" w:rsidRDefault="00B16443" w:rsidP="00B16443">
            <w:pPr>
              <w:jc w:val="right"/>
            </w:pPr>
            <w:r w:rsidRPr="00C73002">
              <w:t>59333.5</w:t>
            </w:r>
          </w:p>
        </w:tc>
        <w:tc>
          <w:tcPr>
            <w:tcW w:w="406" w:type="pct"/>
            <w:tcBorders>
              <w:top w:val="nil"/>
              <w:bottom w:val="nil"/>
            </w:tcBorders>
            <w:noWrap/>
            <w:hideMark/>
          </w:tcPr>
          <w:p w14:paraId="04B0C5FC" w14:textId="77777777" w:rsidR="00B16443" w:rsidRPr="00332D59" w:rsidRDefault="00B16443" w:rsidP="00B16443">
            <w:pPr>
              <w:jc w:val="center"/>
            </w:pPr>
            <w:r w:rsidRPr="00C73002">
              <w:t>-3.326</w:t>
            </w:r>
          </w:p>
        </w:tc>
        <w:tc>
          <w:tcPr>
            <w:tcW w:w="369" w:type="pct"/>
            <w:tcBorders>
              <w:top w:val="nil"/>
              <w:bottom w:val="nil"/>
            </w:tcBorders>
            <w:noWrap/>
            <w:hideMark/>
          </w:tcPr>
          <w:p w14:paraId="0CA81058" w14:textId="77777777" w:rsidR="00B16443" w:rsidRPr="00A51B6C" w:rsidRDefault="00B16443" w:rsidP="00B16443">
            <w:pPr>
              <w:jc w:val="center"/>
            </w:pPr>
            <w:r w:rsidRPr="00A51B6C">
              <w:t>0.001</w:t>
            </w:r>
          </w:p>
        </w:tc>
        <w:tc>
          <w:tcPr>
            <w:tcW w:w="369" w:type="pct"/>
            <w:tcBorders>
              <w:top w:val="nil"/>
              <w:bottom w:val="nil"/>
            </w:tcBorders>
            <w:noWrap/>
            <w:hideMark/>
          </w:tcPr>
          <w:p w14:paraId="2687B180" w14:textId="77777777" w:rsidR="00B16443" w:rsidRPr="00332D59" w:rsidRDefault="00B16443" w:rsidP="00B16443">
            <w:pPr>
              <w:jc w:val="center"/>
            </w:pPr>
            <w:r w:rsidRPr="00C73002">
              <w:t>0.107</w:t>
            </w:r>
          </w:p>
        </w:tc>
      </w:tr>
      <w:tr w:rsidR="00B16443" w:rsidRPr="00332D59" w14:paraId="19FFDEFB" w14:textId="77777777" w:rsidTr="003A0B75">
        <w:trPr>
          <w:trHeight w:val="300"/>
          <w:jc w:val="center"/>
        </w:trPr>
        <w:tc>
          <w:tcPr>
            <w:tcW w:w="1251" w:type="pct"/>
            <w:noWrap/>
            <w:hideMark/>
          </w:tcPr>
          <w:p w14:paraId="2EC2DA3A" w14:textId="77777777" w:rsidR="00B16443" w:rsidRPr="00332D59" w:rsidRDefault="00B16443" w:rsidP="00B16443">
            <w:r>
              <w:rPr>
                <w:lang w:val="en-US"/>
              </w:rPr>
              <w:t>Facilitation conditions</w:t>
            </w:r>
          </w:p>
        </w:tc>
        <w:tc>
          <w:tcPr>
            <w:tcW w:w="1039" w:type="pct"/>
            <w:tcBorders>
              <w:top w:val="nil"/>
              <w:bottom w:val="nil"/>
            </w:tcBorders>
            <w:noWrap/>
          </w:tcPr>
          <w:p w14:paraId="043AA78F" w14:textId="77777777" w:rsidR="00B16443" w:rsidRPr="00332D59" w:rsidRDefault="00B16443" w:rsidP="00B16443">
            <w:pPr>
              <w:jc w:val="center"/>
            </w:pPr>
            <w:r w:rsidRPr="00C73002">
              <w:t>422.73</w:t>
            </w:r>
          </w:p>
        </w:tc>
        <w:tc>
          <w:tcPr>
            <w:tcW w:w="1085" w:type="pct"/>
            <w:tcBorders>
              <w:top w:val="nil"/>
              <w:bottom w:val="nil"/>
              <w:right w:val="single" w:sz="4" w:space="0" w:color="auto"/>
            </w:tcBorders>
            <w:noWrap/>
            <w:hideMark/>
          </w:tcPr>
          <w:p w14:paraId="593ACD2C" w14:textId="77777777" w:rsidR="00B16443" w:rsidRPr="00332D59" w:rsidRDefault="00B16443" w:rsidP="00B16443">
            <w:pPr>
              <w:jc w:val="center"/>
            </w:pPr>
            <w:r w:rsidRPr="00C73002">
              <w:t>493.23</w:t>
            </w:r>
          </w:p>
        </w:tc>
        <w:tc>
          <w:tcPr>
            <w:tcW w:w="480" w:type="pct"/>
            <w:tcBorders>
              <w:top w:val="nil"/>
              <w:left w:val="single" w:sz="4" w:space="0" w:color="auto"/>
              <w:bottom w:val="nil"/>
            </w:tcBorders>
            <w:noWrap/>
            <w:hideMark/>
          </w:tcPr>
          <w:p w14:paraId="3FDE01FA" w14:textId="77777777" w:rsidR="00B16443" w:rsidRPr="00332D59" w:rsidRDefault="00B16443" w:rsidP="00B16443">
            <w:pPr>
              <w:jc w:val="right"/>
            </w:pPr>
            <w:r w:rsidRPr="00C73002">
              <w:t>59800.5</w:t>
            </w:r>
          </w:p>
        </w:tc>
        <w:tc>
          <w:tcPr>
            <w:tcW w:w="406" w:type="pct"/>
            <w:tcBorders>
              <w:top w:val="nil"/>
              <w:bottom w:val="nil"/>
            </w:tcBorders>
            <w:noWrap/>
            <w:hideMark/>
          </w:tcPr>
          <w:p w14:paraId="42FEAA5D" w14:textId="77777777" w:rsidR="00B16443" w:rsidRPr="00332D59" w:rsidRDefault="00B16443" w:rsidP="00B16443">
            <w:pPr>
              <w:jc w:val="center"/>
            </w:pPr>
            <w:r w:rsidRPr="00C73002">
              <w:t>-3.173</w:t>
            </w:r>
          </w:p>
        </w:tc>
        <w:tc>
          <w:tcPr>
            <w:tcW w:w="369" w:type="pct"/>
            <w:tcBorders>
              <w:top w:val="nil"/>
              <w:bottom w:val="nil"/>
            </w:tcBorders>
            <w:noWrap/>
            <w:hideMark/>
          </w:tcPr>
          <w:p w14:paraId="3EDA83C2" w14:textId="77777777" w:rsidR="00B16443" w:rsidRPr="00A51B6C" w:rsidRDefault="00B16443" w:rsidP="00B16443">
            <w:pPr>
              <w:jc w:val="center"/>
            </w:pPr>
            <w:r w:rsidRPr="00A51B6C">
              <w:t>0.002</w:t>
            </w:r>
          </w:p>
        </w:tc>
        <w:tc>
          <w:tcPr>
            <w:tcW w:w="369" w:type="pct"/>
            <w:tcBorders>
              <w:top w:val="nil"/>
              <w:bottom w:val="nil"/>
            </w:tcBorders>
            <w:noWrap/>
            <w:hideMark/>
          </w:tcPr>
          <w:p w14:paraId="5FFD7860" w14:textId="77777777" w:rsidR="00B16443" w:rsidRPr="00332D59" w:rsidRDefault="00B16443" w:rsidP="00B16443">
            <w:pPr>
              <w:jc w:val="center"/>
            </w:pPr>
            <w:r w:rsidRPr="00C73002">
              <w:t>0.102</w:t>
            </w:r>
          </w:p>
        </w:tc>
      </w:tr>
      <w:tr w:rsidR="00B16443" w:rsidRPr="00332D59" w14:paraId="5060C52F" w14:textId="77777777" w:rsidTr="003A0B75">
        <w:trPr>
          <w:trHeight w:val="300"/>
          <w:jc w:val="center"/>
        </w:trPr>
        <w:tc>
          <w:tcPr>
            <w:tcW w:w="1251" w:type="pct"/>
            <w:noWrap/>
            <w:hideMark/>
          </w:tcPr>
          <w:p w14:paraId="081A1070" w14:textId="77777777" w:rsidR="00B16443" w:rsidRPr="00332D59" w:rsidRDefault="00B16443" w:rsidP="00B16443">
            <w:r>
              <w:t>Habit</w:t>
            </w:r>
          </w:p>
        </w:tc>
        <w:tc>
          <w:tcPr>
            <w:tcW w:w="1039" w:type="pct"/>
            <w:tcBorders>
              <w:top w:val="nil"/>
              <w:bottom w:val="nil"/>
            </w:tcBorders>
            <w:noWrap/>
          </w:tcPr>
          <w:p w14:paraId="6AF55693" w14:textId="77777777" w:rsidR="00B16443" w:rsidRPr="00332D59" w:rsidRDefault="00B16443" w:rsidP="00B16443">
            <w:pPr>
              <w:jc w:val="center"/>
            </w:pPr>
            <w:r w:rsidRPr="00C73002">
              <w:t>422.75</w:t>
            </w:r>
          </w:p>
        </w:tc>
        <w:tc>
          <w:tcPr>
            <w:tcW w:w="1085" w:type="pct"/>
            <w:tcBorders>
              <w:top w:val="nil"/>
              <w:bottom w:val="nil"/>
              <w:right w:val="single" w:sz="4" w:space="0" w:color="auto"/>
            </w:tcBorders>
            <w:noWrap/>
            <w:hideMark/>
          </w:tcPr>
          <w:p w14:paraId="610746F4" w14:textId="77777777" w:rsidR="00B16443" w:rsidRPr="00332D59" w:rsidRDefault="00B16443" w:rsidP="00B16443">
            <w:pPr>
              <w:jc w:val="center"/>
            </w:pPr>
            <w:r w:rsidRPr="00C73002">
              <w:t>493.23</w:t>
            </w:r>
          </w:p>
        </w:tc>
        <w:tc>
          <w:tcPr>
            <w:tcW w:w="480" w:type="pct"/>
            <w:tcBorders>
              <w:top w:val="nil"/>
              <w:left w:val="single" w:sz="4" w:space="0" w:color="auto"/>
              <w:bottom w:val="nil"/>
            </w:tcBorders>
            <w:noWrap/>
            <w:hideMark/>
          </w:tcPr>
          <w:p w14:paraId="6F39DABA" w14:textId="77777777" w:rsidR="00B16443" w:rsidRPr="00332D59" w:rsidRDefault="00B16443" w:rsidP="00B16443">
            <w:pPr>
              <w:jc w:val="right"/>
            </w:pPr>
            <w:r>
              <w:t>59805</w:t>
            </w:r>
          </w:p>
        </w:tc>
        <w:tc>
          <w:tcPr>
            <w:tcW w:w="406" w:type="pct"/>
            <w:tcBorders>
              <w:top w:val="nil"/>
              <w:bottom w:val="nil"/>
            </w:tcBorders>
            <w:noWrap/>
            <w:hideMark/>
          </w:tcPr>
          <w:p w14:paraId="1988F47A" w14:textId="77777777" w:rsidR="00B16443" w:rsidRPr="00332D59" w:rsidRDefault="00B16443" w:rsidP="00B16443">
            <w:pPr>
              <w:jc w:val="center"/>
            </w:pPr>
            <w:r w:rsidRPr="00C73002">
              <w:t>-3.081</w:t>
            </w:r>
          </w:p>
        </w:tc>
        <w:tc>
          <w:tcPr>
            <w:tcW w:w="369" w:type="pct"/>
            <w:tcBorders>
              <w:top w:val="nil"/>
              <w:bottom w:val="nil"/>
            </w:tcBorders>
            <w:noWrap/>
            <w:hideMark/>
          </w:tcPr>
          <w:p w14:paraId="3617BD2B" w14:textId="77777777" w:rsidR="00B16443" w:rsidRPr="00A51B6C" w:rsidRDefault="00B16443" w:rsidP="00B16443">
            <w:pPr>
              <w:jc w:val="center"/>
            </w:pPr>
            <w:r w:rsidRPr="00A51B6C">
              <w:t>0.002</w:t>
            </w:r>
          </w:p>
        </w:tc>
        <w:tc>
          <w:tcPr>
            <w:tcW w:w="369" w:type="pct"/>
            <w:tcBorders>
              <w:top w:val="nil"/>
              <w:bottom w:val="nil"/>
            </w:tcBorders>
            <w:noWrap/>
            <w:hideMark/>
          </w:tcPr>
          <w:p w14:paraId="47C0F416" w14:textId="77777777" w:rsidR="00B16443" w:rsidRPr="00332D59" w:rsidRDefault="00B16443" w:rsidP="00B16443">
            <w:pPr>
              <w:jc w:val="center"/>
            </w:pPr>
            <w:r w:rsidRPr="00C73002">
              <w:t>0.099</w:t>
            </w:r>
          </w:p>
        </w:tc>
      </w:tr>
      <w:tr w:rsidR="00B16443" w:rsidRPr="00332D59" w14:paraId="420472A7" w14:textId="77777777" w:rsidTr="003A0B75">
        <w:trPr>
          <w:trHeight w:val="300"/>
          <w:jc w:val="center"/>
        </w:trPr>
        <w:tc>
          <w:tcPr>
            <w:tcW w:w="1251" w:type="pct"/>
            <w:noWrap/>
            <w:hideMark/>
          </w:tcPr>
          <w:p w14:paraId="2B798A12" w14:textId="77777777" w:rsidR="00B16443" w:rsidRPr="00332D59" w:rsidRDefault="00B16443" w:rsidP="00B16443">
            <w:r>
              <w:rPr>
                <w:lang w:val="en-US"/>
              </w:rPr>
              <w:t>Hedonic motivation</w:t>
            </w:r>
          </w:p>
        </w:tc>
        <w:tc>
          <w:tcPr>
            <w:tcW w:w="1039" w:type="pct"/>
            <w:tcBorders>
              <w:top w:val="nil"/>
              <w:bottom w:val="nil"/>
            </w:tcBorders>
            <w:noWrap/>
          </w:tcPr>
          <w:p w14:paraId="70B2A0E3" w14:textId="77777777" w:rsidR="00B16443" w:rsidRPr="00332D59" w:rsidRDefault="00B16443" w:rsidP="00B16443">
            <w:pPr>
              <w:jc w:val="center"/>
            </w:pPr>
            <w:r w:rsidRPr="00C73002">
              <w:t>487.82</w:t>
            </w:r>
          </w:p>
        </w:tc>
        <w:tc>
          <w:tcPr>
            <w:tcW w:w="1085" w:type="pct"/>
            <w:tcBorders>
              <w:top w:val="nil"/>
              <w:bottom w:val="nil"/>
              <w:right w:val="single" w:sz="4" w:space="0" w:color="auto"/>
            </w:tcBorders>
            <w:noWrap/>
            <w:hideMark/>
          </w:tcPr>
          <w:p w14:paraId="0FD32831" w14:textId="77777777" w:rsidR="00B16443" w:rsidRPr="00332D59" w:rsidRDefault="00B16443" w:rsidP="00B16443">
            <w:pPr>
              <w:jc w:val="center"/>
            </w:pPr>
            <w:r w:rsidRPr="00C73002">
              <w:t>478.19</w:t>
            </w:r>
          </w:p>
        </w:tc>
        <w:tc>
          <w:tcPr>
            <w:tcW w:w="480" w:type="pct"/>
            <w:tcBorders>
              <w:top w:val="nil"/>
              <w:left w:val="single" w:sz="4" w:space="0" w:color="auto"/>
              <w:bottom w:val="nil"/>
            </w:tcBorders>
            <w:noWrap/>
            <w:hideMark/>
          </w:tcPr>
          <w:p w14:paraId="32B99FDE" w14:textId="77777777" w:rsidR="00B16443" w:rsidRPr="00332D59" w:rsidRDefault="00B16443" w:rsidP="00B16443">
            <w:pPr>
              <w:jc w:val="right"/>
            </w:pPr>
            <w:r>
              <w:t>68702</w:t>
            </w:r>
          </w:p>
        </w:tc>
        <w:tc>
          <w:tcPr>
            <w:tcW w:w="406" w:type="pct"/>
            <w:tcBorders>
              <w:top w:val="nil"/>
              <w:bottom w:val="nil"/>
            </w:tcBorders>
            <w:noWrap/>
            <w:hideMark/>
          </w:tcPr>
          <w:p w14:paraId="1636C6BE" w14:textId="77777777" w:rsidR="00B16443" w:rsidRPr="00332D59" w:rsidRDefault="00B16443" w:rsidP="00B16443">
            <w:pPr>
              <w:jc w:val="center"/>
            </w:pPr>
            <w:r w:rsidRPr="00C73002">
              <w:t>-0.421</w:t>
            </w:r>
          </w:p>
        </w:tc>
        <w:tc>
          <w:tcPr>
            <w:tcW w:w="369" w:type="pct"/>
            <w:tcBorders>
              <w:top w:val="nil"/>
              <w:bottom w:val="nil"/>
            </w:tcBorders>
            <w:noWrap/>
            <w:hideMark/>
          </w:tcPr>
          <w:p w14:paraId="4E731840" w14:textId="77777777" w:rsidR="00B16443" w:rsidRPr="00A51B6C" w:rsidRDefault="00B16443" w:rsidP="00B16443">
            <w:pPr>
              <w:jc w:val="center"/>
            </w:pPr>
            <w:r w:rsidRPr="00A51B6C">
              <w:t>0.674</w:t>
            </w:r>
          </w:p>
        </w:tc>
        <w:tc>
          <w:tcPr>
            <w:tcW w:w="369" w:type="pct"/>
            <w:tcBorders>
              <w:top w:val="nil"/>
              <w:bottom w:val="nil"/>
            </w:tcBorders>
            <w:noWrap/>
            <w:hideMark/>
          </w:tcPr>
          <w:p w14:paraId="3076360E" w14:textId="77777777" w:rsidR="00B16443" w:rsidRPr="00332D59" w:rsidRDefault="00B16443" w:rsidP="00B16443">
            <w:pPr>
              <w:jc w:val="center"/>
            </w:pPr>
            <w:r w:rsidRPr="00C73002">
              <w:t>0.014</w:t>
            </w:r>
          </w:p>
        </w:tc>
      </w:tr>
      <w:tr w:rsidR="00B16443" w:rsidRPr="00332D59" w14:paraId="6FFC3B26" w14:textId="77777777" w:rsidTr="003A0B75">
        <w:trPr>
          <w:trHeight w:val="300"/>
          <w:jc w:val="center"/>
        </w:trPr>
        <w:tc>
          <w:tcPr>
            <w:tcW w:w="1251" w:type="pct"/>
            <w:noWrap/>
            <w:hideMark/>
          </w:tcPr>
          <w:p w14:paraId="3FAF5A04" w14:textId="77777777" w:rsidR="00B16443" w:rsidRPr="00332D59" w:rsidRDefault="00B16443" w:rsidP="00B16443">
            <w:r>
              <w:rPr>
                <w:lang w:val="en-US"/>
              </w:rPr>
              <w:t>Performance expectancy</w:t>
            </w:r>
          </w:p>
        </w:tc>
        <w:tc>
          <w:tcPr>
            <w:tcW w:w="1039" w:type="pct"/>
            <w:tcBorders>
              <w:top w:val="nil"/>
              <w:bottom w:val="nil"/>
            </w:tcBorders>
            <w:noWrap/>
          </w:tcPr>
          <w:p w14:paraId="451D3421" w14:textId="77777777" w:rsidR="00B16443" w:rsidRPr="00332D59" w:rsidRDefault="00B16443" w:rsidP="00B16443">
            <w:pPr>
              <w:jc w:val="center"/>
            </w:pPr>
            <w:r w:rsidRPr="00C73002">
              <w:t>439.82</w:t>
            </w:r>
          </w:p>
        </w:tc>
        <w:tc>
          <w:tcPr>
            <w:tcW w:w="1085" w:type="pct"/>
            <w:tcBorders>
              <w:top w:val="nil"/>
              <w:bottom w:val="nil"/>
              <w:right w:val="single" w:sz="4" w:space="0" w:color="auto"/>
            </w:tcBorders>
            <w:noWrap/>
            <w:hideMark/>
          </w:tcPr>
          <w:p w14:paraId="0C65A651" w14:textId="77777777" w:rsidR="00B16443" w:rsidRPr="00332D59" w:rsidRDefault="00B16443" w:rsidP="00B16443">
            <w:pPr>
              <w:jc w:val="center"/>
            </w:pPr>
            <w:r w:rsidRPr="00C73002">
              <w:t>489.28</w:t>
            </w:r>
          </w:p>
        </w:tc>
        <w:tc>
          <w:tcPr>
            <w:tcW w:w="480" w:type="pct"/>
            <w:tcBorders>
              <w:top w:val="nil"/>
              <w:left w:val="single" w:sz="4" w:space="0" w:color="auto"/>
              <w:bottom w:val="nil"/>
            </w:tcBorders>
            <w:noWrap/>
            <w:hideMark/>
          </w:tcPr>
          <w:p w14:paraId="32AA1A1D" w14:textId="77777777" w:rsidR="00B16443" w:rsidRPr="00332D59" w:rsidRDefault="00B16443" w:rsidP="00B16443">
            <w:pPr>
              <w:jc w:val="right"/>
            </w:pPr>
            <w:r w:rsidRPr="00C73002">
              <w:t>62877.5</w:t>
            </w:r>
          </w:p>
        </w:tc>
        <w:tc>
          <w:tcPr>
            <w:tcW w:w="406" w:type="pct"/>
            <w:tcBorders>
              <w:top w:val="nil"/>
              <w:bottom w:val="nil"/>
            </w:tcBorders>
            <w:noWrap/>
            <w:hideMark/>
          </w:tcPr>
          <w:p w14:paraId="42B89637" w14:textId="77777777" w:rsidR="00B16443" w:rsidRPr="00332D59" w:rsidRDefault="00B16443" w:rsidP="00B16443">
            <w:pPr>
              <w:jc w:val="center"/>
            </w:pPr>
            <w:r w:rsidRPr="00C73002">
              <w:t>-2.186</w:t>
            </w:r>
          </w:p>
        </w:tc>
        <w:tc>
          <w:tcPr>
            <w:tcW w:w="369" w:type="pct"/>
            <w:tcBorders>
              <w:top w:val="nil"/>
              <w:bottom w:val="nil"/>
            </w:tcBorders>
            <w:noWrap/>
            <w:hideMark/>
          </w:tcPr>
          <w:p w14:paraId="3E6780FD" w14:textId="77777777" w:rsidR="00B16443" w:rsidRPr="00A51B6C" w:rsidRDefault="00B16443" w:rsidP="00B16443">
            <w:pPr>
              <w:jc w:val="center"/>
            </w:pPr>
            <w:r w:rsidRPr="00A51B6C">
              <w:t>0.029</w:t>
            </w:r>
          </w:p>
        </w:tc>
        <w:tc>
          <w:tcPr>
            <w:tcW w:w="369" w:type="pct"/>
            <w:tcBorders>
              <w:top w:val="nil"/>
              <w:bottom w:val="nil"/>
            </w:tcBorders>
            <w:noWrap/>
            <w:hideMark/>
          </w:tcPr>
          <w:p w14:paraId="23CC4EEA" w14:textId="77777777" w:rsidR="00B16443" w:rsidRPr="00332D59" w:rsidRDefault="00B16443" w:rsidP="00B16443">
            <w:pPr>
              <w:jc w:val="center"/>
            </w:pPr>
            <w:r w:rsidRPr="00C73002">
              <w:t>0.071</w:t>
            </w:r>
          </w:p>
        </w:tc>
      </w:tr>
      <w:tr w:rsidR="00B16443" w:rsidRPr="00332D59" w14:paraId="3F6FCC71" w14:textId="77777777" w:rsidTr="003A0B75">
        <w:trPr>
          <w:trHeight w:val="300"/>
          <w:jc w:val="center"/>
        </w:trPr>
        <w:tc>
          <w:tcPr>
            <w:tcW w:w="1251" w:type="pct"/>
            <w:noWrap/>
            <w:hideMark/>
          </w:tcPr>
          <w:p w14:paraId="3A762055" w14:textId="77777777" w:rsidR="00B16443" w:rsidRPr="00332D59" w:rsidRDefault="00B16443" w:rsidP="00B16443">
            <w:r>
              <w:rPr>
                <w:lang w:val="en-US"/>
              </w:rPr>
              <w:t>Social influence</w:t>
            </w:r>
          </w:p>
        </w:tc>
        <w:tc>
          <w:tcPr>
            <w:tcW w:w="1039" w:type="pct"/>
            <w:tcBorders>
              <w:top w:val="nil"/>
              <w:bottom w:val="nil"/>
            </w:tcBorders>
            <w:noWrap/>
          </w:tcPr>
          <w:p w14:paraId="60C33CB6" w14:textId="77777777" w:rsidR="00B16443" w:rsidRPr="00332D59" w:rsidRDefault="00B16443" w:rsidP="00B16443">
            <w:pPr>
              <w:jc w:val="center"/>
            </w:pPr>
            <w:r w:rsidRPr="00C73002">
              <w:t>486.75</w:t>
            </w:r>
          </w:p>
        </w:tc>
        <w:tc>
          <w:tcPr>
            <w:tcW w:w="1085" w:type="pct"/>
            <w:tcBorders>
              <w:top w:val="nil"/>
              <w:bottom w:val="nil"/>
              <w:right w:val="single" w:sz="4" w:space="0" w:color="auto"/>
            </w:tcBorders>
            <w:noWrap/>
            <w:hideMark/>
          </w:tcPr>
          <w:p w14:paraId="3CFCF82C" w14:textId="77777777" w:rsidR="00B16443" w:rsidRPr="00332D59" w:rsidRDefault="00B16443" w:rsidP="00B16443">
            <w:pPr>
              <w:jc w:val="center"/>
            </w:pPr>
            <w:r w:rsidRPr="00C73002">
              <w:t>478.44</w:t>
            </w:r>
          </w:p>
        </w:tc>
        <w:tc>
          <w:tcPr>
            <w:tcW w:w="480" w:type="pct"/>
            <w:tcBorders>
              <w:top w:val="nil"/>
              <w:left w:val="single" w:sz="4" w:space="0" w:color="auto"/>
              <w:bottom w:val="nil"/>
            </w:tcBorders>
            <w:noWrap/>
            <w:hideMark/>
          </w:tcPr>
          <w:p w14:paraId="4FC97298" w14:textId="77777777" w:rsidR="00B16443" w:rsidRPr="00332D59" w:rsidRDefault="00B16443" w:rsidP="00B16443">
            <w:pPr>
              <w:jc w:val="right"/>
            </w:pPr>
            <w:r w:rsidRPr="00C73002">
              <w:t>68894.5</w:t>
            </w:r>
          </w:p>
        </w:tc>
        <w:tc>
          <w:tcPr>
            <w:tcW w:w="406" w:type="pct"/>
            <w:tcBorders>
              <w:top w:val="nil"/>
              <w:bottom w:val="nil"/>
            </w:tcBorders>
            <w:noWrap/>
            <w:hideMark/>
          </w:tcPr>
          <w:p w14:paraId="7E3E1D69" w14:textId="77777777" w:rsidR="00B16443" w:rsidRPr="00332D59" w:rsidRDefault="00B16443" w:rsidP="00B16443">
            <w:pPr>
              <w:jc w:val="center"/>
            </w:pPr>
            <w:r w:rsidRPr="00C73002">
              <w:t>-0.363</w:t>
            </w:r>
          </w:p>
        </w:tc>
        <w:tc>
          <w:tcPr>
            <w:tcW w:w="369" w:type="pct"/>
            <w:tcBorders>
              <w:top w:val="nil"/>
              <w:bottom w:val="nil"/>
            </w:tcBorders>
            <w:noWrap/>
            <w:hideMark/>
          </w:tcPr>
          <w:p w14:paraId="2FFB5070" w14:textId="77777777" w:rsidR="00B16443" w:rsidRPr="00A51B6C" w:rsidRDefault="00B16443" w:rsidP="00B16443">
            <w:pPr>
              <w:jc w:val="center"/>
            </w:pPr>
            <w:r w:rsidRPr="00A51B6C">
              <w:t>0.716</w:t>
            </w:r>
          </w:p>
        </w:tc>
        <w:tc>
          <w:tcPr>
            <w:tcW w:w="369" w:type="pct"/>
            <w:tcBorders>
              <w:top w:val="nil"/>
              <w:bottom w:val="nil"/>
            </w:tcBorders>
            <w:noWrap/>
            <w:hideMark/>
          </w:tcPr>
          <w:p w14:paraId="5749A5F0" w14:textId="77777777" w:rsidR="00B16443" w:rsidRPr="00332D59" w:rsidRDefault="00B16443" w:rsidP="00B16443">
            <w:pPr>
              <w:jc w:val="center"/>
            </w:pPr>
            <w:r w:rsidRPr="00C73002">
              <w:t>0.012</w:t>
            </w:r>
          </w:p>
        </w:tc>
      </w:tr>
      <w:tr w:rsidR="00B16443" w:rsidRPr="00332D59" w14:paraId="30D6A04C" w14:textId="77777777" w:rsidTr="003A0B75">
        <w:trPr>
          <w:trHeight w:val="300"/>
          <w:jc w:val="center"/>
        </w:trPr>
        <w:tc>
          <w:tcPr>
            <w:tcW w:w="1251" w:type="pct"/>
            <w:noWrap/>
            <w:hideMark/>
          </w:tcPr>
          <w:p w14:paraId="3F02E63D" w14:textId="77777777" w:rsidR="00B16443" w:rsidRPr="00332D59" w:rsidRDefault="00B16443" w:rsidP="00B16443">
            <w:r>
              <w:t>User behaviour</w:t>
            </w:r>
          </w:p>
        </w:tc>
        <w:tc>
          <w:tcPr>
            <w:tcW w:w="1039" w:type="pct"/>
            <w:tcBorders>
              <w:top w:val="nil"/>
              <w:bottom w:val="single" w:sz="4" w:space="0" w:color="auto"/>
            </w:tcBorders>
            <w:noWrap/>
          </w:tcPr>
          <w:p w14:paraId="6D478E2B" w14:textId="77777777" w:rsidR="00B16443" w:rsidRPr="00332D59" w:rsidRDefault="00B16443" w:rsidP="00B16443">
            <w:pPr>
              <w:jc w:val="center"/>
            </w:pPr>
            <w:r w:rsidRPr="00C73002">
              <w:t>436.15</w:t>
            </w:r>
          </w:p>
        </w:tc>
        <w:tc>
          <w:tcPr>
            <w:tcW w:w="1085" w:type="pct"/>
            <w:tcBorders>
              <w:top w:val="nil"/>
              <w:bottom w:val="single" w:sz="4" w:space="0" w:color="auto"/>
              <w:right w:val="single" w:sz="4" w:space="0" w:color="auto"/>
            </w:tcBorders>
            <w:noWrap/>
            <w:hideMark/>
          </w:tcPr>
          <w:p w14:paraId="6D2609EB" w14:textId="77777777" w:rsidR="00B16443" w:rsidRPr="00332D59" w:rsidRDefault="00B16443" w:rsidP="00B16443">
            <w:pPr>
              <w:jc w:val="center"/>
            </w:pPr>
            <w:r w:rsidRPr="00C73002">
              <w:t>490.13</w:t>
            </w:r>
          </w:p>
        </w:tc>
        <w:tc>
          <w:tcPr>
            <w:tcW w:w="480" w:type="pct"/>
            <w:tcBorders>
              <w:top w:val="nil"/>
              <w:left w:val="single" w:sz="4" w:space="0" w:color="auto"/>
              <w:bottom w:val="single" w:sz="4" w:space="0" w:color="auto"/>
            </w:tcBorders>
            <w:noWrap/>
            <w:hideMark/>
          </w:tcPr>
          <w:p w14:paraId="675777C7" w14:textId="77777777" w:rsidR="00B16443" w:rsidRPr="00332D59" w:rsidRDefault="00B16443" w:rsidP="00B16443">
            <w:pPr>
              <w:jc w:val="right"/>
            </w:pPr>
            <w:r w:rsidRPr="00C73002">
              <w:t>62216.5</w:t>
            </w:r>
          </w:p>
        </w:tc>
        <w:tc>
          <w:tcPr>
            <w:tcW w:w="406" w:type="pct"/>
            <w:tcBorders>
              <w:top w:val="nil"/>
              <w:bottom w:val="single" w:sz="4" w:space="0" w:color="auto"/>
            </w:tcBorders>
            <w:noWrap/>
            <w:hideMark/>
          </w:tcPr>
          <w:p w14:paraId="219AED6E" w14:textId="77777777" w:rsidR="00B16443" w:rsidRPr="00332D59" w:rsidRDefault="00B16443" w:rsidP="00B16443">
            <w:pPr>
              <w:jc w:val="center"/>
            </w:pPr>
            <w:r w:rsidRPr="00C73002">
              <w:t>-2.382</w:t>
            </w:r>
          </w:p>
        </w:tc>
        <w:tc>
          <w:tcPr>
            <w:tcW w:w="369" w:type="pct"/>
            <w:tcBorders>
              <w:top w:val="nil"/>
              <w:bottom w:val="single" w:sz="4" w:space="0" w:color="auto"/>
            </w:tcBorders>
            <w:noWrap/>
            <w:hideMark/>
          </w:tcPr>
          <w:p w14:paraId="4F934A29" w14:textId="77777777" w:rsidR="00B16443" w:rsidRPr="00A51B6C" w:rsidRDefault="00B16443" w:rsidP="00B16443">
            <w:pPr>
              <w:jc w:val="center"/>
            </w:pPr>
            <w:r w:rsidRPr="00A51B6C">
              <w:t>0.017</w:t>
            </w:r>
          </w:p>
        </w:tc>
        <w:tc>
          <w:tcPr>
            <w:tcW w:w="369" w:type="pct"/>
            <w:tcBorders>
              <w:top w:val="nil"/>
              <w:bottom w:val="single" w:sz="4" w:space="0" w:color="auto"/>
            </w:tcBorders>
            <w:noWrap/>
            <w:hideMark/>
          </w:tcPr>
          <w:p w14:paraId="6090DF62" w14:textId="77777777" w:rsidR="00B16443" w:rsidRPr="00332D59" w:rsidRDefault="00B16443" w:rsidP="00B16443">
            <w:pPr>
              <w:jc w:val="center"/>
            </w:pPr>
            <w:r w:rsidRPr="00C73002">
              <w:t>0.077</w:t>
            </w:r>
          </w:p>
        </w:tc>
      </w:tr>
    </w:tbl>
    <w:p w14:paraId="34D05A74" w14:textId="77777777" w:rsidR="00332D59" w:rsidRDefault="00332D59" w:rsidP="008F3BB2">
      <w:pPr>
        <w:rPr>
          <w:lang w:val="en-US"/>
        </w:rPr>
      </w:pPr>
    </w:p>
    <w:p w14:paraId="382ADB9F" w14:textId="7821AB83" w:rsidR="0063124A" w:rsidRPr="00AC1428" w:rsidRDefault="0063124A" w:rsidP="003256EF">
      <w:r>
        <w:t xml:space="preserve">The last demographic variable considered in the present study is financial experience, meaning whether individuals had any financial experience working for financial institutions or not. </w:t>
      </w:r>
      <w:r w:rsidR="00BA78C8">
        <w:t>Table 6</w:t>
      </w:r>
      <w:r>
        <w:t xml:space="preserve"> reported the results of </w:t>
      </w:r>
      <w:r w:rsidR="007861F6">
        <w:t xml:space="preserve">the </w:t>
      </w:r>
      <w:r w:rsidRPr="00180025">
        <w:t xml:space="preserve">Mann-Whitney test for </w:t>
      </w:r>
      <w:r w:rsidR="003256EF">
        <w:t>the latter</w:t>
      </w:r>
      <w:r>
        <w:t xml:space="preserve"> demographic variable and the UTAUT2 constructs</w:t>
      </w:r>
      <w:r w:rsidRPr="00180025">
        <w:t xml:space="preserve">. </w:t>
      </w:r>
      <w:r>
        <w:t xml:space="preserve">It was found </w:t>
      </w:r>
      <w:r w:rsidRPr="00180025">
        <w:t xml:space="preserve">that </w:t>
      </w:r>
      <w:r>
        <w:t>the place where people do matter in technology acceptance</w:t>
      </w:r>
      <w:r w:rsidR="009E1845">
        <w:t>,</w:t>
      </w:r>
      <w:r>
        <w:t xml:space="preserve"> including </w:t>
      </w:r>
      <w:r w:rsidR="003256EF">
        <w:t xml:space="preserve">the intention and use of </w:t>
      </w:r>
      <w:r>
        <w:t xml:space="preserve">mobile banking. </w:t>
      </w:r>
      <w:r w:rsidR="003256EF">
        <w:t>T</w:t>
      </w:r>
      <w:r>
        <w:t xml:space="preserve">he </w:t>
      </w:r>
      <w:r w:rsidR="003256EF">
        <w:t xml:space="preserve">performed </w:t>
      </w:r>
      <w:r>
        <w:t xml:space="preserve">test showed that </w:t>
      </w:r>
      <w:r w:rsidR="003256EF">
        <w:t>people that had an experience working/internship in the financial sector (bank, exchange office, microfinance institution, pension funds, insurance company, financial office, cons</w:t>
      </w:r>
      <w:r w:rsidR="0064452B">
        <w:t>ultant, cashier, stock exchange</w:t>
      </w:r>
      <w:r w:rsidR="003256EF">
        <w:t xml:space="preserve"> etc.) reflect</w:t>
      </w:r>
      <w:r w:rsidR="0064452B">
        <w:t>ed</w:t>
      </w:r>
      <w:r w:rsidR="003256EF">
        <w:t xml:space="preserve"> higher scores in </w:t>
      </w:r>
      <w:r w:rsidR="007861F6">
        <w:t xml:space="preserve">the </w:t>
      </w:r>
      <w:r w:rsidR="003256EF">
        <w:t xml:space="preserve">habit </w:t>
      </w:r>
      <w:r w:rsidR="003256EF" w:rsidRPr="00180025">
        <w:t>(</w:t>
      </w:r>
      <w:r w:rsidR="003256EF" w:rsidRPr="00180025">
        <w:rPr>
          <w:i/>
        </w:rPr>
        <w:t>U</w:t>
      </w:r>
      <w:r w:rsidR="003256EF" w:rsidRPr="00180025">
        <w:t xml:space="preserve"> = </w:t>
      </w:r>
      <w:r w:rsidR="003256EF" w:rsidRPr="003256EF">
        <w:t>94573</w:t>
      </w:r>
      <w:r w:rsidR="003256EF" w:rsidRPr="00180025">
        <w:t xml:space="preserve">, </w:t>
      </w:r>
      <w:r w:rsidR="003256EF" w:rsidRPr="00180025">
        <w:rPr>
          <w:i/>
        </w:rPr>
        <w:t>z</w:t>
      </w:r>
      <w:r w:rsidR="003256EF" w:rsidRPr="00180025">
        <w:t xml:space="preserve"> = -</w:t>
      </w:r>
      <w:r w:rsidR="0064452B">
        <w:t>3.617</w:t>
      </w:r>
      <w:r w:rsidR="003256EF" w:rsidRPr="00180025">
        <w:t xml:space="preserve">, </w:t>
      </w:r>
      <w:r w:rsidR="003256EF" w:rsidRPr="00180025">
        <w:rPr>
          <w:i/>
        </w:rPr>
        <w:t>p</w:t>
      </w:r>
      <w:r w:rsidR="003256EF" w:rsidRPr="00180025">
        <w:t xml:space="preserve"> </w:t>
      </w:r>
      <w:r w:rsidR="0064452B">
        <w:t>&lt;</w:t>
      </w:r>
      <w:r w:rsidR="003256EF" w:rsidRPr="00180025">
        <w:t xml:space="preserve"> 0.0</w:t>
      </w:r>
      <w:r w:rsidR="0064452B">
        <w:t>01</w:t>
      </w:r>
      <w:r w:rsidR="003256EF" w:rsidRPr="00180025">
        <w:t xml:space="preserve">, </w:t>
      </w:r>
      <w:r w:rsidR="003256EF" w:rsidRPr="00180025">
        <w:rPr>
          <w:i/>
        </w:rPr>
        <w:t>r</w:t>
      </w:r>
      <w:r w:rsidR="003256EF" w:rsidRPr="00180025">
        <w:t xml:space="preserve"> = 0.</w:t>
      </w:r>
      <w:r w:rsidR="0064452B">
        <w:t>117</w:t>
      </w:r>
      <w:r w:rsidR="003256EF" w:rsidRPr="00180025">
        <w:t>)</w:t>
      </w:r>
      <w:r w:rsidR="003256EF">
        <w:t xml:space="preserve">, </w:t>
      </w:r>
      <w:r w:rsidR="0064452B">
        <w:t xml:space="preserve">hedonic motivation </w:t>
      </w:r>
      <w:r w:rsidR="0064452B" w:rsidRPr="00180025">
        <w:t>(</w:t>
      </w:r>
      <w:r w:rsidR="0064452B" w:rsidRPr="00180025">
        <w:rPr>
          <w:i/>
        </w:rPr>
        <w:t>U</w:t>
      </w:r>
      <w:r w:rsidR="0064452B" w:rsidRPr="00180025">
        <w:t xml:space="preserve"> = </w:t>
      </w:r>
      <w:r w:rsidR="0064452B" w:rsidRPr="00ED5853">
        <w:t>93805.5</w:t>
      </w:r>
      <w:r w:rsidR="0064452B" w:rsidRPr="00180025">
        <w:t xml:space="preserve">, </w:t>
      </w:r>
      <w:r w:rsidR="0064452B" w:rsidRPr="00180025">
        <w:rPr>
          <w:i/>
        </w:rPr>
        <w:t>z</w:t>
      </w:r>
      <w:r w:rsidR="0064452B" w:rsidRPr="00180025">
        <w:t xml:space="preserve"> = -</w:t>
      </w:r>
      <w:r w:rsidR="0064452B">
        <w:t>3.797</w:t>
      </w:r>
      <w:r w:rsidR="0064452B" w:rsidRPr="00180025">
        <w:t xml:space="preserve">, </w:t>
      </w:r>
      <w:r w:rsidR="0064452B" w:rsidRPr="00180025">
        <w:rPr>
          <w:i/>
        </w:rPr>
        <w:t>p</w:t>
      </w:r>
      <w:r w:rsidR="0064452B" w:rsidRPr="00180025">
        <w:t xml:space="preserve"> </w:t>
      </w:r>
      <w:r w:rsidR="0064452B">
        <w:t>&lt;</w:t>
      </w:r>
      <w:r w:rsidR="0064452B" w:rsidRPr="00180025">
        <w:t xml:space="preserve"> 0.0</w:t>
      </w:r>
      <w:r w:rsidR="0064452B">
        <w:t>01</w:t>
      </w:r>
      <w:r w:rsidR="0064452B" w:rsidRPr="00180025">
        <w:t xml:space="preserve">, </w:t>
      </w:r>
      <w:r w:rsidR="0064452B" w:rsidRPr="00180025">
        <w:rPr>
          <w:i/>
        </w:rPr>
        <w:t>r</w:t>
      </w:r>
      <w:r w:rsidR="0064452B" w:rsidRPr="00180025">
        <w:t xml:space="preserve"> = 0.</w:t>
      </w:r>
      <w:r w:rsidR="0064452B">
        <w:t>123</w:t>
      </w:r>
      <w:r w:rsidR="0064452B" w:rsidRPr="00180025">
        <w:t>)</w:t>
      </w:r>
      <w:r w:rsidR="0064452B">
        <w:t xml:space="preserve">, </w:t>
      </w:r>
      <w:r w:rsidR="003256EF">
        <w:t>social influence</w:t>
      </w:r>
      <w:r w:rsidR="0064452B">
        <w:t xml:space="preserve"> </w:t>
      </w:r>
      <w:r w:rsidR="0064452B" w:rsidRPr="00180025">
        <w:t>(</w:t>
      </w:r>
      <w:r w:rsidR="0064452B" w:rsidRPr="00180025">
        <w:rPr>
          <w:i/>
        </w:rPr>
        <w:t>U</w:t>
      </w:r>
      <w:r w:rsidR="0064452B" w:rsidRPr="00180025">
        <w:t xml:space="preserve"> = </w:t>
      </w:r>
      <w:r w:rsidR="0064452B" w:rsidRPr="0064452B">
        <w:t>89742.5</w:t>
      </w:r>
      <w:r w:rsidR="0064452B" w:rsidRPr="00180025">
        <w:t xml:space="preserve">, </w:t>
      </w:r>
      <w:r w:rsidR="0064452B" w:rsidRPr="00180025">
        <w:rPr>
          <w:i/>
        </w:rPr>
        <w:t>z</w:t>
      </w:r>
      <w:r w:rsidR="0064452B" w:rsidRPr="00180025">
        <w:t xml:space="preserve"> = -</w:t>
      </w:r>
      <w:r w:rsidR="0064452B">
        <w:t>4.769</w:t>
      </w:r>
      <w:r w:rsidR="0064452B" w:rsidRPr="00180025">
        <w:t xml:space="preserve">, </w:t>
      </w:r>
      <w:r w:rsidR="0064452B" w:rsidRPr="00180025">
        <w:rPr>
          <w:i/>
        </w:rPr>
        <w:t>p</w:t>
      </w:r>
      <w:r w:rsidR="0064452B" w:rsidRPr="00180025">
        <w:t xml:space="preserve"> </w:t>
      </w:r>
      <w:r w:rsidR="0064452B">
        <w:t>&lt;</w:t>
      </w:r>
      <w:r w:rsidR="0064452B" w:rsidRPr="00180025">
        <w:t xml:space="preserve"> 0.0</w:t>
      </w:r>
      <w:r w:rsidR="0064452B">
        <w:t>01</w:t>
      </w:r>
      <w:r w:rsidR="0064452B" w:rsidRPr="00180025">
        <w:t xml:space="preserve">, </w:t>
      </w:r>
      <w:r w:rsidR="0064452B" w:rsidRPr="00180025">
        <w:rPr>
          <w:i/>
        </w:rPr>
        <w:t>r</w:t>
      </w:r>
      <w:r w:rsidR="0064452B" w:rsidRPr="00180025">
        <w:t xml:space="preserve"> = 0.</w:t>
      </w:r>
      <w:r w:rsidR="0064452B">
        <w:t>154</w:t>
      </w:r>
      <w:r w:rsidR="0064452B" w:rsidRPr="00180025">
        <w:t>)</w:t>
      </w:r>
      <w:r w:rsidR="003256EF">
        <w:t>, and user behaviour</w:t>
      </w:r>
      <w:r w:rsidR="0064452B">
        <w:t xml:space="preserve"> </w:t>
      </w:r>
      <w:r w:rsidR="0064452B" w:rsidRPr="00180025">
        <w:t>(</w:t>
      </w:r>
      <w:r w:rsidR="0064452B" w:rsidRPr="00180025">
        <w:rPr>
          <w:i/>
        </w:rPr>
        <w:t>U</w:t>
      </w:r>
      <w:r w:rsidR="0064452B" w:rsidRPr="00180025">
        <w:t xml:space="preserve"> = </w:t>
      </w:r>
      <w:r w:rsidR="0064452B" w:rsidRPr="00ED5853">
        <w:t>98568.5</w:t>
      </w:r>
      <w:r w:rsidR="0064452B" w:rsidRPr="00180025">
        <w:t xml:space="preserve">, </w:t>
      </w:r>
      <w:r w:rsidR="0064452B" w:rsidRPr="00180025">
        <w:rPr>
          <w:i/>
        </w:rPr>
        <w:t>z</w:t>
      </w:r>
      <w:r w:rsidR="0064452B" w:rsidRPr="00180025">
        <w:t xml:space="preserve"> = -</w:t>
      </w:r>
      <w:r w:rsidR="0064452B">
        <w:t>2.687</w:t>
      </w:r>
      <w:r w:rsidR="0064452B" w:rsidRPr="00180025">
        <w:t xml:space="preserve">, </w:t>
      </w:r>
      <w:r w:rsidR="0064452B" w:rsidRPr="00180025">
        <w:rPr>
          <w:i/>
        </w:rPr>
        <w:t>p</w:t>
      </w:r>
      <w:r w:rsidR="0064452B" w:rsidRPr="00180025">
        <w:t xml:space="preserve"> </w:t>
      </w:r>
      <w:r w:rsidR="0064452B">
        <w:t>&lt;</w:t>
      </w:r>
      <w:r w:rsidR="0064452B" w:rsidRPr="00180025">
        <w:t xml:space="preserve"> 0.0</w:t>
      </w:r>
      <w:r w:rsidR="0064452B">
        <w:t>1</w:t>
      </w:r>
      <w:r w:rsidR="0064452B" w:rsidRPr="00180025">
        <w:t xml:space="preserve">, </w:t>
      </w:r>
      <w:r w:rsidR="0064452B" w:rsidRPr="00180025">
        <w:rPr>
          <w:i/>
        </w:rPr>
        <w:t>r</w:t>
      </w:r>
      <w:r w:rsidR="0064452B" w:rsidRPr="00180025">
        <w:t xml:space="preserve"> = 0.</w:t>
      </w:r>
      <w:r w:rsidR="0064452B">
        <w:t>087</w:t>
      </w:r>
      <w:r w:rsidR="0064452B" w:rsidRPr="00180025">
        <w:t>)</w:t>
      </w:r>
      <w:r w:rsidR="003256EF">
        <w:t>.</w:t>
      </w:r>
      <w:r w:rsidR="0064452B">
        <w:t xml:space="preserve"> </w:t>
      </w:r>
      <w:r w:rsidR="007861F6">
        <w:t>The b</w:t>
      </w:r>
      <w:r w:rsidR="0064452B">
        <w:t xml:space="preserve">ehavioral intention was at the edge of acceptance as a construct that showed </w:t>
      </w:r>
      <w:r w:rsidR="007861F6">
        <w:t xml:space="preserve">a </w:t>
      </w:r>
      <w:r w:rsidR="0064452B">
        <w:t>significan</w:t>
      </w:r>
      <w:r w:rsidR="007861F6">
        <w:t>t</w:t>
      </w:r>
      <w:r w:rsidR="0064452B">
        <w:t xml:space="preserve"> difference between those who had financial experience and those who had not </w:t>
      </w:r>
      <w:r w:rsidR="0064452B" w:rsidRPr="00180025">
        <w:t>(</w:t>
      </w:r>
      <w:r w:rsidR="0064452B" w:rsidRPr="00180025">
        <w:rPr>
          <w:i/>
        </w:rPr>
        <w:t>U</w:t>
      </w:r>
      <w:r w:rsidR="0064452B" w:rsidRPr="00180025">
        <w:t xml:space="preserve"> = </w:t>
      </w:r>
      <w:r w:rsidR="0064452B" w:rsidRPr="0064452B">
        <w:t>101859</w:t>
      </w:r>
      <w:r w:rsidR="0064452B" w:rsidRPr="00180025">
        <w:t xml:space="preserve">, </w:t>
      </w:r>
      <w:r w:rsidR="0064452B" w:rsidRPr="00180025">
        <w:rPr>
          <w:i/>
        </w:rPr>
        <w:t>z</w:t>
      </w:r>
      <w:r w:rsidR="0064452B" w:rsidRPr="00180025">
        <w:t xml:space="preserve"> = -</w:t>
      </w:r>
      <w:r w:rsidR="0064452B">
        <w:t>1.889</w:t>
      </w:r>
      <w:r w:rsidR="0064452B" w:rsidRPr="00180025">
        <w:t xml:space="preserve">, </w:t>
      </w:r>
      <w:r w:rsidR="0064452B" w:rsidRPr="00180025">
        <w:rPr>
          <w:i/>
        </w:rPr>
        <w:t>p</w:t>
      </w:r>
      <w:r w:rsidR="0064452B" w:rsidRPr="00180025">
        <w:t xml:space="preserve"> </w:t>
      </w:r>
      <w:r w:rsidR="0064452B">
        <w:t>=</w:t>
      </w:r>
      <w:r w:rsidR="0064452B" w:rsidRPr="00180025">
        <w:t xml:space="preserve"> 0.0</w:t>
      </w:r>
      <w:r w:rsidR="0064452B">
        <w:t>59</w:t>
      </w:r>
      <w:r w:rsidR="0064452B" w:rsidRPr="00180025">
        <w:t xml:space="preserve">, </w:t>
      </w:r>
      <w:r w:rsidR="0064452B" w:rsidRPr="00180025">
        <w:rPr>
          <w:i/>
        </w:rPr>
        <w:t>r</w:t>
      </w:r>
      <w:r w:rsidR="0064452B" w:rsidRPr="00180025">
        <w:t xml:space="preserve"> = 0.</w:t>
      </w:r>
      <w:r w:rsidR="0064452B">
        <w:t>061</w:t>
      </w:r>
      <w:r w:rsidR="0064452B" w:rsidRPr="00180025">
        <w:t>)</w:t>
      </w:r>
      <w:r w:rsidR="0064452B">
        <w:t>. For the other</w:t>
      </w:r>
      <w:r>
        <w:t xml:space="preserve"> constructs</w:t>
      </w:r>
      <w:r w:rsidR="007861F6">
        <w:t>,</w:t>
      </w:r>
      <w:r>
        <w:t xml:space="preserve"> </w:t>
      </w:r>
      <w:r w:rsidR="0064452B">
        <w:t>it was found no significant difference between the two groups of individuals classified based on their financial experience</w:t>
      </w:r>
      <w:r>
        <w:t xml:space="preserve">. </w:t>
      </w:r>
      <w:r w:rsidR="0064452B">
        <w:t>Furthermore</w:t>
      </w:r>
      <w:r>
        <w:t xml:space="preserve">, the </w:t>
      </w:r>
      <w:r w:rsidR="0064452B">
        <w:t>test</w:t>
      </w:r>
      <w:r>
        <w:t xml:space="preserve"> </w:t>
      </w:r>
      <w:r w:rsidR="0064452B">
        <w:t>revealed</w:t>
      </w:r>
      <w:r>
        <w:t xml:space="preserve"> that</w:t>
      </w:r>
      <w:r w:rsidRPr="00180025">
        <w:t xml:space="preserve"> </w:t>
      </w:r>
      <w:r>
        <w:t xml:space="preserve">those individuals </w:t>
      </w:r>
      <w:r w:rsidR="00BA78C8">
        <w:t>who had financial experience scored significantly higher in the latter constructs, meaning that technology adaption and acceptance, including intention and use of mobile banking, have higher chances of being used by those</w:t>
      </w:r>
      <w:r w:rsidR="0048507A">
        <w:t xml:space="preserve"> who had </w:t>
      </w:r>
      <w:r w:rsidR="007861F6">
        <w:t xml:space="preserve">the </w:t>
      </w:r>
      <w:r w:rsidR="0048507A">
        <w:t>financial experience</w:t>
      </w:r>
      <w:r w:rsidRPr="00180025">
        <w:t xml:space="preserve">. </w:t>
      </w:r>
    </w:p>
    <w:p w14:paraId="5F38478A" w14:textId="77777777" w:rsidR="000F1F57" w:rsidRDefault="007C5CB6" w:rsidP="007C5CB6">
      <w:pPr>
        <w:jc w:val="center"/>
        <w:rPr>
          <w:lang w:val="en-US"/>
        </w:rPr>
      </w:pPr>
      <w:r>
        <w:rPr>
          <w:lang w:val="en-US"/>
        </w:rPr>
        <w:t xml:space="preserve">Table 6. </w:t>
      </w:r>
      <w:r w:rsidRPr="007C5CB6">
        <w:rPr>
          <w:lang w:val="en-US"/>
        </w:rPr>
        <w:t>Results of the Mann-Whitney test</w:t>
      </w:r>
      <w:r>
        <w:rPr>
          <w:lang w:val="en-US"/>
        </w:rPr>
        <w:t xml:space="preserve"> for financial experience</w:t>
      </w:r>
    </w:p>
    <w:tbl>
      <w:tblPr>
        <w:tblStyle w:val="Mkatabulky"/>
        <w:tblW w:w="5000" w:type="pct"/>
        <w:jc w:val="center"/>
        <w:tblBorders>
          <w:insideH w:val="none" w:sz="0" w:space="0" w:color="auto"/>
          <w:insideV w:val="none" w:sz="0" w:space="0" w:color="auto"/>
        </w:tblBorders>
        <w:tblCellMar>
          <w:left w:w="72" w:type="dxa"/>
          <w:right w:w="72" w:type="dxa"/>
        </w:tblCellMar>
        <w:tblLook w:val="04A0" w:firstRow="1" w:lastRow="0" w:firstColumn="1" w:lastColumn="0" w:noHBand="0" w:noVBand="1"/>
      </w:tblPr>
      <w:tblGrid>
        <w:gridCol w:w="2546"/>
        <w:gridCol w:w="1681"/>
        <w:gridCol w:w="1643"/>
        <w:gridCol w:w="1031"/>
        <w:gridCol w:w="757"/>
        <w:gridCol w:w="678"/>
        <w:gridCol w:w="680"/>
      </w:tblGrid>
      <w:tr w:rsidR="003D3C53" w:rsidRPr="000F1F57" w14:paraId="159A924D" w14:textId="77777777" w:rsidTr="003A0B75">
        <w:trPr>
          <w:trHeight w:val="300"/>
          <w:jc w:val="center"/>
        </w:trPr>
        <w:tc>
          <w:tcPr>
            <w:tcW w:w="1412" w:type="pct"/>
            <w:tcBorders>
              <w:top w:val="single" w:sz="4" w:space="0" w:color="auto"/>
              <w:bottom w:val="nil"/>
            </w:tcBorders>
            <w:noWrap/>
          </w:tcPr>
          <w:p w14:paraId="0D1D5EBD" w14:textId="77777777" w:rsidR="003D3C53" w:rsidRPr="000F1F57" w:rsidRDefault="003D3C53" w:rsidP="000F1F57"/>
        </w:tc>
        <w:tc>
          <w:tcPr>
            <w:tcW w:w="1843" w:type="pct"/>
            <w:gridSpan w:val="2"/>
            <w:tcBorders>
              <w:top w:val="single" w:sz="4" w:space="0" w:color="auto"/>
              <w:bottom w:val="single" w:sz="4" w:space="0" w:color="auto"/>
              <w:right w:val="single" w:sz="4" w:space="0" w:color="auto"/>
            </w:tcBorders>
            <w:noWrap/>
          </w:tcPr>
          <w:p w14:paraId="3AC837D3" w14:textId="77777777" w:rsidR="003D3C53" w:rsidRPr="000F1F57" w:rsidRDefault="003D3C53" w:rsidP="003D3C53">
            <w:pPr>
              <w:jc w:val="center"/>
            </w:pPr>
            <w:r w:rsidRPr="000F1F57">
              <w:t xml:space="preserve">Mean </w:t>
            </w:r>
            <w:r>
              <w:t>r</w:t>
            </w:r>
            <w:r w:rsidRPr="000F1F57">
              <w:t>ank</w:t>
            </w:r>
            <w:r w:rsidR="00180025">
              <w:t xml:space="preserve"> (financial experience)</w:t>
            </w:r>
          </w:p>
        </w:tc>
        <w:tc>
          <w:tcPr>
            <w:tcW w:w="1745" w:type="pct"/>
            <w:gridSpan w:val="4"/>
            <w:tcBorders>
              <w:top w:val="single" w:sz="4" w:space="0" w:color="auto"/>
              <w:left w:val="single" w:sz="4" w:space="0" w:color="auto"/>
              <w:bottom w:val="single" w:sz="4" w:space="0" w:color="auto"/>
            </w:tcBorders>
            <w:noWrap/>
          </w:tcPr>
          <w:p w14:paraId="2E127837" w14:textId="77777777" w:rsidR="003D3C53" w:rsidRPr="000F1F57" w:rsidRDefault="003D3C53" w:rsidP="000F1F57">
            <w:pPr>
              <w:jc w:val="center"/>
              <w:rPr>
                <w:i/>
              </w:rPr>
            </w:pPr>
            <w:r w:rsidRPr="000F1F57">
              <w:t>Mann-Whitney</w:t>
            </w:r>
          </w:p>
        </w:tc>
      </w:tr>
      <w:tr w:rsidR="003D3C53" w:rsidRPr="000F1F57" w14:paraId="17B4DB27" w14:textId="77777777" w:rsidTr="003A0B75">
        <w:trPr>
          <w:trHeight w:val="300"/>
          <w:jc w:val="center"/>
        </w:trPr>
        <w:tc>
          <w:tcPr>
            <w:tcW w:w="1412" w:type="pct"/>
            <w:tcBorders>
              <w:top w:val="nil"/>
              <w:bottom w:val="single" w:sz="4" w:space="0" w:color="auto"/>
            </w:tcBorders>
            <w:noWrap/>
            <w:hideMark/>
          </w:tcPr>
          <w:p w14:paraId="65EB4FEA" w14:textId="77777777" w:rsidR="003D3C53" w:rsidRPr="000F1F57" w:rsidRDefault="003D3C53" w:rsidP="000F1F57"/>
        </w:tc>
        <w:tc>
          <w:tcPr>
            <w:tcW w:w="932" w:type="pct"/>
            <w:tcBorders>
              <w:top w:val="single" w:sz="4" w:space="0" w:color="auto"/>
              <w:bottom w:val="single" w:sz="4" w:space="0" w:color="auto"/>
            </w:tcBorders>
            <w:noWrap/>
            <w:hideMark/>
          </w:tcPr>
          <w:p w14:paraId="0F65A9D7" w14:textId="77777777" w:rsidR="003D3C53" w:rsidRPr="000F1F57" w:rsidRDefault="00ED5853" w:rsidP="00ED5853">
            <w:pPr>
              <w:jc w:val="center"/>
            </w:pPr>
            <w:r>
              <w:t>No</w:t>
            </w:r>
            <w:r w:rsidR="003D3C53" w:rsidRPr="000F1F57">
              <w:t xml:space="preserve"> </w:t>
            </w:r>
            <w:r w:rsidR="003D3C53">
              <w:t>(</w:t>
            </w:r>
            <w:r w:rsidR="003D3C53" w:rsidRPr="00F10B08">
              <w:rPr>
                <w:i/>
              </w:rPr>
              <w:t>n</w:t>
            </w:r>
            <w:r w:rsidR="003D3C53">
              <w:t xml:space="preserve"> = </w:t>
            </w:r>
            <w:r>
              <w:t>582</w:t>
            </w:r>
            <w:r w:rsidR="003D3C53">
              <w:t>)</w:t>
            </w:r>
          </w:p>
        </w:tc>
        <w:tc>
          <w:tcPr>
            <w:tcW w:w="911" w:type="pct"/>
            <w:tcBorders>
              <w:top w:val="single" w:sz="4" w:space="0" w:color="auto"/>
              <w:bottom w:val="single" w:sz="4" w:space="0" w:color="auto"/>
              <w:right w:val="single" w:sz="4" w:space="0" w:color="auto"/>
            </w:tcBorders>
            <w:noWrap/>
            <w:hideMark/>
          </w:tcPr>
          <w:p w14:paraId="4A314AD0" w14:textId="77777777" w:rsidR="003D3C53" w:rsidRPr="000F1F57" w:rsidRDefault="003256EF" w:rsidP="00ED5853">
            <w:pPr>
              <w:jc w:val="center"/>
            </w:pPr>
            <w:r>
              <w:t>Yes</w:t>
            </w:r>
            <w:r w:rsidR="003D3C53">
              <w:t xml:space="preserve"> (</w:t>
            </w:r>
            <w:r w:rsidR="003D3C53" w:rsidRPr="00F10B08">
              <w:rPr>
                <w:i/>
              </w:rPr>
              <w:t>n</w:t>
            </w:r>
            <w:r w:rsidR="003D3C53">
              <w:t xml:space="preserve"> = </w:t>
            </w:r>
            <w:r w:rsidR="00ED5853">
              <w:t>377</w:t>
            </w:r>
            <w:r w:rsidR="003D3C53">
              <w:t>)</w:t>
            </w:r>
          </w:p>
        </w:tc>
        <w:tc>
          <w:tcPr>
            <w:tcW w:w="572" w:type="pct"/>
            <w:tcBorders>
              <w:top w:val="single" w:sz="4" w:space="0" w:color="auto"/>
              <w:left w:val="single" w:sz="4" w:space="0" w:color="auto"/>
              <w:bottom w:val="single" w:sz="4" w:space="0" w:color="auto"/>
            </w:tcBorders>
            <w:noWrap/>
            <w:hideMark/>
          </w:tcPr>
          <w:p w14:paraId="600FDFC2" w14:textId="77777777" w:rsidR="003D3C53" w:rsidRPr="000F1F57" w:rsidRDefault="003D3C53" w:rsidP="000F1F57">
            <w:pPr>
              <w:jc w:val="center"/>
            </w:pPr>
            <w:r w:rsidRPr="000F1F57">
              <w:t>U</w:t>
            </w:r>
          </w:p>
        </w:tc>
        <w:tc>
          <w:tcPr>
            <w:tcW w:w="420" w:type="pct"/>
            <w:tcBorders>
              <w:top w:val="single" w:sz="4" w:space="0" w:color="auto"/>
              <w:bottom w:val="single" w:sz="4" w:space="0" w:color="auto"/>
            </w:tcBorders>
            <w:noWrap/>
            <w:hideMark/>
          </w:tcPr>
          <w:p w14:paraId="5C07F948" w14:textId="77777777" w:rsidR="003D3C53" w:rsidRPr="000F1F57" w:rsidRDefault="003D3C53" w:rsidP="000F1F57">
            <w:pPr>
              <w:jc w:val="center"/>
              <w:rPr>
                <w:i/>
              </w:rPr>
            </w:pPr>
            <w:r w:rsidRPr="000F1F57">
              <w:rPr>
                <w:i/>
              </w:rPr>
              <w:t>z</w:t>
            </w:r>
          </w:p>
        </w:tc>
        <w:tc>
          <w:tcPr>
            <w:tcW w:w="376" w:type="pct"/>
            <w:tcBorders>
              <w:top w:val="single" w:sz="4" w:space="0" w:color="auto"/>
              <w:bottom w:val="single" w:sz="4" w:space="0" w:color="auto"/>
            </w:tcBorders>
            <w:noWrap/>
            <w:hideMark/>
          </w:tcPr>
          <w:p w14:paraId="38F316E6" w14:textId="77777777" w:rsidR="003D3C53" w:rsidRPr="000F1F57" w:rsidRDefault="003D3C53" w:rsidP="000F1F57">
            <w:pPr>
              <w:jc w:val="center"/>
              <w:rPr>
                <w:i/>
              </w:rPr>
            </w:pPr>
            <w:r w:rsidRPr="000F1F57">
              <w:rPr>
                <w:i/>
              </w:rPr>
              <w:t>p</w:t>
            </w:r>
          </w:p>
        </w:tc>
        <w:tc>
          <w:tcPr>
            <w:tcW w:w="376" w:type="pct"/>
            <w:tcBorders>
              <w:top w:val="single" w:sz="4" w:space="0" w:color="auto"/>
              <w:bottom w:val="single" w:sz="4" w:space="0" w:color="auto"/>
            </w:tcBorders>
            <w:noWrap/>
            <w:hideMark/>
          </w:tcPr>
          <w:p w14:paraId="60C243EE" w14:textId="77777777" w:rsidR="003D3C53" w:rsidRPr="000F1F57" w:rsidRDefault="003D3C53" w:rsidP="000F1F57">
            <w:pPr>
              <w:jc w:val="center"/>
              <w:rPr>
                <w:i/>
              </w:rPr>
            </w:pPr>
            <w:r w:rsidRPr="000F1F57">
              <w:rPr>
                <w:i/>
              </w:rPr>
              <w:t>r</w:t>
            </w:r>
          </w:p>
        </w:tc>
      </w:tr>
      <w:tr w:rsidR="00B16443" w:rsidRPr="000F1F57" w14:paraId="416F9659" w14:textId="77777777" w:rsidTr="003A0B75">
        <w:trPr>
          <w:trHeight w:val="300"/>
          <w:jc w:val="center"/>
        </w:trPr>
        <w:tc>
          <w:tcPr>
            <w:tcW w:w="1412" w:type="pct"/>
            <w:tcBorders>
              <w:top w:val="single" w:sz="4" w:space="0" w:color="auto"/>
            </w:tcBorders>
            <w:noWrap/>
            <w:hideMark/>
          </w:tcPr>
          <w:p w14:paraId="10482AE8" w14:textId="77777777" w:rsidR="00B16443" w:rsidRPr="000F1F57" w:rsidRDefault="00B16443" w:rsidP="00B16443">
            <w:r>
              <w:t>Behavioural intention</w:t>
            </w:r>
          </w:p>
        </w:tc>
        <w:tc>
          <w:tcPr>
            <w:tcW w:w="932" w:type="pct"/>
            <w:tcBorders>
              <w:top w:val="single" w:sz="4" w:space="0" w:color="auto"/>
            </w:tcBorders>
            <w:noWrap/>
          </w:tcPr>
          <w:p w14:paraId="3BA2C18D" w14:textId="77777777" w:rsidR="00B16443" w:rsidRPr="000F1F57" w:rsidRDefault="00B16443" w:rsidP="00B16443">
            <w:pPr>
              <w:jc w:val="center"/>
            </w:pPr>
            <w:r w:rsidRPr="00ED5853">
              <w:t>466.52</w:t>
            </w:r>
          </w:p>
        </w:tc>
        <w:tc>
          <w:tcPr>
            <w:tcW w:w="911" w:type="pct"/>
            <w:tcBorders>
              <w:top w:val="single" w:sz="4" w:space="0" w:color="auto"/>
              <w:right w:val="single" w:sz="4" w:space="0" w:color="auto"/>
            </w:tcBorders>
            <w:noWrap/>
            <w:hideMark/>
          </w:tcPr>
          <w:p w14:paraId="6DE80BB2" w14:textId="77777777" w:rsidR="00B16443" w:rsidRPr="000F1F57" w:rsidRDefault="00B16443" w:rsidP="00B16443">
            <w:pPr>
              <w:jc w:val="center"/>
            </w:pPr>
            <w:r w:rsidRPr="00ED5853">
              <w:t>500.82</w:t>
            </w:r>
          </w:p>
        </w:tc>
        <w:tc>
          <w:tcPr>
            <w:tcW w:w="572" w:type="pct"/>
            <w:tcBorders>
              <w:top w:val="single" w:sz="4" w:space="0" w:color="auto"/>
              <w:left w:val="single" w:sz="4" w:space="0" w:color="auto"/>
            </w:tcBorders>
            <w:noWrap/>
            <w:hideMark/>
          </w:tcPr>
          <w:p w14:paraId="7A15A4D2" w14:textId="77777777" w:rsidR="00B16443" w:rsidRPr="000F1F57" w:rsidRDefault="00B16443" w:rsidP="00B16443">
            <w:pPr>
              <w:jc w:val="right"/>
            </w:pPr>
            <w:r>
              <w:t>101859</w:t>
            </w:r>
          </w:p>
        </w:tc>
        <w:tc>
          <w:tcPr>
            <w:tcW w:w="420" w:type="pct"/>
            <w:tcBorders>
              <w:top w:val="single" w:sz="4" w:space="0" w:color="auto"/>
            </w:tcBorders>
            <w:noWrap/>
            <w:hideMark/>
          </w:tcPr>
          <w:p w14:paraId="2B61018E" w14:textId="77777777" w:rsidR="00B16443" w:rsidRPr="000F1F57" w:rsidRDefault="00B16443" w:rsidP="00B16443">
            <w:pPr>
              <w:jc w:val="center"/>
            </w:pPr>
            <w:r w:rsidRPr="00ED5853">
              <w:t>-1.889</w:t>
            </w:r>
          </w:p>
        </w:tc>
        <w:tc>
          <w:tcPr>
            <w:tcW w:w="376" w:type="pct"/>
            <w:tcBorders>
              <w:top w:val="single" w:sz="4" w:space="0" w:color="auto"/>
            </w:tcBorders>
            <w:noWrap/>
            <w:hideMark/>
          </w:tcPr>
          <w:p w14:paraId="43856267" w14:textId="77777777" w:rsidR="00B16443" w:rsidRPr="000F1F57" w:rsidRDefault="00B16443" w:rsidP="00B16443">
            <w:pPr>
              <w:jc w:val="center"/>
              <w:rPr>
                <w:highlight w:val="yellow"/>
              </w:rPr>
            </w:pPr>
            <w:r w:rsidRPr="003256EF">
              <w:t>0.059</w:t>
            </w:r>
          </w:p>
        </w:tc>
        <w:tc>
          <w:tcPr>
            <w:tcW w:w="376" w:type="pct"/>
            <w:tcBorders>
              <w:top w:val="single" w:sz="4" w:space="0" w:color="auto"/>
            </w:tcBorders>
            <w:noWrap/>
            <w:hideMark/>
          </w:tcPr>
          <w:p w14:paraId="6F1CDDA3" w14:textId="77777777" w:rsidR="00B16443" w:rsidRPr="000F1F57" w:rsidRDefault="00B16443" w:rsidP="00B16443">
            <w:pPr>
              <w:jc w:val="center"/>
            </w:pPr>
            <w:r w:rsidRPr="00ED5853">
              <w:t>0.061</w:t>
            </w:r>
          </w:p>
        </w:tc>
      </w:tr>
      <w:tr w:rsidR="00B16443" w:rsidRPr="000F1F57" w14:paraId="463F10BE" w14:textId="77777777" w:rsidTr="003A0B75">
        <w:trPr>
          <w:trHeight w:val="300"/>
          <w:jc w:val="center"/>
        </w:trPr>
        <w:tc>
          <w:tcPr>
            <w:tcW w:w="1412" w:type="pct"/>
            <w:noWrap/>
            <w:hideMark/>
          </w:tcPr>
          <w:p w14:paraId="70E7AFF7" w14:textId="77777777" w:rsidR="00B16443" w:rsidRPr="000F1F57" w:rsidRDefault="00B16443" w:rsidP="00B16443">
            <w:r>
              <w:rPr>
                <w:lang w:val="en-US"/>
              </w:rPr>
              <w:t>Effort expectancy</w:t>
            </w:r>
          </w:p>
        </w:tc>
        <w:tc>
          <w:tcPr>
            <w:tcW w:w="932" w:type="pct"/>
            <w:noWrap/>
          </w:tcPr>
          <w:p w14:paraId="03569C8E" w14:textId="77777777" w:rsidR="00B16443" w:rsidRPr="000F1F57" w:rsidRDefault="00B16443" w:rsidP="00B16443">
            <w:pPr>
              <w:jc w:val="center"/>
            </w:pPr>
            <w:r w:rsidRPr="00ED5853">
              <w:t>476.11</w:t>
            </w:r>
          </w:p>
        </w:tc>
        <w:tc>
          <w:tcPr>
            <w:tcW w:w="911" w:type="pct"/>
            <w:tcBorders>
              <w:right w:val="single" w:sz="4" w:space="0" w:color="auto"/>
            </w:tcBorders>
            <w:noWrap/>
            <w:hideMark/>
          </w:tcPr>
          <w:p w14:paraId="2CC0B6F3" w14:textId="77777777" w:rsidR="00B16443" w:rsidRPr="000F1F57" w:rsidRDefault="00B16443" w:rsidP="00B16443">
            <w:pPr>
              <w:jc w:val="center"/>
            </w:pPr>
            <w:r w:rsidRPr="00ED5853">
              <w:t>486.01</w:t>
            </w:r>
          </w:p>
        </w:tc>
        <w:tc>
          <w:tcPr>
            <w:tcW w:w="572" w:type="pct"/>
            <w:tcBorders>
              <w:left w:val="single" w:sz="4" w:space="0" w:color="auto"/>
            </w:tcBorders>
            <w:noWrap/>
            <w:hideMark/>
          </w:tcPr>
          <w:p w14:paraId="78374710" w14:textId="77777777" w:rsidR="00B16443" w:rsidRPr="000F1F57" w:rsidRDefault="00B16443" w:rsidP="00B16443">
            <w:pPr>
              <w:jc w:val="right"/>
            </w:pPr>
            <w:r>
              <w:t>107443</w:t>
            </w:r>
          </w:p>
        </w:tc>
        <w:tc>
          <w:tcPr>
            <w:tcW w:w="420" w:type="pct"/>
            <w:noWrap/>
            <w:hideMark/>
          </w:tcPr>
          <w:p w14:paraId="7BAE3941" w14:textId="77777777" w:rsidR="00B16443" w:rsidRPr="000F1F57" w:rsidRDefault="00B16443" w:rsidP="00B16443">
            <w:pPr>
              <w:jc w:val="center"/>
            </w:pPr>
            <w:r w:rsidRPr="00ED5853">
              <w:t>-</w:t>
            </w:r>
            <w:r>
              <w:t>0</w:t>
            </w:r>
            <w:r w:rsidRPr="00ED5853">
              <w:t>.559</w:t>
            </w:r>
          </w:p>
        </w:tc>
        <w:tc>
          <w:tcPr>
            <w:tcW w:w="376" w:type="pct"/>
            <w:noWrap/>
            <w:hideMark/>
          </w:tcPr>
          <w:p w14:paraId="65D769F9" w14:textId="77777777" w:rsidR="00B16443" w:rsidRPr="000F1F57" w:rsidRDefault="00B16443" w:rsidP="00B16443">
            <w:pPr>
              <w:jc w:val="center"/>
            </w:pPr>
            <w:r>
              <w:t>0</w:t>
            </w:r>
            <w:r w:rsidRPr="00ED5853">
              <w:t>.576</w:t>
            </w:r>
          </w:p>
        </w:tc>
        <w:tc>
          <w:tcPr>
            <w:tcW w:w="376" w:type="pct"/>
            <w:noWrap/>
            <w:hideMark/>
          </w:tcPr>
          <w:p w14:paraId="14095CF0" w14:textId="77777777" w:rsidR="00B16443" w:rsidRPr="000F1F57" w:rsidRDefault="00B16443" w:rsidP="00B16443">
            <w:pPr>
              <w:jc w:val="center"/>
            </w:pPr>
            <w:r w:rsidRPr="00ED5853">
              <w:t>0.018</w:t>
            </w:r>
          </w:p>
        </w:tc>
      </w:tr>
      <w:tr w:rsidR="00B16443" w:rsidRPr="000F1F57" w14:paraId="5A13111F" w14:textId="77777777" w:rsidTr="003A0B75">
        <w:trPr>
          <w:trHeight w:val="300"/>
          <w:jc w:val="center"/>
        </w:trPr>
        <w:tc>
          <w:tcPr>
            <w:tcW w:w="1412" w:type="pct"/>
            <w:noWrap/>
            <w:hideMark/>
          </w:tcPr>
          <w:p w14:paraId="7C7233A5" w14:textId="77777777" w:rsidR="00B16443" w:rsidRPr="000F1F57" w:rsidRDefault="00B16443" w:rsidP="00B16443">
            <w:r>
              <w:rPr>
                <w:lang w:val="en-US"/>
              </w:rPr>
              <w:t>Facilitation conditions</w:t>
            </w:r>
          </w:p>
        </w:tc>
        <w:tc>
          <w:tcPr>
            <w:tcW w:w="932" w:type="pct"/>
            <w:noWrap/>
          </w:tcPr>
          <w:p w14:paraId="44342CFD" w14:textId="77777777" w:rsidR="00B16443" w:rsidRPr="000F1F57" w:rsidRDefault="00B16443" w:rsidP="00B16443">
            <w:pPr>
              <w:jc w:val="center"/>
            </w:pPr>
            <w:r w:rsidRPr="00ED5853">
              <w:t>469.64</w:t>
            </w:r>
          </w:p>
        </w:tc>
        <w:tc>
          <w:tcPr>
            <w:tcW w:w="911" w:type="pct"/>
            <w:tcBorders>
              <w:right w:val="single" w:sz="4" w:space="0" w:color="auto"/>
            </w:tcBorders>
            <w:noWrap/>
            <w:hideMark/>
          </w:tcPr>
          <w:p w14:paraId="20AEBD0E" w14:textId="77777777" w:rsidR="00B16443" w:rsidRPr="000F1F57" w:rsidRDefault="00B16443" w:rsidP="00B16443">
            <w:pPr>
              <w:jc w:val="center"/>
            </w:pPr>
            <w:r w:rsidRPr="00ED5853">
              <w:t>496.00</w:t>
            </w:r>
          </w:p>
        </w:tc>
        <w:tc>
          <w:tcPr>
            <w:tcW w:w="572" w:type="pct"/>
            <w:tcBorders>
              <w:left w:val="single" w:sz="4" w:space="0" w:color="auto"/>
            </w:tcBorders>
            <w:noWrap/>
            <w:hideMark/>
          </w:tcPr>
          <w:p w14:paraId="6A977F13" w14:textId="77777777" w:rsidR="00B16443" w:rsidRPr="000F1F57" w:rsidRDefault="00B16443" w:rsidP="00B16443">
            <w:pPr>
              <w:jc w:val="right"/>
            </w:pPr>
            <w:r w:rsidRPr="00ED5853">
              <w:t>103676.5</w:t>
            </w:r>
          </w:p>
        </w:tc>
        <w:tc>
          <w:tcPr>
            <w:tcW w:w="420" w:type="pct"/>
            <w:noWrap/>
            <w:hideMark/>
          </w:tcPr>
          <w:p w14:paraId="50F2F68F" w14:textId="77777777" w:rsidR="00B16443" w:rsidRPr="000F1F57" w:rsidRDefault="00B16443" w:rsidP="00B16443">
            <w:pPr>
              <w:jc w:val="center"/>
            </w:pPr>
            <w:r w:rsidRPr="00ED5853">
              <w:t>-1.484</w:t>
            </w:r>
          </w:p>
        </w:tc>
        <w:tc>
          <w:tcPr>
            <w:tcW w:w="376" w:type="pct"/>
            <w:noWrap/>
            <w:hideMark/>
          </w:tcPr>
          <w:p w14:paraId="13E9B30E" w14:textId="77777777" w:rsidR="00B16443" w:rsidRPr="000F1F57" w:rsidRDefault="00B16443" w:rsidP="00B16443">
            <w:pPr>
              <w:jc w:val="center"/>
            </w:pPr>
            <w:r>
              <w:t>0</w:t>
            </w:r>
            <w:r w:rsidRPr="00ED5853">
              <w:t>.138</w:t>
            </w:r>
          </w:p>
        </w:tc>
        <w:tc>
          <w:tcPr>
            <w:tcW w:w="376" w:type="pct"/>
            <w:noWrap/>
            <w:hideMark/>
          </w:tcPr>
          <w:p w14:paraId="0786D12B" w14:textId="77777777" w:rsidR="00B16443" w:rsidRPr="000F1F57" w:rsidRDefault="00B16443" w:rsidP="00B16443">
            <w:pPr>
              <w:jc w:val="center"/>
            </w:pPr>
            <w:r w:rsidRPr="00ED5853">
              <w:t>0.048</w:t>
            </w:r>
          </w:p>
        </w:tc>
      </w:tr>
      <w:tr w:rsidR="00B16443" w:rsidRPr="000F1F57" w14:paraId="404792C7" w14:textId="77777777" w:rsidTr="003A0B75">
        <w:trPr>
          <w:trHeight w:val="300"/>
          <w:jc w:val="center"/>
        </w:trPr>
        <w:tc>
          <w:tcPr>
            <w:tcW w:w="1412" w:type="pct"/>
            <w:noWrap/>
            <w:hideMark/>
          </w:tcPr>
          <w:p w14:paraId="2884BC70" w14:textId="77777777" w:rsidR="00B16443" w:rsidRPr="000F1F57" w:rsidRDefault="00B16443" w:rsidP="00B16443">
            <w:r>
              <w:t>Habit</w:t>
            </w:r>
          </w:p>
        </w:tc>
        <w:tc>
          <w:tcPr>
            <w:tcW w:w="932" w:type="pct"/>
            <w:noWrap/>
          </w:tcPr>
          <w:p w14:paraId="073DD6EE" w14:textId="77777777" w:rsidR="00B16443" w:rsidRPr="000F1F57" w:rsidRDefault="00B16443" w:rsidP="00B16443">
            <w:pPr>
              <w:jc w:val="center"/>
            </w:pPr>
            <w:r w:rsidRPr="00ED5853">
              <w:t>454.00</w:t>
            </w:r>
          </w:p>
        </w:tc>
        <w:tc>
          <w:tcPr>
            <w:tcW w:w="911" w:type="pct"/>
            <w:tcBorders>
              <w:right w:val="single" w:sz="4" w:space="0" w:color="auto"/>
            </w:tcBorders>
            <w:noWrap/>
            <w:hideMark/>
          </w:tcPr>
          <w:p w14:paraId="6A6B0B73" w14:textId="77777777" w:rsidR="00B16443" w:rsidRPr="000F1F57" w:rsidRDefault="00B16443" w:rsidP="00B16443">
            <w:pPr>
              <w:jc w:val="center"/>
            </w:pPr>
            <w:r w:rsidRPr="00ED5853">
              <w:t>520.14</w:t>
            </w:r>
          </w:p>
        </w:tc>
        <w:tc>
          <w:tcPr>
            <w:tcW w:w="572" w:type="pct"/>
            <w:tcBorders>
              <w:left w:val="single" w:sz="4" w:space="0" w:color="auto"/>
            </w:tcBorders>
            <w:noWrap/>
            <w:hideMark/>
          </w:tcPr>
          <w:p w14:paraId="27A33450" w14:textId="77777777" w:rsidR="00B16443" w:rsidRPr="000F1F57" w:rsidRDefault="00B16443" w:rsidP="00B16443">
            <w:pPr>
              <w:jc w:val="right"/>
            </w:pPr>
            <w:r>
              <w:t>94573</w:t>
            </w:r>
          </w:p>
        </w:tc>
        <w:tc>
          <w:tcPr>
            <w:tcW w:w="420" w:type="pct"/>
            <w:noWrap/>
            <w:hideMark/>
          </w:tcPr>
          <w:p w14:paraId="3B1AAC5E" w14:textId="77777777" w:rsidR="00B16443" w:rsidRPr="000F1F57" w:rsidRDefault="00B16443" w:rsidP="00B16443">
            <w:pPr>
              <w:jc w:val="center"/>
            </w:pPr>
            <w:r w:rsidRPr="00ED5853">
              <w:t>-3.617</w:t>
            </w:r>
          </w:p>
        </w:tc>
        <w:tc>
          <w:tcPr>
            <w:tcW w:w="376" w:type="pct"/>
            <w:noWrap/>
            <w:hideMark/>
          </w:tcPr>
          <w:p w14:paraId="09535AAF" w14:textId="77777777" w:rsidR="00B16443" w:rsidRPr="00A51B6C" w:rsidRDefault="00B16443" w:rsidP="00B16443">
            <w:pPr>
              <w:jc w:val="center"/>
            </w:pPr>
            <w:r w:rsidRPr="00A51B6C">
              <w:t>0.000</w:t>
            </w:r>
          </w:p>
        </w:tc>
        <w:tc>
          <w:tcPr>
            <w:tcW w:w="376" w:type="pct"/>
            <w:noWrap/>
            <w:hideMark/>
          </w:tcPr>
          <w:p w14:paraId="5DCA9874" w14:textId="77777777" w:rsidR="00B16443" w:rsidRPr="000F1F57" w:rsidRDefault="00B16443" w:rsidP="00B16443">
            <w:pPr>
              <w:jc w:val="center"/>
            </w:pPr>
            <w:r w:rsidRPr="00ED5853">
              <w:t>0.117</w:t>
            </w:r>
          </w:p>
        </w:tc>
      </w:tr>
      <w:tr w:rsidR="00B16443" w:rsidRPr="000F1F57" w14:paraId="793E6C2F" w14:textId="77777777" w:rsidTr="003A0B75">
        <w:trPr>
          <w:trHeight w:val="300"/>
          <w:jc w:val="center"/>
        </w:trPr>
        <w:tc>
          <w:tcPr>
            <w:tcW w:w="1412" w:type="pct"/>
            <w:noWrap/>
            <w:hideMark/>
          </w:tcPr>
          <w:p w14:paraId="14D6A0B5" w14:textId="77777777" w:rsidR="00B16443" w:rsidRPr="000F1F57" w:rsidRDefault="00B16443" w:rsidP="00B16443">
            <w:r>
              <w:rPr>
                <w:lang w:val="en-US"/>
              </w:rPr>
              <w:t>Hedonic motivation</w:t>
            </w:r>
          </w:p>
        </w:tc>
        <w:tc>
          <w:tcPr>
            <w:tcW w:w="932" w:type="pct"/>
            <w:noWrap/>
          </w:tcPr>
          <w:p w14:paraId="08DFED04" w14:textId="77777777" w:rsidR="00B16443" w:rsidRPr="000F1F57" w:rsidRDefault="00B16443" w:rsidP="00B16443">
            <w:pPr>
              <w:jc w:val="center"/>
            </w:pPr>
            <w:r w:rsidRPr="00ED5853">
              <w:t>452.68</w:t>
            </w:r>
          </w:p>
        </w:tc>
        <w:tc>
          <w:tcPr>
            <w:tcW w:w="911" w:type="pct"/>
            <w:tcBorders>
              <w:right w:val="single" w:sz="4" w:space="0" w:color="auto"/>
            </w:tcBorders>
            <w:noWrap/>
            <w:hideMark/>
          </w:tcPr>
          <w:p w14:paraId="11945AD8" w14:textId="77777777" w:rsidR="00B16443" w:rsidRPr="000F1F57" w:rsidRDefault="00B16443" w:rsidP="00B16443">
            <w:pPr>
              <w:jc w:val="center"/>
            </w:pPr>
            <w:r w:rsidRPr="00ED5853">
              <w:t>522.18</w:t>
            </w:r>
          </w:p>
        </w:tc>
        <w:tc>
          <w:tcPr>
            <w:tcW w:w="572" w:type="pct"/>
            <w:tcBorders>
              <w:left w:val="single" w:sz="4" w:space="0" w:color="auto"/>
            </w:tcBorders>
            <w:noWrap/>
            <w:hideMark/>
          </w:tcPr>
          <w:p w14:paraId="036DC047" w14:textId="77777777" w:rsidR="00B16443" w:rsidRPr="000F1F57" w:rsidRDefault="00B16443" w:rsidP="00B16443">
            <w:pPr>
              <w:jc w:val="right"/>
            </w:pPr>
            <w:r w:rsidRPr="00ED5853">
              <w:t>93805.5</w:t>
            </w:r>
          </w:p>
        </w:tc>
        <w:tc>
          <w:tcPr>
            <w:tcW w:w="420" w:type="pct"/>
            <w:noWrap/>
            <w:hideMark/>
          </w:tcPr>
          <w:p w14:paraId="247612ED" w14:textId="77777777" w:rsidR="00B16443" w:rsidRPr="000F1F57" w:rsidRDefault="00B16443" w:rsidP="00B16443">
            <w:pPr>
              <w:jc w:val="center"/>
            </w:pPr>
            <w:r w:rsidRPr="00ED5853">
              <w:t>-3.797</w:t>
            </w:r>
          </w:p>
        </w:tc>
        <w:tc>
          <w:tcPr>
            <w:tcW w:w="376" w:type="pct"/>
            <w:noWrap/>
            <w:hideMark/>
          </w:tcPr>
          <w:p w14:paraId="60C0CB3D" w14:textId="77777777" w:rsidR="00B16443" w:rsidRPr="00A51B6C" w:rsidRDefault="00B16443" w:rsidP="00B16443">
            <w:pPr>
              <w:jc w:val="center"/>
            </w:pPr>
            <w:r w:rsidRPr="00A51B6C">
              <w:t>0.000</w:t>
            </w:r>
          </w:p>
        </w:tc>
        <w:tc>
          <w:tcPr>
            <w:tcW w:w="376" w:type="pct"/>
            <w:noWrap/>
            <w:hideMark/>
          </w:tcPr>
          <w:p w14:paraId="5F41C564" w14:textId="77777777" w:rsidR="00B16443" w:rsidRPr="000F1F57" w:rsidRDefault="00B16443" w:rsidP="00B16443">
            <w:pPr>
              <w:jc w:val="center"/>
            </w:pPr>
            <w:r w:rsidRPr="00ED5853">
              <w:t>0.123</w:t>
            </w:r>
          </w:p>
        </w:tc>
      </w:tr>
      <w:tr w:rsidR="00B16443" w:rsidRPr="000F1F57" w14:paraId="0C1415FC" w14:textId="77777777" w:rsidTr="003A0B75">
        <w:trPr>
          <w:trHeight w:val="300"/>
          <w:jc w:val="center"/>
        </w:trPr>
        <w:tc>
          <w:tcPr>
            <w:tcW w:w="1412" w:type="pct"/>
            <w:noWrap/>
            <w:hideMark/>
          </w:tcPr>
          <w:p w14:paraId="6AC945A0" w14:textId="77777777" w:rsidR="00B16443" w:rsidRPr="000F1F57" w:rsidRDefault="00B16443" w:rsidP="00B16443">
            <w:r>
              <w:rPr>
                <w:lang w:val="en-US"/>
              </w:rPr>
              <w:t>Performance expectancy</w:t>
            </w:r>
          </w:p>
        </w:tc>
        <w:tc>
          <w:tcPr>
            <w:tcW w:w="932" w:type="pct"/>
            <w:noWrap/>
          </w:tcPr>
          <w:p w14:paraId="46810363" w14:textId="77777777" w:rsidR="00B16443" w:rsidRPr="000F1F57" w:rsidRDefault="00B16443" w:rsidP="00B16443">
            <w:pPr>
              <w:jc w:val="center"/>
            </w:pPr>
            <w:r w:rsidRPr="00ED5853">
              <w:t>475.69</w:t>
            </w:r>
          </w:p>
        </w:tc>
        <w:tc>
          <w:tcPr>
            <w:tcW w:w="911" w:type="pct"/>
            <w:tcBorders>
              <w:right w:val="single" w:sz="4" w:space="0" w:color="auto"/>
            </w:tcBorders>
            <w:noWrap/>
            <w:hideMark/>
          </w:tcPr>
          <w:p w14:paraId="5E6BB4F8" w14:textId="77777777" w:rsidR="00B16443" w:rsidRPr="000F1F57" w:rsidRDefault="00B16443" w:rsidP="00B16443">
            <w:pPr>
              <w:jc w:val="center"/>
            </w:pPr>
            <w:r w:rsidRPr="00ED5853">
              <w:t>486.66</w:t>
            </w:r>
          </w:p>
        </w:tc>
        <w:tc>
          <w:tcPr>
            <w:tcW w:w="572" w:type="pct"/>
            <w:tcBorders>
              <w:left w:val="single" w:sz="4" w:space="0" w:color="auto"/>
            </w:tcBorders>
            <w:noWrap/>
            <w:hideMark/>
          </w:tcPr>
          <w:p w14:paraId="650A7D49" w14:textId="77777777" w:rsidR="00B16443" w:rsidRPr="000F1F57" w:rsidRDefault="00B16443" w:rsidP="00B16443">
            <w:pPr>
              <w:jc w:val="right"/>
            </w:pPr>
            <w:r w:rsidRPr="00ED5853">
              <w:t>107196.5</w:t>
            </w:r>
          </w:p>
        </w:tc>
        <w:tc>
          <w:tcPr>
            <w:tcW w:w="420" w:type="pct"/>
            <w:noWrap/>
            <w:hideMark/>
          </w:tcPr>
          <w:p w14:paraId="5E7548A3" w14:textId="77777777" w:rsidR="00B16443" w:rsidRPr="000F1F57" w:rsidRDefault="00B16443" w:rsidP="00B16443">
            <w:pPr>
              <w:jc w:val="center"/>
            </w:pPr>
            <w:r w:rsidRPr="00ED5853">
              <w:t>-</w:t>
            </w:r>
            <w:r>
              <w:t>0</w:t>
            </w:r>
            <w:r w:rsidRPr="00ED5853">
              <w:t>.607</w:t>
            </w:r>
          </w:p>
        </w:tc>
        <w:tc>
          <w:tcPr>
            <w:tcW w:w="376" w:type="pct"/>
            <w:noWrap/>
            <w:hideMark/>
          </w:tcPr>
          <w:p w14:paraId="54707D5D" w14:textId="77777777" w:rsidR="00B16443" w:rsidRPr="00A51B6C" w:rsidRDefault="00B16443" w:rsidP="00B16443">
            <w:pPr>
              <w:jc w:val="center"/>
            </w:pPr>
            <w:r w:rsidRPr="00A51B6C">
              <w:t>0.544</w:t>
            </w:r>
          </w:p>
        </w:tc>
        <w:tc>
          <w:tcPr>
            <w:tcW w:w="376" w:type="pct"/>
            <w:noWrap/>
            <w:hideMark/>
          </w:tcPr>
          <w:p w14:paraId="7A86450E" w14:textId="77777777" w:rsidR="00B16443" w:rsidRPr="000F1F57" w:rsidRDefault="00B16443" w:rsidP="00B16443">
            <w:pPr>
              <w:jc w:val="center"/>
            </w:pPr>
            <w:r w:rsidRPr="00ED5853">
              <w:t>0.020</w:t>
            </w:r>
          </w:p>
        </w:tc>
      </w:tr>
      <w:tr w:rsidR="00B16443" w:rsidRPr="000F1F57" w14:paraId="5DC4BAB7" w14:textId="77777777" w:rsidTr="003A0B75">
        <w:trPr>
          <w:trHeight w:val="300"/>
          <w:jc w:val="center"/>
        </w:trPr>
        <w:tc>
          <w:tcPr>
            <w:tcW w:w="1412" w:type="pct"/>
            <w:noWrap/>
            <w:hideMark/>
          </w:tcPr>
          <w:p w14:paraId="799C2D99" w14:textId="77777777" w:rsidR="00B16443" w:rsidRPr="000F1F57" w:rsidRDefault="00B16443" w:rsidP="00B16443">
            <w:r>
              <w:rPr>
                <w:lang w:val="en-US"/>
              </w:rPr>
              <w:t>Social influence</w:t>
            </w:r>
          </w:p>
        </w:tc>
        <w:tc>
          <w:tcPr>
            <w:tcW w:w="932" w:type="pct"/>
            <w:noWrap/>
          </w:tcPr>
          <w:p w14:paraId="778E4A9A" w14:textId="77777777" w:rsidR="00B16443" w:rsidRPr="000F1F57" w:rsidRDefault="00B16443" w:rsidP="00B16443">
            <w:pPr>
              <w:jc w:val="center"/>
            </w:pPr>
            <w:r w:rsidRPr="00ED5853">
              <w:t>445.70</w:t>
            </w:r>
          </w:p>
        </w:tc>
        <w:tc>
          <w:tcPr>
            <w:tcW w:w="911" w:type="pct"/>
            <w:tcBorders>
              <w:right w:val="single" w:sz="4" w:space="0" w:color="auto"/>
            </w:tcBorders>
            <w:noWrap/>
            <w:hideMark/>
          </w:tcPr>
          <w:p w14:paraId="28D0F83F" w14:textId="77777777" w:rsidR="00B16443" w:rsidRPr="000F1F57" w:rsidRDefault="00B16443" w:rsidP="00B16443">
            <w:pPr>
              <w:jc w:val="center"/>
            </w:pPr>
            <w:r w:rsidRPr="00ED5853">
              <w:t>532.96</w:t>
            </w:r>
          </w:p>
        </w:tc>
        <w:tc>
          <w:tcPr>
            <w:tcW w:w="572" w:type="pct"/>
            <w:tcBorders>
              <w:left w:val="single" w:sz="4" w:space="0" w:color="auto"/>
            </w:tcBorders>
            <w:noWrap/>
            <w:hideMark/>
          </w:tcPr>
          <w:p w14:paraId="73D05DED" w14:textId="77777777" w:rsidR="00B16443" w:rsidRPr="000F1F57" w:rsidRDefault="00B16443" w:rsidP="00B16443">
            <w:pPr>
              <w:jc w:val="right"/>
            </w:pPr>
            <w:r w:rsidRPr="00ED5853">
              <w:t>89742.5</w:t>
            </w:r>
          </w:p>
        </w:tc>
        <w:tc>
          <w:tcPr>
            <w:tcW w:w="420" w:type="pct"/>
            <w:noWrap/>
            <w:hideMark/>
          </w:tcPr>
          <w:p w14:paraId="1BB05386" w14:textId="77777777" w:rsidR="00B16443" w:rsidRPr="000F1F57" w:rsidRDefault="00B16443" w:rsidP="00B16443">
            <w:pPr>
              <w:jc w:val="center"/>
            </w:pPr>
            <w:r w:rsidRPr="00ED5853">
              <w:t>-4.769</w:t>
            </w:r>
          </w:p>
        </w:tc>
        <w:tc>
          <w:tcPr>
            <w:tcW w:w="376" w:type="pct"/>
            <w:noWrap/>
            <w:hideMark/>
          </w:tcPr>
          <w:p w14:paraId="5680EA0F" w14:textId="77777777" w:rsidR="00B16443" w:rsidRPr="00A51B6C" w:rsidRDefault="00B16443" w:rsidP="00B16443">
            <w:pPr>
              <w:jc w:val="center"/>
            </w:pPr>
            <w:r w:rsidRPr="00A51B6C">
              <w:t>0.000</w:t>
            </w:r>
          </w:p>
        </w:tc>
        <w:tc>
          <w:tcPr>
            <w:tcW w:w="376" w:type="pct"/>
            <w:noWrap/>
            <w:hideMark/>
          </w:tcPr>
          <w:p w14:paraId="2AA02C00" w14:textId="77777777" w:rsidR="00B16443" w:rsidRPr="000F1F57" w:rsidRDefault="00B16443" w:rsidP="00B16443">
            <w:pPr>
              <w:jc w:val="center"/>
            </w:pPr>
            <w:r w:rsidRPr="00ED5853">
              <w:t>0.154</w:t>
            </w:r>
          </w:p>
        </w:tc>
      </w:tr>
      <w:tr w:rsidR="00B16443" w:rsidRPr="000F1F57" w14:paraId="68A4B5D3" w14:textId="77777777" w:rsidTr="003A0B75">
        <w:trPr>
          <w:trHeight w:val="300"/>
          <w:jc w:val="center"/>
        </w:trPr>
        <w:tc>
          <w:tcPr>
            <w:tcW w:w="1412" w:type="pct"/>
            <w:noWrap/>
            <w:hideMark/>
          </w:tcPr>
          <w:p w14:paraId="5F3BD997" w14:textId="77777777" w:rsidR="00B16443" w:rsidRPr="000F1F57" w:rsidRDefault="00B16443" w:rsidP="00B16443">
            <w:r>
              <w:t>User behaviour</w:t>
            </w:r>
          </w:p>
        </w:tc>
        <w:tc>
          <w:tcPr>
            <w:tcW w:w="932" w:type="pct"/>
            <w:noWrap/>
          </w:tcPr>
          <w:p w14:paraId="16177144" w14:textId="77777777" w:rsidR="00B16443" w:rsidRPr="000F1F57" w:rsidRDefault="00B16443" w:rsidP="00B16443">
            <w:pPr>
              <w:jc w:val="center"/>
            </w:pPr>
            <w:r w:rsidRPr="00ED5853">
              <w:t>460.86</w:t>
            </w:r>
          </w:p>
        </w:tc>
        <w:tc>
          <w:tcPr>
            <w:tcW w:w="911" w:type="pct"/>
            <w:tcBorders>
              <w:right w:val="single" w:sz="4" w:space="0" w:color="auto"/>
            </w:tcBorders>
            <w:noWrap/>
            <w:hideMark/>
          </w:tcPr>
          <w:p w14:paraId="1C60F767" w14:textId="77777777" w:rsidR="00B16443" w:rsidRPr="000F1F57" w:rsidRDefault="00B16443" w:rsidP="00B16443">
            <w:pPr>
              <w:jc w:val="center"/>
            </w:pPr>
            <w:r w:rsidRPr="00ED5853">
              <w:t>509.55</w:t>
            </w:r>
          </w:p>
        </w:tc>
        <w:tc>
          <w:tcPr>
            <w:tcW w:w="572" w:type="pct"/>
            <w:tcBorders>
              <w:left w:val="single" w:sz="4" w:space="0" w:color="auto"/>
              <w:bottom w:val="single" w:sz="4" w:space="0" w:color="auto"/>
            </w:tcBorders>
            <w:noWrap/>
            <w:hideMark/>
          </w:tcPr>
          <w:p w14:paraId="4EFFD8A6" w14:textId="77777777" w:rsidR="00B16443" w:rsidRPr="000F1F57" w:rsidRDefault="00B16443" w:rsidP="00B16443">
            <w:pPr>
              <w:jc w:val="right"/>
            </w:pPr>
            <w:r w:rsidRPr="00ED5853">
              <w:t>98568.5</w:t>
            </w:r>
          </w:p>
        </w:tc>
        <w:tc>
          <w:tcPr>
            <w:tcW w:w="420" w:type="pct"/>
            <w:tcBorders>
              <w:bottom w:val="single" w:sz="4" w:space="0" w:color="auto"/>
            </w:tcBorders>
            <w:noWrap/>
            <w:hideMark/>
          </w:tcPr>
          <w:p w14:paraId="482734EA" w14:textId="77777777" w:rsidR="00B16443" w:rsidRPr="000F1F57" w:rsidRDefault="00B16443" w:rsidP="00B16443">
            <w:pPr>
              <w:jc w:val="center"/>
            </w:pPr>
            <w:r w:rsidRPr="00ED5853">
              <w:t>-2.687</w:t>
            </w:r>
          </w:p>
        </w:tc>
        <w:tc>
          <w:tcPr>
            <w:tcW w:w="376" w:type="pct"/>
            <w:tcBorders>
              <w:bottom w:val="single" w:sz="4" w:space="0" w:color="auto"/>
            </w:tcBorders>
            <w:noWrap/>
            <w:hideMark/>
          </w:tcPr>
          <w:p w14:paraId="2325E255" w14:textId="77777777" w:rsidR="00B16443" w:rsidRPr="00A51B6C" w:rsidRDefault="00B16443" w:rsidP="00B16443">
            <w:pPr>
              <w:jc w:val="center"/>
            </w:pPr>
            <w:r w:rsidRPr="00A51B6C">
              <w:t>0.007</w:t>
            </w:r>
          </w:p>
        </w:tc>
        <w:tc>
          <w:tcPr>
            <w:tcW w:w="376" w:type="pct"/>
            <w:tcBorders>
              <w:bottom w:val="single" w:sz="4" w:space="0" w:color="auto"/>
            </w:tcBorders>
            <w:noWrap/>
            <w:hideMark/>
          </w:tcPr>
          <w:p w14:paraId="7F688AE0" w14:textId="77777777" w:rsidR="00B16443" w:rsidRPr="000F1F57" w:rsidRDefault="00B16443" w:rsidP="00B16443">
            <w:pPr>
              <w:jc w:val="center"/>
            </w:pPr>
            <w:r w:rsidRPr="00ED5853">
              <w:t>0.087</w:t>
            </w:r>
          </w:p>
        </w:tc>
      </w:tr>
    </w:tbl>
    <w:p w14:paraId="11E042A3" w14:textId="77777777" w:rsidR="000F1F57" w:rsidRDefault="000F1F57" w:rsidP="008F3BB2">
      <w:pPr>
        <w:rPr>
          <w:lang w:val="en-US"/>
        </w:rPr>
      </w:pPr>
    </w:p>
    <w:p w14:paraId="636918AA" w14:textId="77777777" w:rsidR="000C54B6" w:rsidRDefault="000C54B6" w:rsidP="000C54B6">
      <w:pPr>
        <w:pStyle w:val="Nadpis1"/>
        <w:rPr>
          <w:lang w:val="en-US"/>
        </w:rPr>
      </w:pPr>
      <w:r>
        <w:rPr>
          <w:lang w:val="en-US"/>
        </w:rPr>
        <w:t>Discussion</w:t>
      </w:r>
    </w:p>
    <w:p w14:paraId="51E42D77" w14:textId="77777777" w:rsidR="00E63089" w:rsidRDefault="00E63089" w:rsidP="00E63089">
      <w:pPr>
        <w:rPr>
          <w:lang w:val="en-US"/>
        </w:rPr>
      </w:pPr>
      <w:r w:rsidRPr="00E63089">
        <w:rPr>
          <w:lang w:val="en-US"/>
        </w:rPr>
        <w:t xml:space="preserve">The </w:t>
      </w:r>
      <w:r>
        <w:rPr>
          <w:lang w:val="en-US"/>
        </w:rPr>
        <w:t>present</w:t>
      </w:r>
      <w:r w:rsidRPr="00E63089">
        <w:rPr>
          <w:lang w:val="en-US"/>
        </w:rPr>
        <w:t xml:space="preserve"> research has shown insight</w:t>
      </w:r>
      <w:r w:rsidR="001F1B78">
        <w:rPr>
          <w:lang w:val="en-US"/>
        </w:rPr>
        <w:t>s</w:t>
      </w:r>
      <w:r w:rsidRPr="00E63089">
        <w:rPr>
          <w:lang w:val="en-US"/>
        </w:rPr>
        <w:t xml:space="preserve"> regarding the </w:t>
      </w:r>
      <w:r>
        <w:rPr>
          <w:lang w:val="en-US"/>
        </w:rPr>
        <w:t>association</w:t>
      </w:r>
      <w:r w:rsidRPr="00E63089">
        <w:rPr>
          <w:lang w:val="en-US"/>
        </w:rPr>
        <w:t xml:space="preserve"> between </w:t>
      </w:r>
      <w:r>
        <w:rPr>
          <w:lang w:val="en-US"/>
        </w:rPr>
        <w:t>the UTAUT2 constructs and</w:t>
      </w:r>
      <w:r w:rsidRPr="00E63089">
        <w:rPr>
          <w:lang w:val="en-US"/>
        </w:rPr>
        <w:t xml:space="preserve"> </w:t>
      </w:r>
      <w:r>
        <w:rPr>
          <w:lang w:val="en-US"/>
        </w:rPr>
        <w:t xml:space="preserve">the individuals’ demographics </w:t>
      </w:r>
      <w:r w:rsidRPr="00E63089">
        <w:rPr>
          <w:lang w:val="en-US"/>
        </w:rPr>
        <w:t>(</w:t>
      </w:r>
      <w:r>
        <w:rPr>
          <w:lang w:val="en-US"/>
        </w:rPr>
        <w:t>gender, employment status, living settlement, and prior financial experience</w:t>
      </w:r>
      <w:r w:rsidRPr="00E63089">
        <w:rPr>
          <w:lang w:val="en-US"/>
        </w:rPr>
        <w:t xml:space="preserve">). The </w:t>
      </w:r>
      <w:r>
        <w:rPr>
          <w:lang w:val="en-US"/>
        </w:rPr>
        <w:t>evidence</w:t>
      </w:r>
      <w:r w:rsidRPr="00E63089">
        <w:rPr>
          <w:lang w:val="en-US"/>
        </w:rPr>
        <w:t xml:space="preserve"> showed that these </w:t>
      </w:r>
      <w:r>
        <w:rPr>
          <w:lang w:val="en-US"/>
        </w:rPr>
        <w:t>constructs</w:t>
      </w:r>
      <w:r w:rsidRPr="00E63089">
        <w:rPr>
          <w:lang w:val="en-US"/>
        </w:rPr>
        <w:t xml:space="preserve"> do significantly associate with </w:t>
      </w:r>
      <w:r w:rsidR="00D87009">
        <w:rPr>
          <w:lang w:val="en-US"/>
        </w:rPr>
        <w:t>individuals’</w:t>
      </w:r>
      <w:r w:rsidRPr="00E63089">
        <w:rPr>
          <w:lang w:val="en-US"/>
        </w:rPr>
        <w:t xml:space="preserve"> characteristics. However, these </w:t>
      </w:r>
      <w:r w:rsidR="00D87009">
        <w:rPr>
          <w:lang w:val="en-US"/>
        </w:rPr>
        <w:t>findings</w:t>
      </w:r>
      <w:r w:rsidRPr="00E63089">
        <w:rPr>
          <w:lang w:val="en-US"/>
        </w:rPr>
        <w:t xml:space="preserve"> should be discussed a bit mo</w:t>
      </w:r>
      <w:r w:rsidR="00D87009">
        <w:rPr>
          <w:lang w:val="en-US"/>
        </w:rPr>
        <w:t>re carefully. Hence, in the following paragraphs</w:t>
      </w:r>
      <w:r w:rsidR="007861F6">
        <w:rPr>
          <w:lang w:val="en-US"/>
        </w:rPr>
        <w:t>,</w:t>
      </w:r>
      <w:r w:rsidR="00D87009">
        <w:rPr>
          <w:lang w:val="en-US"/>
        </w:rPr>
        <w:t xml:space="preserve"> the above linkages are discussed in the context of the Western Balkan.</w:t>
      </w:r>
    </w:p>
    <w:p w14:paraId="39B103CD" w14:textId="67002F05" w:rsidR="000375A4" w:rsidRDefault="000375A4" w:rsidP="0071328C">
      <w:r w:rsidRPr="006E6871">
        <w:t xml:space="preserve">The first </w:t>
      </w:r>
      <w:r w:rsidR="00987DE2" w:rsidRPr="006E6871">
        <w:t xml:space="preserve">tested </w:t>
      </w:r>
      <w:r w:rsidR="00C820FE" w:rsidRPr="006E6871">
        <w:t xml:space="preserve">relationship </w:t>
      </w:r>
      <w:r w:rsidR="00987DE2">
        <w:t>was</w:t>
      </w:r>
      <w:r w:rsidR="00C820FE" w:rsidRPr="006E6871">
        <w:t xml:space="preserve"> the one that links the UTAUT2 constructs and gender. It was found that gender do</w:t>
      </w:r>
      <w:r w:rsidR="007861F6">
        <w:t>es</w:t>
      </w:r>
      <w:r w:rsidR="00C820FE" w:rsidRPr="006E6871">
        <w:t xml:space="preserve"> associate with effort expectancy, facilitation conditions, hedonic motivation</w:t>
      </w:r>
      <w:r w:rsidR="009E1845">
        <w:t>,</w:t>
      </w:r>
      <w:r w:rsidR="00C820FE" w:rsidRPr="006E6871">
        <w:t xml:space="preserve"> and social influence. Moreover, evidence showed that, compared to males, females scored higher on the latter constructs</w:t>
      </w:r>
      <w:r w:rsidR="007838FF" w:rsidRPr="006E6871">
        <w:t xml:space="preserve">, consistent with prior studies conducted in </w:t>
      </w:r>
      <w:r w:rsidR="007861F6">
        <w:t xml:space="preserve">a </w:t>
      </w:r>
      <w:r w:rsidR="001F1B78">
        <w:t>similar</w:t>
      </w:r>
      <w:r w:rsidR="007838FF" w:rsidRPr="006E6871">
        <w:t xml:space="preserve"> field</w:t>
      </w:r>
      <w:r w:rsidR="008315D8" w:rsidRPr="006E6871">
        <w:t xml:space="preserve"> </w:t>
      </w:r>
      <w:r w:rsidR="008315D8" w:rsidRPr="006E6871">
        <w:fldChar w:fldCharType="begin" w:fldLock="1"/>
      </w:r>
      <w:r w:rsidR="00B12E5D">
        <w:instrText>ADDIN CSL_CITATION {"citationItems":[{"id":"ITEM-1","itemData":{"DOI":"10.1007/s10660-014-9150-7","ISSN":"15729362","abstract":"Understanding how genders differ in their acceptance patterns is a critical factor for successful market segmentation. Using a modified technology acceptance model with 105 participants from Malaysia, this paper examines how gender differences influence the adoption of Islamic mobile banking among Muslims in Malaysia. By means of a structural equation model based on the partial least squares technique, this study reveals two different and interesting models that influence the acceptance of Islamic mobile banking. Male Muslims favour status and values orientations, so their acceptance of Islamic mobile banking was significantly influenced by the perceived self-expressiveness. Female Muslims on the other hand, prefer social and utilitarian orientations, thus their acceptance of Islamic mobile banking was significantly influenced by perceived usefulness and social norms. The results of this survey should be interpreted as speculative and should not be relied upon as an accurate depiction of behavior in the surveyed communities.","author":[{"dropping-particle":"","family":"Goh","given":"Tiong Thye","non-dropping-particle":"","parse-names":false,"suffix":""},{"dropping-particle":"","family":"Sun","given":"Susan","non-dropping-particle":"","parse-names":false,"suffix":""}],"container-title":"Electronic Commerce Research","id":"ITEM-1","issue":"4","issued":{"date-parts":[["2014"]]},"page":"435-458","title":"Exploring gender differences in Islamic mobile banking acceptance","type":"article-journal","volume":"14"},"uris":["http://www.mendeley.com/documents/?uuid=6adcd4c4-913e-4e7e-a2f2-ae5fd0199602"]},{"id":"ITEM-2","itemData":{"DOI":"10.1080/08911762.2017.1308615","ISSN":"15286975","abstract":"This study investigates how the user's gender and hedonic usage motive differences influence evaluation and usage of social media sites. This study develops and tests a conceptual model that captures the relationship among four social media site usage determining factors, social media involvement, satisfaction, and usage intention. The moderating role of two user characteristics on the social media site usage behavior is also empirically tested. Structural equation analysis results show significant moderating effects of gender and the hedonic usage motive of users on the evaluation and usage behavior of social media sites. Managerial implications and future research directions are discussed.","author":[{"dropping-particle":"","family":"Lim","given":"Jeen Su","non-dropping-particle":"","parse-names":false,"suffix":""},{"dropping-particle":"","family":"Heinrichs","given":"John H.","non-dropping-particle":"","parse-names":false,"suffix":""},{"dropping-particle":"","family":"Lim","given":"Kee Sook","non-dropping-particle":"","parse-names":false,"suffix":""}],"container-title":"Journal of Global Marketing","id":"ITEM-2","issue":"3","issued":{"date-parts":[["2017"]]},"page":"161-173","publisher":"Taylor &amp; Francis","title":"Gender and Hedonic Usage Motive Differences in Social Media Site Usage Behavior","type":"article-journal","volume":"30"},"uris":["http://www.mendeley.com/documents/?uuid=26b4ced2-31b6-4d04-ac74-7f1542afa385"]},{"id":"ITEM-3","itemData":{"DOI":"10.1016/j.ijhcs.2005.04.013","ISSN":"10715819","abstract":"Along with increasing investments in new technologies, user technology acceptance becomes a frequently studied topic in the information systems discipline. The last two decades have seen user acceptance models being proposed, tested, refined, extended and unified. These models have contributed to our understanding of user technology acceptance factors and their relationships. Yet they have also presented two limitations: the relatively low explanatory power and inconsistent influences of the factors across studies. Several researchers have recently started to examine the potential moderating effects that may overcome these limitations. However, studies in this direction are far from being conclusive. This study attempts to provide a systematic analysis of the explanatory and situational limitations of existing technology acceptance studies. Ten moderating factors are identified and categorized into three groups: organizational factors, technological factors and individual factors. An integrative model is subsequently established, followed by corresponding propositions pertaining to the moderating factors. © 2005 Elsevier Ltd. All rights reserved.","author":[{"dropping-particle":"","family":"Sun","given":"Heshan","non-dropping-particle":"","parse-names":false,"suffix":""},{"dropping-particle":"","family":"Zhang","given":"Ping","non-dropping-particle":"","parse-names":false,"suffix":""}],"container-title":"International Journal of Human-Computer Studies","id":"ITEM-3","issue":"2","issued":{"date-parts":[["2006","2"]]},"page":"53-78","title":"The role of moderating factors in user technology acceptance","type":"article-journal","volume":"64"},"uris":["http://www.mendeley.com/documents/?uuid=276f3ef2-7fe8-4e29-a160-e3ec6acea7d0","http://www.mendeley.com/documents/?uuid=a46dfb36-4bdb-4db6-ae1b-50bc17be4a57"]}],"mendeley":{"formattedCitation":"(Goh and Sun, 2014; Lim et al., 2017; Sun and Zhang, 2006)","plainTextFormattedCitation":"(Goh and Sun, 2014; Lim et al., 2017; Sun and Zhang, 2006)","previouslyFormattedCitation":"(Goh and Sun, 2014; Lim et al., 2017; Sun and Zhang, 2006)"},"properties":{"noteIndex":0},"schema":"https://github.com/citation-style-language/schema/raw/master/csl-citation.json"}</w:instrText>
      </w:r>
      <w:r w:rsidR="008315D8" w:rsidRPr="006E6871">
        <w:fldChar w:fldCharType="separate"/>
      </w:r>
      <w:r w:rsidR="00B12E5D" w:rsidRPr="00B12E5D">
        <w:rPr>
          <w:noProof/>
        </w:rPr>
        <w:t>(Goh and Sun, 2014; Lim et al., 2017; Sun and Zhang, 2006)</w:t>
      </w:r>
      <w:r w:rsidR="008315D8" w:rsidRPr="006E6871">
        <w:fldChar w:fldCharType="end"/>
      </w:r>
      <w:r w:rsidR="007838FF" w:rsidRPr="006E6871">
        <w:t xml:space="preserve">. </w:t>
      </w:r>
      <w:r w:rsidR="00E97269" w:rsidRPr="006E6871">
        <w:t>However, the</w:t>
      </w:r>
      <w:r w:rsidR="006E6871" w:rsidRPr="006E6871">
        <w:t xml:space="preserve"> data showed that behavioral intention, habit, performance expectancy</w:t>
      </w:r>
      <w:r w:rsidR="006E6871">
        <w:t>,</w:t>
      </w:r>
      <w:r w:rsidR="006E6871" w:rsidRPr="006E6871">
        <w:t xml:space="preserve"> and user behavior </w:t>
      </w:r>
      <w:r w:rsidR="006E6871">
        <w:t xml:space="preserve">do not associate with gender (see Table 3), which goes in line with what previous studies have </w:t>
      </w:r>
      <w:r w:rsidR="00885143">
        <w:t xml:space="preserve">demonstrated </w:t>
      </w:r>
      <w:r w:rsidR="006E6871">
        <w:fldChar w:fldCharType="begin" w:fldLock="1"/>
      </w:r>
      <w:r w:rsidR="00B12E5D">
        <w:instrText>ADDIN CSL_CITATION {"citationItems":[{"id":"ITEM-1","itemData":{"DOI":"10.1108/IntR-10-2015-0295","ISSN":"1066-2243","abstract":"Purpose The purpose of this paper is to identify the potential impact of the utilization of game mechanics and game design techniques in the acceptance of mobile banking services. Design/methodology/approach The theoretical model was tested in a quantitative study using structural equation modelling, conducted in Brazil, with actual local banking customers. Findings The findings show that there is a direct and strong relationship between gamification and intention to use mobile banking services, supporting that, when used and designed properly, gamification can help make banking activities more exciting, more interesting and more enjoyable, and in turn increase customer acceptance, engagement and satisfaction. Research limitations/implications The research extends the unified theory of acceptance and use of technology (UTAUT2), and prior research to include gamification impact. The result is a more descriptive model that better explains consumers’ decision to use mobile banking services. Practical implica...","author":[{"dropping-particle":"","family":"Baptista","given":"Goncalo","non-dropping-particle":"","parse-names":false,"suffix":""},{"dropping-particle":"","family":"Oliveira","given":"Tiago","non-dropping-particle":"","parse-names":false,"suffix":""}],"container-title":"Internet Research","id":"ITEM-1","issue":"1","issued":{"date-parts":[["2017","2"]]},"page":"118-139","publisher":"Emerald Publishing Limited","title":"Why so serious? Gamification impact in the acceptance of mobile banking services","type":"article-journal","volume":"27"},"uris":["http://www.mendeley.com/documents/?uuid=0b3f374e-8b77-42e6-bc77-b7919247f6cf"]},{"id":"ITEM-2","itemData":{"DOI":"10.2307/41410412","ISSN":"02767783","abstract":"This paper extends the unified theory of acceptance and use of technology (UTAUT) to study acceptance and use of technology in a consumer context. Our proposed UTAUT2 incorporates three constructs into UTAUT: hedonic motivation, price value, and habit. Individual differences—namely, age, gender, and experience—are hypothesized to moderate the effects of these constructs on behavioral intention and technology use. Results from a two-stage online survey, with technology use data collected four months after the first survey, of 1,512 mobile Internet consumers supported our model. Compared to UTAUT, the extensions proposed in UTAUT2 produced a substantial improvement in the variance explained in behavioral intention (56 percent to 74 percent) and technology use (40 percent to 52 percent). The theoretical and managerial implications of these results are discussed.","author":[{"dropping-particle":"","family":"Venkatesh","given":"Viswanath","non-dropping-particle":"","parse-names":false,"suffix":""},{"dropping-particle":"","family":"Thong","given":"James Y. L.","non-dropping-particle":"","parse-names":false,"suffix":""},{"dropping-particle":"","family":"Xu","given":"Xin","non-dropping-particle":"","parse-names":false,"suffix":""}],"container-title":"MIS Quarterly","id":"ITEM-2","issue":"1","issued":{"date-parts":[["2012"]]},"page":"157","title":"Consumer Acceptance and Use of Information Technology: Extending the Unified Theory of Acceptance and Use of Technology","type":"article-journal","volume":"36"},"uris":["http://www.mendeley.com/documents/?uuid=47aaf082-83a2-46f0-b062-9c6987a306c3"]},{"id":"ITEM-3","itemData":{"DOI":"10.1177/0972150918757883","ISSN":"0972-1509","abstract":"The objective of this article is to analyze if demographic characteristics influence user attitude towards mobile banking. The sample comprise of current users of online banking. Although earlier studies on technology adoption models have received considerable empirical validation, most of the studies did not consider moderating variables. Among those, which consider moderating variables, primarily explored are gender, age and income. By including other moderator variables in the model, we hope to lessen the inconsistencies found in past research studies. To test the moderating effect, two methods, viz. multiple linear regression and Fisher Z transformation are used. Results show that gender, age, qualification, experience, occupation, income and marital status were significant moderating variables. However, educational background did not show any moderating effect. Our results suggest that by extending the Technology Acceptance Model (TAM) and Diffusion of Innovations (DoI) theory, the research provide insights into the factors influencing consumers’ attitude to adopt mobile banking applications. Besides, the results of moderating effect improve our understanding of the demographic differences, which influence the degree of mobile banking adoption. This study will help researchers and practitioners to come up with improved mobile adoption frameworks and applications with greater understanding of the influence of demographic factors.","author":[{"dropping-particle":"","family":"Chawla","given":"Deepak","non-dropping-particle":"","parse-names":false,"suffix":""},{"dropping-particle":"","family":"Joshi","given":"Himanshu","non-dropping-particle":"","parse-names":false,"suffix":""}],"container-title":"Global Business Review","id":"ITEM-3","issue":"3_suppl","issued":{"date-parts":[["2018","6","7"]]},"page":"S90-S113","title":"The Moderating Effect of Demographic Variables on Mobile Banking Adoption: An Empirical Investigation","type":"article-journal","volume":"19"},"uris":["http://www.mendeley.com/documents/?uuid=312bb979-8396-42fc-bc61-0fa62c6810a7"]}],"mendeley":{"formattedCitation":"(Baptista and Oliveira, 2017; Chawla and Joshi, 2018; Venkatesh et al., 2012)","plainTextFormattedCitation":"(Baptista and Oliveira, 2017; Chawla and Joshi, 2018; Venkatesh et al., 2012)","previouslyFormattedCitation":"(Baptista and Oliveira, 2017; Chawla and Joshi, 2018; Venkatesh et al., 2012)"},"properties":{"noteIndex":0},"schema":"https://github.com/citation-style-language/schema/raw/master/csl-citation.json"}</w:instrText>
      </w:r>
      <w:r w:rsidR="006E6871">
        <w:fldChar w:fldCharType="separate"/>
      </w:r>
      <w:r w:rsidR="00AF1E11" w:rsidRPr="00AF1E11">
        <w:rPr>
          <w:noProof/>
        </w:rPr>
        <w:t>(Baptista and Oliveira, 2017; Chawla and Joshi, 2018; Venkatesh et al., 2012)</w:t>
      </w:r>
      <w:r w:rsidR="006E6871">
        <w:fldChar w:fldCharType="end"/>
      </w:r>
      <w:r w:rsidR="006E6871">
        <w:t xml:space="preserve">. </w:t>
      </w:r>
      <w:r w:rsidR="000B7275">
        <w:t>As a result, gender do</w:t>
      </w:r>
      <w:r w:rsidR="007861F6">
        <w:t>es</w:t>
      </w:r>
      <w:r w:rsidR="000B7275">
        <w:t xml:space="preserve"> not associate with all UTAUT2 model’s constructs. Therefore, considering the latter findings, technology acceptance and usage do not differ in terms of gender for </w:t>
      </w:r>
      <w:r w:rsidR="00BA78C8">
        <w:t>Western Balkan people</w:t>
      </w:r>
      <w:r w:rsidR="000B7275">
        <w:t xml:space="preserve">. </w:t>
      </w:r>
    </w:p>
    <w:p w14:paraId="56EB9395" w14:textId="6C81AF3B" w:rsidR="000B7275" w:rsidRDefault="00987DE2" w:rsidP="009E1845">
      <w:pPr>
        <w:rPr>
          <w:lang w:val="en-US"/>
        </w:rPr>
      </w:pPr>
      <w:r>
        <w:rPr>
          <w:lang w:val="en-US"/>
        </w:rPr>
        <w:t xml:space="preserve">The second tested linkage was between the UTAUT2 model’s constructs and </w:t>
      </w:r>
      <w:r w:rsidR="007861F6">
        <w:rPr>
          <w:lang w:val="en-US"/>
        </w:rPr>
        <w:t xml:space="preserve">the </w:t>
      </w:r>
      <w:r>
        <w:rPr>
          <w:lang w:val="en-US"/>
        </w:rPr>
        <w:t>employment status of the individuals. Evidence ha</w:t>
      </w:r>
      <w:r w:rsidR="007861F6">
        <w:rPr>
          <w:lang w:val="en-US"/>
        </w:rPr>
        <w:t>s</w:t>
      </w:r>
      <w:r>
        <w:rPr>
          <w:lang w:val="en-US"/>
        </w:rPr>
        <w:t xml:space="preserve"> supported the above associations</w:t>
      </w:r>
      <w:r w:rsidR="00AD1051">
        <w:rPr>
          <w:lang w:val="en-US"/>
        </w:rPr>
        <w:t xml:space="preserve"> stressing the importance of being employ</w:t>
      </w:r>
      <w:r w:rsidR="00E40EC8">
        <w:rPr>
          <w:lang w:val="en-US"/>
        </w:rPr>
        <w:t>ed</w:t>
      </w:r>
      <w:r w:rsidR="00AD1051">
        <w:rPr>
          <w:lang w:val="en-US"/>
        </w:rPr>
        <w:t xml:space="preserve"> in accepting and using technology</w:t>
      </w:r>
      <w:r w:rsidR="009E1845">
        <w:rPr>
          <w:lang w:val="en-US"/>
        </w:rPr>
        <w:t>,</w:t>
      </w:r>
      <w:r w:rsidR="00AD1051">
        <w:rPr>
          <w:lang w:val="en-US"/>
        </w:rPr>
        <w:t xml:space="preserve"> including mobile banking. As discussed in the literature review section, this study is among the first to consider employment status as a potential individual demographic </w:t>
      </w:r>
      <w:r w:rsidR="00BA78C8">
        <w:rPr>
          <w:lang w:val="en-US"/>
        </w:rPr>
        <w:t>linked</w:t>
      </w:r>
      <w:r w:rsidR="00AD1051">
        <w:rPr>
          <w:lang w:val="en-US"/>
        </w:rPr>
        <w:t xml:space="preserve"> to the UTAUT2 model’s constructs. In conducting the present research, </w:t>
      </w:r>
      <w:r w:rsidR="003763E3">
        <w:rPr>
          <w:lang w:val="en-US"/>
        </w:rPr>
        <w:t>existing literature and prior studies support</w:t>
      </w:r>
      <w:r w:rsidR="00AD1051">
        <w:rPr>
          <w:lang w:val="en-US"/>
        </w:rPr>
        <w:t xml:space="preserve"> the importance of employment status </w:t>
      </w:r>
      <w:r w:rsidR="0008531E">
        <w:rPr>
          <w:lang w:val="en-US"/>
        </w:rPr>
        <w:t>o</w:t>
      </w:r>
      <w:r w:rsidR="00AD1051">
        <w:rPr>
          <w:lang w:val="en-US"/>
        </w:rPr>
        <w:t>n an individual’s technology adaption</w:t>
      </w:r>
      <w:r>
        <w:rPr>
          <w:lang w:val="en-US"/>
        </w:rPr>
        <w:t xml:space="preserve"> </w:t>
      </w:r>
      <w:r>
        <w:rPr>
          <w:lang w:val="en-US"/>
        </w:rPr>
        <w:fldChar w:fldCharType="begin" w:fldLock="1"/>
      </w:r>
      <w:r w:rsidR="00B12E5D">
        <w:rPr>
          <w:lang w:val="en-US"/>
        </w:rPr>
        <w:instrText>ADDIN CSL_CITATION {"citationItems":[{"id":"ITEM-1","itemData":{"DOI":"10.1108/13287260810916943","ISSN":"1328-7265","author":[{"dropping-particle":"","family":"Leppäniemi","given":"Matti","non-dropping-particle":"","parse-names":false,"suffix":""},{"dropping-particle":"","family":"Karjaluoto","given":"Heikki","non-dropping-particle":"","parse-names":false,"suffix":""}],"container-title":"Journal of Systems and Information Technology","editor":[{"dropping-particle":"","family":"Standing","given":"Craig","non-dropping-particle":"","parse-names":false,"suffix":""}],"id":"ITEM-1","issue":"3","issued":{"date-parts":[["2008","11","21"]]},"page":"251-265","title":"Exploring the effects of gender, age, income and employment status on consumer response to mobile advertising campaigns","type":"article-journal","volume":"10"},"uris":["http://www.mendeley.com/documents/?uuid=d83e6097-c08b-4dca-9fa5-9be63d4ad5f5","http://www.mendeley.com/documents/?uuid=a85daf41-1ff7-474c-b4e6-de48afb04f7d"]},{"id":"ITEM-2","itemData":{"DOI":"10.1002/isd2.12138","ISSN":"1681-4835","abstract":"The diaspora, particularly through ICT-enabled remittances, are an important lifeline to many in the developing world. This study aims to better understand the usefulness of ICTs in the role played by the remittance sending diasporans in developing countries' economic and social system. Through a mixed-method approach, we explore the institution behind the Somali Hawala system and how it is enabled by technology. Guided by the question: What is the role of electronic money, technology, and the diaspora in the international remittance system? Using Somalia and the Somali diaspora, we create an inventory of the Hawala businesses based in the Canada gathered from secondary sources and online business listings. Next, surveys of 143 Somalis, who have remitted internationally in 2017, were conducted. We observed that social ties are strong motivators as to why individuals in Canada send money to people in Somalia. People who communicate less frequently were more likely to send less than $500. However, those who frequently communicate with their family members were more likely to send more than $500. Drawing on Social Network Theory and Altruism theory, we establish the role of ICTs in the Somali money transfer sector, confirming the crucial role served by ICTs in remittances.","author":[{"dropping-particle":"","family":"Elmi","given":"Mohamed A.","non-dropping-particle":"","parse-names":false,"suffix":""},{"dropping-particle":"","family":"Ngwenyama","given":"Ojelanki","non-dropping-particle":"","parse-names":false,"suffix":""}],"container-title":"The Electronic Journal of Information Systems in Developing Countries","id":"ITEM-2","issue":"5","issued":{"date-parts":[["2020","9","27"]]},"publisher":"Wiley-Blackwell","title":"Examining the use of electronic money and technology by the diaspora in international remittance system: A case of Somali remittances from Canada","type":"article-journal","volume":"86"},"uris":["http://www.mendeley.com/documents/?uuid=b464b6e5-15eb-36dc-94b8-cb233e229197","http://www.mendeley.com/documents/?uuid=25e16118-af85-4253-93c2-f0ab4e1f5f45"]},{"id":"ITEM-3","itemData":{"DOI":"10.1057/fsm.2011.28","ISSN":"1363-0539","abstract":"This study provides an African perspective to the global research and literature on retail customer adoption of Internet banking (IB). It empirically examines the influence of seven demographic variables – age, gender, level of education, marital status, employment status, income level and area of residence – on retail banking customers’ behaviours toward IB adoption in a major developing African country – Nigeria. A sample of 500 customers was surveyed, and ANOVA and multiple regression analyses were used in testing the association of the variables with customer attitude and intention toward IB adoption. Although all seven variables were correlated with attitude and intention, only gender, level of education, and employment status showed significant ability to influence Nigerian customers’ attitude and intention toward IB adoption. The study therefore concludes that gender, level of education, and employment status are the major demographic affecters of Nigerian banking customers’ attitudes to IB adoption.","author":[{"dropping-particle":"","family":"Onyia","given":"Okey Peter","non-dropping-particle":"","parse-names":false,"suffix":""},{"dropping-particle":"","family":"Tagg","given":"Stephen K","non-dropping-particle":"","parse-names":false,"suffix":""}],"container-title":"Journal of Financial Services Marketing","id":"ITEM-3","issue":"3-4","issued":{"date-parts":[["2011","12","1"]]},"page":"294-315","publisher":"Palgrave Macmillan UK","title":"Effects of demographic factors on bank customers’ attitudes and intention toward Internet banking adoption in a major developing African country","type":"article-journal","volume":"16"},"uris":["http://www.mendeley.com/documents/?uuid=d21dab9e-0271-43f9-9099-5e286365f91d","http://www.mendeley.com/documents/?uuid=cfd854e6-e4f7-4b24-a8d3-a752dcafa004"]}],"mendeley":{"formattedCitation":"(Elmi and Ngwenyama, 2020; Leppäniemi and Karjaluoto, 2008; Onyia and Tagg, 2011)","plainTextFormattedCitation":"(Elmi and Ngwenyama, 2020; Leppäniemi and Karjaluoto, 2008; Onyia and Tagg, 2011)","previouslyFormattedCitation":"(Elmi and Ngwenyama, 2020; Leppäniemi and Karjaluoto, 2008; Onyia and Tagg, 2011)"},"properties":{"noteIndex":0},"schema":"https://github.com/citation-style-language/schema/raw/master/csl-citation.json"}</w:instrText>
      </w:r>
      <w:r>
        <w:rPr>
          <w:lang w:val="en-US"/>
        </w:rPr>
        <w:fldChar w:fldCharType="separate"/>
      </w:r>
      <w:r w:rsidR="00AF2B42" w:rsidRPr="00AF2B42">
        <w:rPr>
          <w:noProof/>
          <w:lang w:val="en-US"/>
        </w:rPr>
        <w:t>(Elmi and Ngwenyama, 2020; Leppäniemi and Karjaluoto, 2008; Onyia and Tagg, 2011)</w:t>
      </w:r>
      <w:r>
        <w:rPr>
          <w:lang w:val="en-US"/>
        </w:rPr>
        <w:fldChar w:fldCharType="end"/>
      </w:r>
      <w:r w:rsidR="00AD1051">
        <w:rPr>
          <w:lang w:val="en-US"/>
        </w:rPr>
        <w:t>.</w:t>
      </w:r>
      <w:r w:rsidR="00FA2FDE" w:rsidRPr="00A04B5D">
        <w:rPr>
          <w:color w:val="FF0000"/>
          <w:lang w:val="en-US"/>
        </w:rPr>
        <w:t xml:space="preserve"> However, the current research results contradict Moghaddam and Khatoon-Abadi’s </w:t>
      </w:r>
      <w:r w:rsidR="00FA2FDE" w:rsidRPr="00A04B5D">
        <w:rPr>
          <w:color w:val="FF0000"/>
          <w:lang w:val="en-US"/>
        </w:rPr>
        <w:fldChar w:fldCharType="begin" w:fldLock="1"/>
      </w:r>
      <w:r w:rsidR="00FA2FDE" w:rsidRPr="00A04B5D">
        <w:rPr>
          <w:color w:val="FF0000"/>
          <w:lang w:val="en-US"/>
        </w:rPr>
        <w:instrText>ADDIN CSL_CITATION {"citationItems":[{"id":"ITEM-1","itemData":{"DOI":"10.1016/j.telpol.2013.02.005","ISSN":"03085961","abstract":"Rural ICT centers are the initiative of the third millennium and widen the accessibility horizons of information and Communication Technology among disadvantaged groups of societies, and play a significant role in rural development processes. Adoption of new technology in rural Iran has been the main challenge and focal point of all agricultural extension activities since the modernization era of the 1950s. Consequently the rapidly growing gap between urban and rural economy has reinforced the critical role of ICT in creating an equal society. Identifying the factors which foster adoption of ICT is among the important challenges of alleviating digital divide. ICT centers attract different groups within rural communities and create a forum for unprivileged rural settlers to learn about and to use computer and internet. This paper attempts to identify the factors influencing the adoption of ICT in rural Gharn Abad's ICT center of Golestan Province. The sample included 218 individuals, who were selected by stratified random sampling method. Survey method was used, and data was analyzed by correlation as well as multiple regression techniques. Based on the results, the existence of ICT center itself, with various funding sources, reinforced the adoption regardless of the users' economic status. At the same time, the other factors such as individual, social, the households' informative &amp; communicative, as well as the innovation related factors were found influential. This case study could be used as a sample for planning, establishing, and developing the ICT centers in the other similar situations. © 2013 Elsevier Ltd. Allrights reserved.","author":[{"dropping-particle":"","family":"Moghaddam","given":"B. Khalil","non-dropping-particle":"","parse-names":false,"suffix":""},{"dropping-particle":"","family":"Khatoon-Abadi","given":"A.","non-dropping-particle":"","parse-names":false,"suffix":""}],"container-title":"Telecommunications Policy","id":"ITEM-1","issue":"11","issued":{"date-parts":[["2013"]]},"page":"1083-1094","title":"Factors affecting ICT adoption among rural users: A case study of ICT Center in Iran","type":"article-journal","volume":"37"},"suppress-author":1,"uris":["http://www.mendeley.com/documents/?uuid=f594af47-aad6-4677-839e-3bf0f10a4208"]}],"mendeley":{"formattedCitation":"(2013)","plainTextFormattedCitation":"(2013)","previouslyFormattedCitation":"(2013)"},"properties":{"noteIndex":0},"schema":"https://github.com/citation-style-language/schema/raw/master/csl-citation.json"}</w:instrText>
      </w:r>
      <w:r w:rsidR="00FA2FDE" w:rsidRPr="00A04B5D">
        <w:rPr>
          <w:color w:val="FF0000"/>
          <w:lang w:val="en-US"/>
        </w:rPr>
        <w:fldChar w:fldCharType="separate"/>
      </w:r>
      <w:r w:rsidR="00FA2FDE" w:rsidRPr="00A04B5D">
        <w:rPr>
          <w:noProof/>
          <w:color w:val="FF0000"/>
          <w:lang w:val="en-US"/>
        </w:rPr>
        <w:t>(2013)</w:t>
      </w:r>
      <w:r w:rsidR="00FA2FDE" w:rsidRPr="00A04B5D">
        <w:rPr>
          <w:color w:val="FF0000"/>
          <w:lang w:val="en-US"/>
        </w:rPr>
        <w:fldChar w:fldCharType="end"/>
      </w:r>
      <w:r w:rsidR="00FA2FDE" w:rsidRPr="00A04B5D">
        <w:rPr>
          <w:color w:val="FF0000"/>
          <w:lang w:val="en-US"/>
        </w:rPr>
        <w:t xml:space="preserve"> finding regarding the association between living settlement and the UTAUT2 model’s construct.</w:t>
      </w:r>
    </w:p>
    <w:p w14:paraId="2689993E" w14:textId="60AA369A" w:rsidR="00C562A6" w:rsidRDefault="0008531E" w:rsidP="009E1845">
      <w:pPr>
        <w:rPr>
          <w:lang w:val="en-US"/>
        </w:rPr>
      </w:pPr>
      <w:r>
        <w:rPr>
          <w:lang w:val="en-US"/>
        </w:rPr>
        <w:t>The third tested association was between living settlement (</w:t>
      </w:r>
      <w:r w:rsidR="007861F6">
        <w:rPr>
          <w:lang w:val="en-US"/>
        </w:rPr>
        <w:t xml:space="preserve">the </w:t>
      </w:r>
      <w:r>
        <w:rPr>
          <w:lang w:val="en-US"/>
        </w:rPr>
        <w:t>place where the individuals live: urban or rural area) and the UTAUT2’s construct</w:t>
      </w:r>
      <w:r w:rsidR="00E40EC8">
        <w:rPr>
          <w:lang w:val="en-US"/>
        </w:rPr>
        <w:t xml:space="preserve">. As in the </w:t>
      </w:r>
      <w:r w:rsidR="00BA78C8">
        <w:rPr>
          <w:lang w:val="en-US"/>
        </w:rPr>
        <w:t>employment status case</w:t>
      </w:r>
      <w:r w:rsidR="00E40EC8">
        <w:rPr>
          <w:lang w:val="en-US"/>
        </w:rPr>
        <w:t>, this paper is among the first</w:t>
      </w:r>
      <w:r w:rsidR="009E1845">
        <w:rPr>
          <w:lang w:val="en-US"/>
        </w:rPr>
        <w:t>,</w:t>
      </w:r>
      <w:r w:rsidR="00E40EC8">
        <w:rPr>
          <w:lang w:val="en-US"/>
        </w:rPr>
        <w:t xml:space="preserve"> which links living settlement to the UTAUT2 model’s constructs. Excluding hedonic motivation and social influence, all the other constructs reflected </w:t>
      </w:r>
      <w:r w:rsidR="007861F6">
        <w:rPr>
          <w:lang w:val="en-US"/>
        </w:rPr>
        <w:t xml:space="preserve">a </w:t>
      </w:r>
      <w:r w:rsidR="00E40EC8">
        <w:rPr>
          <w:lang w:val="en-US"/>
        </w:rPr>
        <w:t xml:space="preserve">significant relationship with the area where people live. </w:t>
      </w:r>
      <w:r w:rsidR="00CD2A13">
        <w:rPr>
          <w:lang w:val="en-US"/>
        </w:rPr>
        <w:t xml:space="preserve">Contrary to </w:t>
      </w:r>
      <w:r w:rsidR="00CD2A13" w:rsidRPr="007F1EE7">
        <w:rPr>
          <w:noProof/>
          <w:lang w:val="en-US"/>
        </w:rPr>
        <w:t xml:space="preserve">Moghaddam </w:t>
      </w:r>
      <w:r w:rsidR="00CD2A13">
        <w:rPr>
          <w:noProof/>
          <w:lang w:val="en-US"/>
        </w:rPr>
        <w:t>and</w:t>
      </w:r>
      <w:r w:rsidR="00CD2A13" w:rsidRPr="007F1EE7">
        <w:rPr>
          <w:noProof/>
          <w:lang w:val="en-US"/>
        </w:rPr>
        <w:t xml:space="preserve"> Khatoon-Abadi</w:t>
      </w:r>
      <w:r w:rsidR="00CD2A13">
        <w:rPr>
          <w:lang w:val="en-US"/>
        </w:rPr>
        <w:t xml:space="preserve"> </w:t>
      </w:r>
      <w:r w:rsidR="00CD2A13">
        <w:rPr>
          <w:lang w:val="en-US"/>
        </w:rPr>
        <w:fldChar w:fldCharType="begin" w:fldLock="1"/>
      </w:r>
      <w:r w:rsidR="005D2834">
        <w:rPr>
          <w:lang w:val="en-US"/>
        </w:rPr>
        <w:instrText>ADDIN CSL_CITATION {"citationItems":[{"id":"ITEM-1","itemData":{"DOI":"10.1016/j.telpol.2013.02.005","ISSN":"03085961","abstract":"Rural ICT centers are the initiative of the third millennium and widen the accessibility horizons of information and Communication Technology among disadvantaged groups of societies, and play a significant role in rural development processes. Adoption of new technology in rural Iran has been the main challenge and focal point of all agricultural extension activities since the modernization era of the 1950s. Consequently the rapidly growing gap between urban and rural economy has reinforced the critical role of ICT in creating an equal society. Identifying the factors which foster adoption of ICT is among the important challenges of alleviating digital divide. ICT centers attract different groups within rural communities and create a forum for unprivileged rural settlers to learn about and to use computer and internet. This paper attempts to identify the factors influencing the adoption of ICT in rural Gharn Abad's ICT center of Golestan Province. The sample included 218 individuals, who were selected by stratified random sampling method. Survey method was used, and data was analyzed by correlation as well as multiple regression techniques. Based on the results, the existence of ICT center itself, with various funding sources, reinforced the adoption regardless of the users' economic status. At the same time, the other factors such as individual, social, the households' informative &amp; communicative, as well as the innovation related factors were found influential. This case study could be used as a sample for planning, establishing, and developing the ICT centers in the other similar situations. © 2013 Elsevier Ltd. Allrights reserved.","author":[{"dropping-particle":"","family":"Moghaddam","given":"B. Khalil","non-dropping-particle":"","parse-names":false,"suffix":""},{"dropping-particle":"","family":"Khatoon-Abadi","given":"A.","non-dropping-particle":"","parse-names":false,"suffix":""}],"container-title":"Telecommunications Policy","id":"ITEM-1","issue":"11","issued":{"date-parts":[["2013"]]},"page":"1083-1094","title":"Factors affecting ICT adoption among rural users: A case study of ICT Center in Iran","type":"article-journal","volume":"37"},"suppress-author":1,"uris":["http://www.mendeley.com/documents/?uuid=f594af47-aad6-4677-839e-3bf0f10a4208"]}],"mendeley":{"formattedCitation":"(2013)","plainTextFormattedCitation":"(2013)","previouslyFormattedCitation":"(2013)"},"properties":{"noteIndex":0},"schema":"https://github.com/citation-style-language/schema/raw/master/csl-citation.json"}</w:instrText>
      </w:r>
      <w:r w:rsidR="00CD2A13">
        <w:rPr>
          <w:lang w:val="en-US"/>
        </w:rPr>
        <w:fldChar w:fldCharType="separate"/>
      </w:r>
      <w:r w:rsidR="005D2834" w:rsidRPr="005D2834">
        <w:rPr>
          <w:noProof/>
          <w:lang w:val="en-US"/>
        </w:rPr>
        <w:t>(2013)</w:t>
      </w:r>
      <w:r w:rsidR="00CD2A13">
        <w:rPr>
          <w:lang w:val="en-US"/>
        </w:rPr>
        <w:fldChar w:fldCharType="end"/>
      </w:r>
      <w:r w:rsidR="00CD2A13">
        <w:rPr>
          <w:lang w:val="en-US"/>
        </w:rPr>
        <w:t xml:space="preserve">, the present study demonstrated substantial evidence supporting the above association. </w:t>
      </w:r>
      <w:r w:rsidR="00E40EC8">
        <w:rPr>
          <w:lang w:val="en-US"/>
        </w:rPr>
        <w:t xml:space="preserve">Thus, as </w:t>
      </w:r>
      <w:r w:rsidR="00BA78C8">
        <w:rPr>
          <w:lang w:val="en-US"/>
        </w:rPr>
        <w:t>expected, those who live in urban areas</w:t>
      </w:r>
      <w:r w:rsidR="00E40EC8">
        <w:rPr>
          <w:lang w:val="en-US"/>
        </w:rPr>
        <w:t xml:space="preserve"> scored higher in the UTAUT2 constructs</w:t>
      </w:r>
      <w:r w:rsidR="00C562A6">
        <w:rPr>
          <w:lang w:val="en-US"/>
        </w:rPr>
        <w:t xml:space="preserve">, which is in line with </w:t>
      </w:r>
      <w:r w:rsidR="00C562A6" w:rsidRPr="00C562A6">
        <w:rPr>
          <w:noProof/>
          <w:lang w:val="en-US"/>
        </w:rPr>
        <w:t xml:space="preserve">Ramavhona </w:t>
      </w:r>
      <w:r w:rsidR="00C562A6">
        <w:rPr>
          <w:noProof/>
          <w:lang w:val="en-US"/>
        </w:rPr>
        <w:t>and</w:t>
      </w:r>
      <w:r w:rsidR="00C562A6" w:rsidRPr="00C562A6">
        <w:rPr>
          <w:noProof/>
          <w:lang w:val="en-US"/>
        </w:rPr>
        <w:t xml:space="preserve"> Mokwena</w:t>
      </w:r>
      <w:r w:rsidR="00C562A6">
        <w:rPr>
          <w:noProof/>
          <w:lang w:val="en-US"/>
        </w:rPr>
        <w:t>’s</w:t>
      </w:r>
      <w:r w:rsidR="00C562A6">
        <w:rPr>
          <w:lang w:val="en-US"/>
        </w:rPr>
        <w:t xml:space="preserve"> </w:t>
      </w:r>
      <w:r w:rsidR="00C562A6">
        <w:rPr>
          <w:lang w:val="en-US"/>
        </w:rPr>
        <w:fldChar w:fldCharType="begin" w:fldLock="1"/>
      </w:r>
      <w:r w:rsidR="005D2834">
        <w:rPr>
          <w:lang w:val="en-US"/>
        </w:rPr>
        <w:instrText>ADDIN CSL_CITATION {"citationItems":[{"id":"ITEM-1","itemData":{"DOI":"10.4102/sajim.v18i2.642","ISSN":"1560-683X","abstract":"Background: The banking industry globally provides Internet banking to offer their customers easy access to banking services. The banks in South Africa, like their counterparts in other parts of the world, offer Internet banking to customers. However, the majority of South Africans in rural areas do not adopt and use Internet banking despite its convenience, the availability of Internet banking infrastructure, the effort of banks in promoting Internet banking awareness and Internet security.Objectives: This research investigated factors which influence the adoption and use of Internet banking in the context of South African rural areas.Method: In this study, a quantitative research approach was used. Data were collected through questionnaires and analysed using Statistical Package for Social Sciences (SPSS) tool.Results: The perceived compatibility, trialability and external variables such as awareness and security were found to have significant influence in the adoption of Internet banking in South African rural areas, whereas relative advantage was found not to be a significant factor. Security and the complexity of Internet banking were also revealed as some of the factors hampering the intention to adopt Internet banking in South African rural areas.Conclusion: The lack of awareness on Internet banking services and its benefits such as its convenience and the possibility to conduct banking transactions from any location with Internet is found to be the reason for South African rural area retail bank consumers’ reluctance to adopt Internet banking. The majority of retail bank customers in South African rural areas do not use Internet banking because of the lack of resources, such as computers with Internet access. The security of transactions conducted over the Internet is the main concern and significant element that customers consider before adopting Internet banking in South African rural areas as they perceive it as being easily exposed to fraud. As a result, this perception erodes retail bank customers’ confidence to adopt Internet banking. The majority of retail bank customers in South African rural areas will be willing to adopt Internet banking if their lifestyle, values and specific need are met. Retail bank customers in South African rural areas will adopt Internet banking if the Internet banking processes are simplified and user-friendly.","author":[{"dropping-particle":"","family":"Ramavhona","given":"Thinamano C.","non-dropping-particle":"","parse-names":false,"suffix":""},{"dropping-particle":"","family":"Mokwena","given":"Sello","non-dropping-particle":"","parse-names":false,"suffix":""}],"container-title":"SA Journal of Information Management","id":"ITEM-1","issue":"2","issued":{"date-parts":[["2016","12"]]},"page":"1443-1455","title":"Factors influencing Internet banking adoption in South African rural areas","type":"article-journal","volume":"18"},"suppress-author":1,"uris":["http://www.mendeley.com/documents/?uuid=7213f409-b1ab-4711-b959-9286c6aef147"]}],"mendeley":{"formattedCitation":"(2016)","plainTextFormattedCitation":"(2016)","previouslyFormattedCitation":"(2016)"},"properties":{"noteIndex":0},"schema":"https://github.com/citation-style-language/schema/raw/master/csl-citation.json"}</w:instrText>
      </w:r>
      <w:r w:rsidR="00C562A6">
        <w:rPr>
          <w:lang w:val="en-US"/>
        </w:rPr>
        <w:fldChar w:fldCharType="separate"/>
      </w:r>
      <w:r w:rsidR="00FA2FDE" w:rsidRPr="00FA2FDE">
        <w:rPr>
          <w:noProof/>
          <w:lang w:val="en-US"/>
        </w:rPr>
        <w:t>(2016)</w:t>
      </w:r>
      <w:r w:rsidR="00C562A6">
        <w:rPr>
          <w:lang w:val="en-US"/>
        </w:rPr>
        <w:fldChar w:fldCharType="end"/>
      </w:r>
      <w:r w:rsidR="00C562A6">
        <w:rPr>
          <w:lang w:val="en-US"/>
        </w:rPr>
        <w:t xml:space="preserve"> </w:t>
      </w:r>
      <w:r w:rsidR="00CD2A13">
        <w:rPr>
          <w:lang w:val="en-US"/>
        </w:rPr>
        <w:t xml:space="preserve">research. Hence, it can be concluded that people living </w:t>
      </w:r>
      <w:r w:rsidR="00CD2A13" w:rsidRPr="00CD2A13">
        <w:t xml:space="preserve">in rural areas are reluctant to adopt internet banking </w:t>
      </w:r>
      <w:r w:rsidR="00CD2A13">
        <w:t xml:space="preserve">due to </w:t>
      </w:r>
      <w:r w:rsidR="00BA78C8">
        <w:t>low</w:t>
      </w:r>
      <w:r w:rsidR="00CD2A13" w:rsidRPr="00CD2A13">
        <w:t xml:space="preserve"> awareness about its benefits, wrong perception about its conveniences, and fear of fraud.</w:t>
      </w:r>
      <w:r w:rsidR="00E40EC8">
        <w:rPr>
          <w:lang w:val="en-US"/>
        </w:rPr>
        <w:t xml:space="preserve"> </w:t>
      </w:r>
    </w:p>
    <w:p w14:paraId="4342D088" w14:textId="0C38C1A9" w:rsidR="00D10C75" w:rsidRPr="0076322F" w:rsidRDefault="00285779" w:rsidP="009E1845">
      <w:pPr>
        <w:rPr>
          <w:noProof/>
        </w:rPr>
      </w:pPr>
      <w:r w:rsidRPr="0076322F">
        <w:t xml:space="preserve">The final investigated relationship </w:t>
      </w:r>
      <w:r w:rsidR="006C6756" w:rsidRPr="0076322F">
        <w:t xml:space="preserve">in the current paper </w:t>
      </w:r>
      <w:r w:rsidRPr="0076322F">
        <w:t xml:space="preserve">is the one that links </w:t>
      </w:r>
      <w:r w:rsidR="006C6756" w:rsidRPr="0076322F">
        <w:t xml:space="preserve">an individual’s </w:t>
      </w:r>
      <w:r w:rsidRPr="0076322F">
        <w:t xml:space="preserve">financial experience to the UTAUT2 model’s constructs. </w:t>
      </w:r>
      <w:r w:rsidR="0076322F" w:rsidRPr="0076322F">
        <w:t xml:space="preserve">Findings show that people </w:t>
      </w:r>
      <w:r w:rsidR="003763E3">
        <w:t>who</w:t>
      </w:r>
      <w:r w:rsidR="0076322F" w:rsidRPr="0076322F">
        <w:t xml:space="preserve"> had prior experience working/internship in the financial sector, such as </w:t>
      </w:r>
      <w:r w:rsidR="00BA78C8">
        <w:t xml:space="preserve">in a </w:t>
      </w:r>
      <w:r w:rsidR="0076322F" w:rsidRPr="0076322F">
        <w:t xml:space="preserve">bank, exchange office, microfinance institution, pension funds, </w:t>
      </w:r>
      <w:r w:rsidR="00BA78C8">
        <w:t xml:space="preserve">the </w:t>
      </w:r>
      <w:r w:rsidR="0076322F" w:rsidRPr="0076322F">
        <w:t>insurance company, financial office, consultant, cashier, stock exchange</w:t>
      </w:r>
      <w:r w:rsidR="009E1845">
        <w:t>,</w:t>
      </w:r>
      <w:r w:rsidR="0076322F" w:rsidRPr="0076322F">
        <w:t xml:space="preserve"> etc., scored higher in </w:t>
      </w:r>
      <w:r w:rsidR="007861F6">
        <w:t xml:space="preserve">the </w:t>
      </w:r>
      <w:r w:rsidR="0076322F">
        <w:t xml:space="preserve">habit, hedonic motivation, and of course in the acceptance and usage of mobile banking. This lead to the fact that having experience working or doing the internship in a financial institution increases the chances to use mobile banking, which goes in line with </w:t>
      </w:r>
      <w:r w:rsidR="0076322F" w:rsidRPr="0076322F">
        <w:t>Agarwal and Prasad</w:t>
      </w:r>
      <w:r w:rsidR="0076322F">
        <w:t>’s</w:t>
      </w:r>
      <w:r w:rsidR="0076322F" w:rsidRPr="0076322F">
        <w:t xml:space="preserve"> </w:t>
      </w:r>
      <w:r w:rsidR="0076322F" w:rsidRPr="0076322F">
        <w:fldChar w:fldCharType="begin" w:fldLock="1"/>
      </w:r>
      <w:r w:rsidR="007F49C2">
        <w:instrText>ADDIN CSL_CITATION {"citationItems":[{"id":"ITEM-1","itemData":{"DOI":"10.1111/j.1540-5915.1999.tb01614.x","ISSN":"0011-7315","abstract":"Persuading users to adopt new information technologies persists as an important problem confronting those responsible for implementing new information systems. In order to better understand and manage the process of new technology adoption, several theoretical models have been proposed, of which the technology acceptance model (TAM) has gained considerable support. Beliefs and attitudes represent significant constructs in TAM. A parallel research stream suggests that individual difference factors are important in information technology acceptance but does not explicate the process by which acceptance is influenced. The objective of this paper is to clarify this process by proposing a theoretical model wherein the relationship between individual differences and IT acceptance is hypothesized to be mediated by the constructs of the technology acceptance model. In essence then, these factors are viewed as influencing an individual's beliefs about an information technology innovation; this relationship is further supported by drawing upon extensive research in learning. The theoretical model was tested in an empirical study of 230 users of an information technology innovation. Results confirm the basic structure of the model, including the mediating role of beliefs. Results also identify several individual difference variables that have significant effects on TAM's beliefs. Theoretical contributions and practical implications that follow are discussed.","author":[{"dropping-particle":"","family":"Agarwal","given":"Ritu","non-dropping-particle":"","parse-names":false,"suffix":""},{"dropping-particle":"","family":"Prasad","given":"Jayesh","non-dropping-particle":"","parse-names":false,"suffix":""}],"container-title":"Decision Sciences","id":"ITEM-1","issue":"2","issued":{"date-parts":[["1999"]]},"page":"361-391","title":"Are Individual Differences Germane to the Acceptance of New Information Technologies?","type":"article-journal","volume":"30"},"suppress-author":1,"uris":["http://www.mendeley.com/documents/?uuid=8f1c6b5f-773c-4f3f-930e-6ae4e1bfedb7","http://www.mendeley.com/documents/?uuid=51105ebb-4bc0-4c40-b338-a960ce8c9b10"]}],"mendeley":{"formattedCitation":"(1999)","plainTextFormattedCitation":"(1999)","previouslyFormattedCitation":"(1999)"},"properties":{"noteIndex":0},"schema":"https://github.com/citation-style-language/schema/raw/master/csl-citation.json"}</w:instrText>
      </w:r>
      <w:r w:rsidR="0076322F" w:rsidRPr="0076322F">
        <w:fldChar w:fldCharType="separate"/>
      </w:r>
      <w:r w:rsidR="007F49C2" w:rsidRPr="007F49C2">
        <w:rPr>
          <w:noProof/>
        </w:rPr>
        <w:t>(1999)</w:t>
      </w:r>
      <w:r w:rsidR="0076322F" w:rsidRPr="0076322F">
        <w:fldChar w:fldCharType="end"/>
      </w:r>
      <w:r w:rsidR="0076322F" w:rsidRPr="0076322F">
        <w:t xml:space="preserve"> </w:t>
      </w:r>
      <w:r w:rsidR="0076322F">
        <w:t>claim, emphasi</w:t>
      </w:r>
      <w:r w:rsidR="00BA78C8">
        <w:t>z</w:t>
      </w:r>
      <w:r w:rsidR="0076322F">
        <w:t xml:space="preserve">ing </w:t>
      </w:r>
      <w:r w:rsidR="0076322F" w:rsidRPr="0076322F">
        <w:t>that individual differences</w:t>
      </w:r>
      <w:r w:rsidR="008860FF">
        <w:t>,</w:t>
      </w:r>
      <w:r w:rsidR="0076322F" w:rsidRPr="0076322F">
        <w:t xml:space="preserve"> </w:t>
      </w:r>
      <w:r w:rsidR="008860FF">
        <w:t xml:space="preserve">including </w:t>
      </w:r>
      <w:r w:rsidR="0076322F" w:rsidRPr="0076322F">
        <w:t>the extent of prior experience</w:t>
      </w:r>
      <w:r w:rsidR="008860FF">
        <w:t>,</w:t>
      </w:r>
      <w:r w:rsidR="0076322F" w:rsidRPr="0076322F">
        <w:t xml:space="preserve"> have a substantial influence on TAM’s beliefs.</w:t>
      </w:r>
      <w:r w:rsidR="0076322F">
        <w:t xml:space="preserve"> </w:t>
      </w:r>
      <w:r w:rsidR="00BA78C8">
        <w:t>It is among the first study linking the individuals’ previous financial experience to the UTAUT2 model’s construct to the best of the authors' knowledge</w:t>
      </w:r>
      <w:r w:rsidR="0076322F">
        <w:t>.</w:t>
      </w:r>
      <w:r w:rsidR="0076322F" w:rsidRPr="0076322F">
        <w:rPr>
          <w:noProof/>
        </w:rPr>
        <w:t xml:space="preserve"> </w:t>
      </w:r>
    </w:p>
    <w:p w14:paraId="358B2F5D" w14:textId="43BD891B" w:rsidR="008F3BB2" w:rsidRDefault="005D2834" w:rsidP="008F3BB2">
      <w:pPr>
        <w:pStyle w:val="Nadpis1"/>
        <w:rPr>
          <w:lang w:val="en-US"/>
        </w:rPr>
      </w:pPr>
      <w:r w:rsidRPr="00A04B5D">
        <w:rPr>
          <w:color w:val="FF0000"/>
          <w:lang w:val="en-US"/>
        </w:rPr>
        <w:t>Research implications and limitations</w:t>
      </w:r>
    </w:p>
    <w:p w14:paraId="37A4C001" w14:textId="1C64A2E0" w:rsidR="00F44FCA" w:rsidRDefault="003D598E" w:rsidP="00F44FCA">
      <w:pPr>
        <w:rPr>
          <w:lang w:val="en-US"/>
        </w:rPr>
      </w:pPr>
      <w:r>
        <w:rPr>
          <w:lang w:val="en-US"/>
        </w:rPr>
        <w:t>Considering the benefits of technology usage</w:t>
      </w:r>
      <w:r w:rsidR="00830FCE">
        <w:rPr>
          <w:lang w:val="en-US"/>
        </w:rPr>
        <w:t>,</w:t>
      </w:r>
      <w:r>
        <w:rPr>
          <w:lang w:val="en-US"/>
        </w:rPr>
        <w:t xml:space="preserve"> including mobile banking</w:t>
      </w:r>
      <w:r w:rsidR="00830FCE">
        <w:rPr>
          <w:lang w:val="en-US"/>
        </w:rPr>
        <w:t>,</w:t>
      </w:r>
      <w:r>
        <w:rPr>
          <w:lang w:val="en-US"/>
        </w:rPr>
        <w:t xml:space="preserve"> for the society and financial industry, academicians, pol</w:t>
      </w:r>
      <w:r w:rsidR="00830FCE">
        <w:rPr>
          <w:lang w:val="en-US"/>
        </w:rPr>
        <w:t xml:space="preserve">icymakers, and managers have a constant </w:t>
      </w:r>
      <w:r>
        <w:rPr>
          <w:lang w:val="en-US"/>
        </w:rPr>
        <w:t xml:space="preserve">interest in understanding the </w:t>
      </w:r>
      <w:r w:rsidR="00830FCE">
        <w:rPr>
          <w:lang w:val="en-US"/>
        </w:rPr>
        <w:t xml:space="preserve">linkages between the individual demographics and technology adoption aspects. </w:t>
      </w:r>
      <w:r w:rsidR="00581827">
        <w:rPr>
          <w:lang w:val="en-US"/>
        </w:rPr>
        <w:t>In this way</w:t>
      </w:r>
      <w:r w:rsidR="007861F6">
        <w:rPr>
          <w:lang w:val="en-US"/>
        </w:rPr>
        <w:t>,</w:t>
      </w:r>
      <w:r w:rsidR="00581827">
        <w:rPr>
          <w:lang w:val="en-US"/>
        </w:rPr>
        <w:t xml:space="preserve"> every effort to</w:t>
      </w:r>
      <w:r w:rsidR="00BA78C8">
        <w:rPr>
          <w:lang w:val="en-US"/>
        </w:rPr>
        <w:t xml:space="preserve"> explain</w:t>
      </w:r>
      <w:r w:rsidR="00581827">
        <w:rPr>
          <w:lang w:val="en-US"/>
        </w:rPr>
        <w:t xml:space="preserve"> technology acceptance is motivated among scholars </w:t>
      </w:r>
      <w:r w:rsidR="00581827">
        <w:rPr>
          <w:lang w:val="en-US"/>
        </w:rPr>
        <w:fldChar w:fldCharType="begin" w:fldLock="1"/>
      </w:r>
      <w:r w:rsidR="00B12E5D">
        <w:rPr>
          <w:lang w:val="en-US"/>
        </w:rPr>
        <w:instrText>ADDIN CSL_CITATION {"citationItems":[{"id":"ITEM-1","itemData":{"DOI":"10.1016/J.JRETCONSER.2016.11.009","ISSN":"0969-6989","abstract":"Drawing upon the theory of trying, the present study goes a step further by including two important, but rarely addressed factors in the context of new technology adoption: general self-confidence and cynicism. Both of these variables are considered significant precursors of attitudes, particularly in the context of emerging and developing countries. The data were collected from 557 bank customers and then analyzed using Smart PLS. The findings reveal that intention of adopting mobile banking is determined by attitude toward mobile banking, which in turn is determined by attitude toward success, attitude toward failure, and attitude toward learning to use mobile banking. The last three attitudes are significantly influenced by general self-confidence and cynicism.","author":[{"dropping-particle":"","family":"Chaouali","given":"Walid","non-dropping-particle":"","parse-names":false,"suffix":""},{"dropping-particle":"","family":"Souiden","given":"Nizar","non-dropping-particle":"","parse-names":false,"suffix":""},{"dropping-particle":"","family":"Ladhari","given":"Riadh","non-dropping-particle":"","parse-names":false,"suffix":""}],"container-title":"Journal of Retailing and Consumer Services","id":"ITEM-1","issued":{"date-parts":[["2017","3","1"]]},"page":"57-67","publisher":"Pergamon","title":"Explaining adoption of mobile banking with the theory of trying, general self-confidence, and cynicism","type":"article-journal","volume":"35"},"uris":["http://www.mendeley.com/documents/?uuid=0a129301-4a42-3db2-8593-9754de9f9cc8"]},{"id":"ITEM-2","itemData":{"DOI":"10.1016/J.ELERAP.2015.07.006","ISSN":"1567-4223","abstract":"This article aims at assessing the progress of mobile payment research over the last 8years. A previous literature review (Dahlberg et al. 2008b), covering articles published between 1999 and 2006, showed that the majority of research had only focused on a few topics. In order to address this issue, a research agenda was formulated to encourage researchers to explore new topics. Almost a decade later, our review reveals that researchers have continued to focus on the same topics (especially consumer adoption and technology aspects) with a limited accumulation of new knowledge and similar findings. In addition to reviewing the literature, we discuss the possible reasons for the lack of research diversity and propose new recommendations to enhance future mobile payment research.","author":[{"dropping-particle":"","family":"Dahlberg","given":"Tomi","non-dropping-particle":"","parse-names":false,"suffix":""},{"dropping-particle":"","family":"Guo","given":"Jie","non-dropping-particle":"","parse-names":false,"suffix":""},{"dropping-particle":"","family":"Ondrus","given":"Jan","non-dropping-particle":"","parse-names":false,"suffix":""}],"container-title":"Electronic Commerce Research and Applications","id":"ITEM-2","issue":"5","issued":{"date-parts":[["2015","9","1"]]},"page":"265-284","publisher":"Elsevier","title":"A critical review of mobile payment research","type":"article-journal","volume":"14"},"uris":["http://www.mendeley.com/documents/?uuid=97b06769-bbb8-3474-bbdf-19282cd40eec","http://www.mendeley.com/documents/?uuid=01562cef-848b-4bab-a1f2-6615e0c2cea7"]},{"id":"ITEM-3","itemData":{"DOI":"10.1016/J.CHB.2016.09.059","ISSN":"0747-5632","abstract":"Nowadays, banks get an opportunity of serving to their customers without the restriction of location and time, thanks to internet. But some customers still do not use it, because of different reasons. In order to understand this problem a structural equation model of Internet banking use in Dokuz Eylul University's academicians was developed. A survey instrument was used to gather data to estimate the proposed research model. The results show that “Benefits of Internet Banking”, “Communication” and “Convenience” significantly influence customers' Internet banking use. Overall, the model helps to increase our understanding of how these factors interact to influence Internet banking use, which can help in the design of Internet banking.","author":[{"dropping-particle":"","family":"Ege Oruç","given":"Özlem","non-dropping-particle":"","parse-names":false,"suffix":""},{"dropping-particle":"","family":"Tatar","given":"Çiğdem","non-dropping-particle":"","parse-names":false,"suffix":""}],"container-title":"Computers in Human Behavior","id":"ITEM-3","issued":{"date-parts":[["2017","1","1"]]},"page":"232-235","publisher":"Pergamon","title":"An investigation of factors that affect internet banking usage based on structural equation modeling","type":"article-journal","volume":"66"},"uris":["http://www.mendeley.com/documents/?uuid=f2caccc7-5848-3943-94a3-09624a2ca241","http://www.mendeley.com/documents/?uuid=2153ceed-bc25-48f9-a22f-b8903f8814cd"]},{"id":"ITEM-4","itemData":{"DOI":"10.1080/15332861.2019.1620045","ISSN":"1533287X","abstract":"This study attempts to identify the catalytic role of smartphone addiction in driving mobile wallet payment adoption behavior in emerging economies such as India. The research model was tested using a questionnaire-based response collected from 512 young consumers. The findings of structural equation modeling and multi-group analysis helped in understanding the influence and importance of the research constructs of perceived ease of use, perceived usefulness, and subjective norms in the adoption of mobile wallet payments by young people. The results indicated that the moderating effect of smartphone addiction played a substantial role in the adoption of mobile wallet payments. It has also revealed the importance of communication to the right consumer through proper channels and the appropriate age group. The outcome of the study can be utilized by marketers to frame strategies for positioning their services among an appropriate consumer base, thereby enhancing Internet business opportunities.","author":[{"dropping-particle":"","family":"Shaw","given":"Bijeta","non-dropping-particle":"","parse-names":false,"suffix":""},{"dropping-particle":"","family":"Kesharwani","given":"Ankit","non-dropping-particle":"","parse-names":false,"suffix":""}],"container-title":"Journal of Internet Commerce","id":"ITEM-4","issue":"3","issued":{"date-parts":[["2019","7","3"]]},"page":"291-309","publisher":"Routledge","title":"Moderating Effect of Smartphone Addiction on Mobile Wallet Payment Adoption","type":"article-journal","volume":"18"},"uris":["http://www.mendeley.com/documents/?uuid=84c8e3be-0310-3e4d-86e2-b62eccc52df1","http://www.mendeley.com/documents/?uuid=5de86c38-2796-45d1-b3b6-3652b9f356bf"]},{"id":"ITEM-5","itemData":{"DOI":"10.1002/isd2.12060","ISSN":"16814835","abstract":"This systematic review of reviews aimed to explore the contribution of information and communication technologies (ICTs) for development in developing countries. This systematic review of reviews determines and summarizes ICTD research trends, and methodologies and conceptual frameworks used in ICTD research discuss the findings and evidence and then suggest approaches for further research. We reviewed existing systematic reviews published on ICT and development between January 1990 and July 2017. The review of reviews shows that a growing number of ICTD research works have used qualitative research approaches for data collection and analysis. We note several attempts to develop and apply models/frameworks over explanatory and predictive theories, most notably in the area of social, sociotechnical, and technical. Nevertheless, there is limited evidence on the long-term contribution of ICT use on livelihoods, patterns of economic inequality, human freedom, and well-being in developing countries. This review of reviews synthesizes existing systematic reviews on the contribution of ICT for development than was previously available for developing countries. This review has the potential for several stakeholders, including the public and private sector, intermediaries, and nonprofit organizations, to utilize the accumulated evidence from selected systematic reviews to enable/improve the appropriate and sustainable use of ICTs for development.","author":[{"dropping-particle":"","family":"Lwoga","given":"Edda Tandi","non-dropping-particle":"","parse-names":false,"suffix":""},{"dropping-particle":"","family":"Sangeda","given":"Raphael Zozimus","non-dropping-particle":"","parse-names":false,"suffix":""}],"container-title":"The Electronic Journal of Information Systems in Developing Countries","id":"ITEM-5","issue":"1","issued":{"date-parts":[["2019","1","1"]]},"page":"e12060","publisher":"Wiley-Blackwell","title":"ICTs and development in developing countries: A systematic review of reviews","type":"article-journal","volume":"85"},"uris":["http://www.mendeley.com/documents/?uuid=456f3756-ff1b-4eed-9561-ef831c339b2b","http://www.mendeley.com/documents/?uuid=bf2ea4d8-49bd-3deb-ab01-bc39dd85af21"]}],"mendeley":{"formattedCitation":"(Chaouali et al., 2017; Dahlberg et al., 2015; Ege Oruç and Tatar, 2017; Lwoga and Sangeda, 2019; Shaw and Kesharwani, 2019)","plainTextFormattedCitation":"(Chaouali et al., 2017; Dahlberg et al., 2015; Ege Oruç and Tatar, 2017; Lwoga and Sangeda, 2019; Shaw and Kesharwani, 2019)","previouslyFormattedCitation":"(Chaouali et al., 2017; Dahlberg et al., 2015; Ege Oruç and Tatar, 2017; Lwoga and Sangeda, 2019; Shaw and Kesharwani, 2019)"},"properties":{"noteIndex":0},"schema":"https://github.com/citation-style-language/schema/raw/master/csl-citation.json"}</w:instrText>
      </w:r>
      <w:r w:rsidR="00581827">
        <w:rPr>
          <w:lang w:val="en-US"/>
        </w:rPr>
        <w:fldChar w:fldCharType="separate"/>
      </w:r>
      <w:r w:rsidR="00AF2B42" w:rsidRPr="00AF2B42">
        <w:rPr>
          <w:noProof/>
        </w:rPr>
        <w:t>(Chaouali et al., 2017; Dahlberg et al., 2015; Ege Oruç and Tatar, 2017; Lwoga and Sangeda, 2019; Shaw and Kesharwani, 2019)</w:t>
      </w:r>
      <w:r w:rsidR="00581827">
        <w:rPr>
          <w:lang w:val="en-US"/>
        </w:rPr>
        <w:fldChar w:fldCharType="end"/>
      </w:r>
      <w:r w:rsidR="00581827" w:rsidRPr="00046ED9">
        <w:t xml:space="preserve">. </w:t>
      </w:r>
      <w:r w:rsidR="00581827">
        <w:rPr>
          <w:lang w:val="en-US"/>
        </w:rPr>
        <w:t xml:space="preserve">In light of this need, the current paper investigates how the individual demographics link to </w:t>
      </w:r>
      <w:r w:rsidR="00EF6340">
        <w:rPr>
          <w:lang w:val="en-US"/>
        </w:rPr>
        <w:t>the UTAUT2 model’s constructs.</w:t>
      </w:r>
    </w:p>
    <w:p w14:paraId="4666A933" w14:textId="21265966" w:rsidR="008F3BB2" w:rsidRDefault="00EF6340" w:rsidP="008F3BB2">
      <w:pPr>
        <w:rPr>
          <w:lang w:val="en-US"/>
        </w:rPr>
      </w:pPr>
      <w:r>
        <w:rPr>
          <w:lang w:val="en-US"/>
        </w:rPr>
        <w:t xml:space="preserve">This study made an effort to explore whether the individual demographics are linked to the UTAUT2 model’s constructs or not in the context of four </w:t>
      </w:r>
      <w:r w:rsidR="002A1D61">
        <w:rPr>
          <w:lang w:val="en-US"/>
        </w:rPr>
        <w:t xml:space="preserve">developing </w:t>
      </w:r>
      <w:r>
        <w:rPr>
          <w:lang w:val="en-US"/>
        </w:rPr>
        <w:t xml:space="preserve">countries in </w:t>
      </w:r>
      <w:r w:rsidR="00734D14">
        <w:rPr>
          <w:lang w:val="en-US"/>
        </w:rPr>
        <w:t xml:space="preserve">the </w:t>
      </w:r>
      <w:r>
        <w:rPr>
          <w:lang w:val="en-US"/>
        </w:rPr>
        <w:t>Western Balkan (Albania, Croatia, North Macedonia</w:t>
      </w:r>
      <w:r w:rsidR="009E1845">
        <w:rPr>
          <w:lang w:val="en-US"/>
        </w:rPr>
        <w:t>,</w:t>
      </w:r>
      <w:r>
        <w:rPr>
          <w:lang w:val="en-US"/>
        </w:rPr>
        <w:t xml:space="preserve"> and Serbia). Although there are studies that investigated the associations of individual demographics and technology acceptance </w:t>
      </w:r>
      <w:r>
        <w:rPr>
          <w:lang w:val="en-US"/>
        </w:rPr>
        <w:fldChar w:fldCharType="begin" w:fldLock="1"/>
      </w:r>
      <w:r w:rsidR="00B12E5D">
        <w:rPr>
          <w:lang w:val="en-US"/>
        </w:rPr>
        <w:instrText>ADDIN CSL_CITATION {"citationItems":[{"id":"ITEM-1","itemData":{"DOI":"10.1108/IJIS-11-2017-0119","abstract":"Purpose: This study aims to evaluate the impact of country culture, represented by Hofstede cultural dimensions, in the adoption of Brazilian mobile banking services. Design/methodology/approach: Based on the replication of a theoretical model previously tested in Mozambique (Africa) that combines the extended version of the unified theory of acceptance and use of technology (UTAUT2) with the five Hofstede cultural dimensions, this study tested that model in another emerging country, Brazil, using partial least squares (PLS) as a modeling method. Findings: Replication showed that the cultural dimensions do not present strong significance in the moderation of the use of mobile banking. In fact, out of the five dimensions tested, three were not significant and two showed weak significance (p &lt; 0.10): collectivism and short-term orientation. Those results, contrasting with that one presented by Baptista and Oliveira (2015), made sense under Ajzen’s theory (1991) – the TPB, leading to the conclusion that the moderation of cultural dimensions on behavior use is not applicable. Originality/value: The authors concluded that the tested model may not be adherent, finding a theoretical gap to be explored in future studies: the moderation of the behavioral intention by cultural variables proposed by Hofstede. That finding supported the proposition of a new theoretical model, which considers the moderation of cultural dimensions in another place: behavioral intention to use mobile banking instead of the behavior use, as proposed by Baptista and Oliveira (2015). So, based on the research results and based on some authors cited in this study (Choi et al., 2014; Chou, 2013; Srite and Karahanna, 2006), it is proposed to insert Hofstede cultural variables as moderators of independent variables on the behavioral intention.","author":[{"dropping-particle":"","family":"Goularte","given":"Alexandre da C.","non-dropping-particle":"","parse-names":false,"suffix":""},{"dropping-particle":"","family":"Zilber","given":"Silvia Novaes","non-dropping-particle":"","parse-names":false,"suffix":""}],"container-title":"International Journal of Innovation Science","id":"ITEM-1","issue":"1","issued":{"date-parts":[["2018","3"]]},"page":"63-81","title":"The moderating role of cultural factors in the adoption of mobile banking in Brazil","type":"article-journal","volume":"11"},"uris":["http://www.mendeley.com/documents/?uuid=2801cd0d-3e71-4c7f-8f71-eefe2547a92b"]},{"id":"ITEM-2","itemData":{"DOI":"10.1057/s41264-019-00060-x","ISSN":"1363-0539","abstract":"This paper examines the determinants of potential customers’ intention to purchase products and services from Islamic banks and the moderating effects of customer marketing practices and financial considerations. A research framework is developed which links communication considerations, financial considerations, customer attitudes, and behaviors. The questionnaire approach, confirmatory factor analysis, and hierarchical regression are used to examine the extent and direction of the relationship within the conceptualized research framework. We find, apart from perceived ease of online banking, that all conceptualized factors are important determinants of customers’ behavioral intention in Islamic banking. This study also finds that, with the exception of perceived risk, all moderators (namely customer–bank relationship, advertising, perceived ease of online banking, perceived potential benefits, and profit–loss sharing approach) intensify the customer attitude–behavioral intention nexus. Islamic banks should adopt various customer–bank relationship strategies and advertising to attract more customers. Further, Islamic banks may use simplified Arabic terms for products and services on their Web sites and online banking portals to convey their intended massage to non-Muslim customers as well.","author":[{"dropping-particle":"","family":"Hoque","given":"Mohammad Enamul","non-dropping-particle":"","parse-names":false,"suffix":""},{"dropping-particle":"","family":"Kabir Hassan","given":"M.","non-dropping-particle":"","parse-names":false,"suffix":""},{"dropping-particle":"","family":"Hashim","given":"Nik Mohd Hazrul Nik","non-dropping-particle":"","parse-names":false,"suffix":""},{"dropping-particle":"","family":"Zaher","given":"Tarek","non-dropping-particle":"","parse-names":false,"suffix":""}],"container-title":"Journal of Financial Services Marketing","id":"ITEM-2","issue":"1-2","issued":{"date-parts":[["2019","6","11"]]},"page":"44-58","publisher":"Palgrave Macmillan UK","title":"Factors affecting Islamic banking behavioral intention: the moderating effects of customer marketing practices and financial considerations","type":"article-journal","volume":"24"},"uris":["http://www.mendeley.com/documents/?uuid=32355998-9056-4c7a-9721-e6abbc63371a","http://www.mendeley.com/documents/?uuid=0c318c65-b7e6-4c33-879a-4bb1353c0dfa"]},{"id":"ITEM-3","itemData":{"DOI":"10.1177/0972150918757883","ISSN":"0972-1509","abstract":"The objective of this article is to analyze if demographic characteristics influence user attitude towards mobile banking. The sample comprise of current users of online banking. Although earlier studies on technology adoption models have received considerable empirical validation, most of the studies did not consider moderating variables. Among those, which consider moderating variables, primarily explored are gender, age and income. By including other moderator variables in the model, we hope to lessen the inconsistencies found in past research studies. To test the moderating effect, two methods, viz. multiple linear regression and Fisher Z transformation are used. Results show that gender, age, qualification, experience, occupation, income and marital status were significant moderating variables. However, educational background did not show any moderating effect. Our results suggest that by extending the Technology Acceptance Model (TAM) and Diffusion of Innovations (DoI) theory, the research provide insights into the factors influencing consumers’ attitude to adopt mobile banking applications. Besides, the results of moderating effect improve our understanding of the demographic differences, which influence the degree of mobile banking adoption. This study will help researchers and practitioners to come up with improved mobile adoption frameworks and applications with greater understanding of the influence of demographic factors.","author":[{"dropping-particle":"","family":"Chawla","given":"Deepak","non-dropping-particle":"","parse-names":false,"suffix":""},{"dropping-particle":"","family":"Joshi","given":"Himanshu","non-dropping-particle":"","parse-names":false,"suffix":""}],"container-title":"Global Business Review","id":"ITEM-3","issue":"3_suppl","issued":{"date-parts":[["2018","6","7"]]},"page":"S90-S113","title":"The Moderating Effect of Demographic Variables on Mobile Banking Adoption: An Empirical Investigation","type":"article-journal","volume":"19"},"uris":["http://www.mendeley.com/documents/?uuid=312bb979-8396-42fc-bc61-0fa62c6810a7"]}],"mendeley":{"formattedCitation":"(Chawla and Joshi, 2018; Goularte and Zilber, 2018; Hoque et al., 2019)","plainTextFormattedCitation":"(Chawla and Joshi, 2018; Goularte and Zilber, 2018; Hoque et al., 2019)","previouslyFormattedCitation":"(Chawla and Joshi, 2018; Goularte and Zilber, 2018; Hoque et al., 2019)"},"properties":{"noteIndex":0},"schema":"https://github.com/citation-style-language/schema/raw/master/csl-citation.json"}</w:instrText>
      </w:r>
      <w:r>
        <w:rPr>
          <w:lang w:val="en-US"/>
        </w:rPr>
        <w:fldChar w:fldCharType="separate"/>
      </w:r>
      <w:r w:rsidR="00AF2B42" w:rsidRPr="00AF2B42">
        <w:rPr>
          <w:noProof/>
          <w:lang w:val="en-US"/>
        </w:rPr>
        <w:t>(Chawla and Joshi, 2018; Goularte and Zilber, 2018; Hoque et al., 2019)</w:t>
      </w:r>
      <w:r>
        <w:rPr>
          <w:lang w:val="en-US"/>
        </w:rPr>
        <w:fldChar w:fldCharType="end"/>
      </w:r>
      <w:r>
        <w:rPr>
          <w:lang w:val="en-US"/>
        </w:rPr>
        <w:t>, yet there are relationships not covered. The present research contributes in this regard</w:t>
      </w:r>
      <w:r w:rsidR="00734D14">
        <w:rPr>
          <w:lang w:val="en-US"/>
        </w:rPr>
        <w:t xml:space="preserve"> by offering new insights by introducing new individual demographic variables such as employment status, living settlement, and financial experience. To the best of the authors’ knowledge, this paper is among the first which investigates the linkages between the latter variables and the UTAUT2 model’s constructs. Consequently, the </w:t>
      </w:r>
      <w:r w:rsidR="00732CE6">
        <w:rPr>
          <w:lang w:val="en-US"/>
        </w:rPr>
        <w:t xml:space="preserve">study contributes </w:t>
      </w:r>
      <w:r w:rsidR="007861F6">
        <w:rPr>
          <w:lang w:val="en-US"/>
        </w:rPr>
        <w:t>to</w:t>
      </w:r>
      <w:r w:rsidR="00732CE6">
        <w:rPr>
          <w:lang w:val="en-US"/>
        </w:rPr>
        <w:t xml:space="preserve"> </w:t>
      </w:r>
      <w:r w:rsidR="007861F6">
        <w:rPr>
          <w:lang w:val="en-US"/>
        </w:rPr>
        <w:t xml:space="preserve">a </w:t>
      </w:r>
      <w:r w:rsidR="00732CE6">
        <w:rPr>
          <w:lang w:val="en-US"/>
        </w:rPr>
        <w:t>better understanding</w:t>
      </w:r>
      <w:r w:rsidR="007861F6">
        <w:rPr>
          <w:lang w:val="en-US"/>
        </w:rPr>
        <w:t xml:space="preserve"> of</w:t>
      </w:r>
      <w:r w:rsidR="00732CE6">
        <w:rPr>
          <w:lang w:val="en-US"/>
        </w:rPr>
        <w:t xml:space="preserve"> the </w:t>
      </w:r>
      <w:r w:rsidR="00734D14">
        <w:rPr>
          <w:lang w:val="en-US"/>
        </w:rPr>
        <w:t>technology acceptance puzzle</w:t>
      </w:r>
      <w:r w:rsidR="00BA78C8">
        <w:rPr>
          <w:lang w:val="en-US"/>
        </w:rPr>
        <w:t>. It suggests extending the number of moderating factors, which leads</w:t>
      </w:r>
      <w:r w:rsidR="007B1D59">
        <w:rPr>
          <w:lang w:val="en-US"/>
        </w:rPr>
        <w:t xml:space="preserve"> to a more comprehensive conceptual framework.</w:t>
      </w:r>
    </w:p>
    <w:p w14:paraId="62AF6E84" w14:textId="3C30C0EF" w:rsidR="005F7ADE" w:rsidRDefault="00B65C15" w:rsidP="0020439A">
      <w:r w:rsidRPr="00B65C15">
        <w:t xml:space="preserve">From </w:t>
      </w:r>
      <w:r>
        <w:t>the</w:t>
      </w:r>
      <w:r w:rsidRPr="00B65C15">
        <w:t xml:space="preserve"> managerial </w:t>
      </w:r>
      <w:r>
        <w:t>point of view</w:t>
      </w:r>
      <w:r w:rsidRPr="00B65C15">
        <w:t>, bank managers are in favour of offering services remotely,</w:t>
      </w:r>
      <w:r>
        <w:t xml:space="preserve"> as it reduces </w:t>
      </w:r>
      <w:r w:rsidRPr="00B65C15">
        <w:t xml:space="preserve">operational costs. For </w:t>
      </w:r>
      <w:r w:rsidR="007861F6">
        <w:t xml:space="preserve">the </w:t>
      </w:r>
      <w:r>
        <w:t>financial sector</w:t>
      </w:r>
      <w:r w:rsidRPr="00B65C15">
        <w:t xml:space="preserve">, technological advancements create competitive advantages by allowing </w:t>
      </w:r>
      <w:r>
        <w:t xml:space="preserve">firms </w:t>
      </w:r>
      <w:r w:rsidRPr="00B65C15">
        <w:t xml:space="preserve">to </w:t>
      </w:r>
      <w:r>
        <w:t xml:space="preserve">focus </w:t>
      </w:r>
      <w:r w:rsidRPr="00B65C15">
        <w:t xml:space="preserve">on </w:t>
      </w:r>
      <w:r w:rsidR="00BA78C8">
        <w:t>improving</w:t>
      </w:r>
      <w:r>
        <w:t xml:space="preserve"> the </w:t>
      </w:r>
      <w:r w:rsidRPr="00B65C15">
        <w:t xml:space="preserve">services. </w:t>
      </w:r>
      <w:r>
        <w:t>B</w:t>
      </w:r>
      <w:r w:rsidRPr="00B65C15">
        <w:t xml:space="preserve">anks in transition countries </w:t>
      </w:r>
      <w:r>
        <w:t xml:space="preserve">like in the Western Balkan </w:t>
      </w:r>
      <w:r w:rsidRPr="00B65C15">
        <w:t xml:space="preserve">are advised to follow similar tendencies </w:t>
      </w:r>
      <w:r>
        <w:t>in advance</w:t>
      </w:r>
      <w:r w:rsidR="00BA78C8">
        <w:t>d</w:t>
      </w:r>
      <w:r>
        <w:t xml:space="preserve"> economies </w:t>
      </w:r>
      <w:r w:rsidRPr="00B65C15">
        <w:t xml:space="preserve">regarding </w:t>
      </w:r>
      <w:r>
        <w:t xml:space="preserve">mobile </w:t>
      </w:r>
      <w:r w:rsidRPr="00B65C15">
        <w:t>banking services</w:t>
      </w:r>
      <w:r>
        <w:t xml:space="preserve">, as it </w:t>
      </w:r>
      <w:r w:rsidR="00BA78C8">
        <w:t>benefits</w:t>
      </w:r>
      <w:r w:rsidRPr="00B65C15">
        <w:t xml:space="preserve"> </w:t>
      </w:r>
      <w:r>
        <w:t xml:space="preserve">both </w:t>
      </w:r>
      <w:r w:rsidRPr="00B65C15">
        <w:t xml:space="preserve">banks and clients. An enhanced bank strategy </w:t>
      </w:r>
      <w:r>
        <w:t xml:space="preserve">may need to be adjusted according to </w:t>
      </w:r>
      <w:r w:rsidR="007B1D59">
        <w:t xml:space="preserve">the </w:t>
      </w:r>
      <w:r>
        <w:t>individual demographics, as the current research emphasi</w:t>
      </w:r>
      <w:r w:rsidR="00BA78C8">
        <w:t>z</w:t>
      </w:r>
      <w:r>
        <w:t>ed.</w:t>
      </w:r>
      <w:r w:rsidR="005F7ADE">
        <w:t xml:space="preserve"> Following the suggestion of </w:t>
      </w:r>
      <w:r w:rsidR="005F7ADE" w:rsidRPr="005F7ADE">
        <w:rPr>
          <w:noProof/>
        </w:rPr>
        <w:t>Hanafizadeh, Khosravi</w:t>
      </w:r>
      <w:r w:rsidR="00BA78C8">
        <w:rPr>
          <w:noProof/>
        </w:rPr>
        <w:t>,</w:t>
      </w:r>
      <w:r w:rsidR="005F7ADE">
        <w:rPr>
          <w:noProof/>
        </w:rPr>
        <w:t xml:space="preserve"> and</w:t>
      </w:r>
      <w:r w:rsidR="005F7ADE" w:rsidRPr="005F7ADE">
        <w:rPr>
          <w:noProof/>
        </w:rPr>
        <w:t xml:space="preserve"> Badie</w:t>
      </w:r>
      <w:r w:rsidR="005F7ADE">
        <w:t xml:space="preserve"> </w:t>
      </w:r>
      <w:r w:rsidR="005F7ADE">
        <w:fldChar w:fldCharType="begin" w:fldLock="1"/>
      </w:r>
      <w:r w:rsidR="0075274F">
        <w:instrText>ADDIN CSL_CITATION {"citationItems":[{"id":"ITEM-1","itemData":{"DOI":"10.1016/j.telpol.2018.09.004","ISSN":"03085961","abstract":"This paper provides a critique of information and communication technology (ICT) policies in developing countries. Based on critical discourse analysis (CDA) of Iranian government discourse in the case of electronic fund transfer at the point of sale (EFT-POS) system, we illustrate the influence of global discourse on the policies and their contributions to the outcomes. We also analyze how policy shaped the ways in which different actors were included and allowed to participate in the implementation process. We show that enhancing the mainstream criteria like the rate of ICT adoption and diffusion, do not necessarily mean that policy will reap the expected benefits. From this standpoint, we propose that the focus of debate in policy making and defining policy objectives should move beyond setting objectives exclusively adopted from global discourse to also considering local issues and concerns. In such conditions, there will be less resistance to the government plans and fewer social challenges.","author":[{"dropping-particle":"","family":"Hanafizadeh","given":"Payam","non-dropping-particle":"","parse-names":false,"suffix":""},{"dropping-particle":"","family":"Khosravi","given":"Bayan","non-dropping-particle":"","parse-names":false,"suffix":""},{"dropping-particle":"","family":"Badie","given":"Kambiz","non-dropping-particle":"","parse-names":false,"suffix":""}],"container-title":"Telecommunications Policy","id":"ITEM-1","issue":"4","issued":{"date-parts":[["2019","5","1"]]},"page":"324-338","publisher":"Elsevier Ltd","title":"Global discourse on ICT and the shaping of ICT policy in developing countries","type":"article-journal","volume":"43"},"suppress-author":1,"uris":["http://www.mendeley.com/documents/?uuid=4a7dbe0f-c732-3004-88a4-20164e6960ee"]}],"mendeley":{"formattedCitation":"(2019)","plainTextFormattedCitation":"(2019)","previouslyFormattedCitation":"(2019)"},"properties":{"noteIndex":0},"schema":"https://github.com/citation-style-language/schema/raw/master/csl-citation.json"}</w:instrText>
      </w:r>
      <w:r w:rsidR="005F7ADE">
        <w:fldChar w:fldCharType="separate"/>
      </w:r>
      <w:r w:rsidR="0075274F" w:rsidRPr="0075274F">
        <w:rPr>
          <w:noProof/>
        </w:rPr>
        <w:t>(2019)</w:t>
      </w:r>
      <w:r w:rsidR="005F7ADE">
        <w:fldChar w:fldCharType="end"/>
      </w:r>
      <w:r w:rsidR="005F7ADE">
        <w:t>, while framing policies</w:t>
      </w:r>
      <w:r w:rsidR="009E1845">
        <w:t>,</w:t>
      </w:r>
      <w:r w:rsidR="005F7ADE">
        <w:t xml:space="preserve"> it is </w:t>
      </w:r>
      <w:r w:rsidR="00F54C88">
        <w:t xml:space="preserve">also </w:t>
      </w:r>
      <w:r w:rsidR="005F7ADE">
        <w:t>needed to focus on local issues and concerns, as it might be supportive to governments to implement ICT plans.</w:t>
      </w:r>
    </w:p>
    <w:p w14:paraId="7F2F9E9B" w14:textId="758CE4AA" w:rsidR="00B65C15" w:rsidRDefault="00B65C15" w:rsidP="009E1845">
      <w:pPr>
        <w:rPr>
          <w:lang w:val="en-US"/>
        </w:rPr>
      </w:pPr>
      <w:r w:rsidRPr="00B65C15">
        <w:rPr>
          <w:lang w:val="en-US"/>
        </w:rPr>
        <w:t xml:space="preserve">Even though the </w:t>
      </w:r>
      <w:r w:rsidR="007B1D59">
        <w:rPr>
          <w:lang w:val="en-US"/>
        </w:rPr>
        <w:t>objective</w:t>
      </w:r>
      <w:r w:rsidR="00F54C88">
        <w:rPr>
          <w:lang w:val="en-US"/>
        </w:rPr>
        <w:t>s</w:t>
      </w:r>
      <w:r w:rsidRPr="00B65C15">
        <w:rPr>
          <w:lang w:val="en-US"/>
        </w:rPr>
        <w:t xml:space="preserve"> of the study w</w:t>
      </w:r>
      <w:r w:rsidR="00F54C88">
        <w:rPr>
          <w:lang w:val="en-US"/>
        </w:rPr>
        <w:t>ere</w:t>
      </w:r>
      <w:r w:rsidRPr="00B65C15">
        <w:rPr>
          <w:lang w:val="en-US"/>
        </w:rPr>
        <w:t xml:space="preserve"> achieved, there are </w:t>
      </w:r>
      <w:r w:rsidR="007B1D59">
        <w:rPr>
          <w:lang w:val="en-US"/>
        </w:rPr>
        <w:t xml:space="preserve">still some </w:t>
      </w:r>
      <w:r w:rsidRPr="00B65C15">
        <w:rPr>
          <w:lang w:val="en-US"/>
        </w:rPr>
        <w:t xml:space="preserve">limitations. Although </w:t>
      </w:r>
      <w:r w:rsidR="007B1D59">
        <w:rPr>
          <w:lang w:val="en-US"/>
        </w:rPr>
        <w:t xml:space="preserve">there are four countries included in the sample size, </w:t>
      </w:r>
      <w:r w:rsidR="00BA78C8">
        <w:rPr>
          <w:lang w:val="en-US"/>
        </w:rPr>
        <w:t>other developing countries from the Western Balkan</w:t>
      </w:r>
      <w:r w:rsidR="007B1D59">
        <w:rPr>
          <w:lang w:val="en-US"/>
        </w:rPr>
        <w:t xml:space="preserve"> were not part of this project, such as Bosnia and Hercegovina, Kosovo</w:t>
      </w:r>
      <w:r w:rsidR="009E1845">
        <w:rPr>
          <w:lang w:val="en-US"/>
        </w:rPr>
        <w:t>,</w:t>
      </w:r>
      <w:r w:rsidR="007B1D59">
        <w:rPr>
          <w:lang w:val="en-US"/>
        </w:rPr>
        <w:t xml:space="preserve"> and Montenegro. However, based on the economic </w:t>
      </w:r>
      <w:r w:rsidR="00BA78C8">
        <w:rPr>
          <w:lang w:val="en-US"/>
        </w:rPr>
        <w:t>development level, they are in the same stage as those</w:t>
      </w:r>
      <w:r w:rsidR="007B1D59">
        <w:rPr>
          <w:lang w:val="en-US"/>
        </w:rPr>
        <w:t xml:space="preserve"> in the </w:t>
      </w:r>
      <w:r w:rsidR="00F54C88">
        <w:rPr>
          <w:lang w:val="en-US"/>
        </w:rPr>
        <w:t>present analysis</w:t>
      </w:r>
      <w:r w:rsidR="007B1D59">
        <w:rPr>
          <w:lang w:val="en-US"/>
        </w:rPr>
        <w:t xml:space="preserve">. Therefore, it is believed that </w:t>
      </w:r>
      <w:r w:rsidR="00F54C88">
        <w:rPr>
          <w:lang w:val="en-US"/>
        </w:rPr>
        <w:t xml:space="preserve">findings </w:t>
      </w:r>
      <w:r w:rsidR="00DC53EF">
        <w:rPr>
          <w:lang w:val="en-US"/>
        </w:rPr>
        <w:t xml:space="preserve">are not </w:t>
      </w:r>
      <w:r w:rsidR="002A1D61">
        <w:rPr>
          <w:lang w:val="en-US"/>
        </w:rPr>
        <w:t>affected</w:t>
      </w:r>
      <w:r w:rsidR="009E1845">
        <w:rPr>
          <w:lang w:val="en-US"/>
        </w:rPr>
        <w:t>,</w:t>
      </w:r>
      <w:r w:rsidR="00F54C88">
        <w:rPr>
          <w:lang w:val="en-US"/>
        </w:rPr>
        <w:t xml:space="preserve"> </w:t>
      </w:r>
      <w:r w:rsidR="007B1D59">
        <w:rPr>
          <w:lang w:val="en-US"/>
        </w:rPr>
        <w:t>and the generalization of the results to other contexts</w:t>
      </w:r>
      <w:r w:rsidR="00F54C88">
        <w:rPr>
          <w:lang w:val="en-US"/>
        </w:rPr>
        <w:t xml:space="preserve"> </w:t>
      </w:r>
      <w:r w:rsidR="00BA78C8">
        <w:rPr>
          <w:lang w:val="en-US"/>
        </w:rPr>
        <w:t>is</w:t>
      </w:r>
      <w:r w:rsidR="00F54C88">
        <w:rPr>
          <w:lang w:val="en-US"/>
        </w:rPr>
        <w:t xml:space="preserve"> not limited</w:t>
      </w:r>
      <w:r w:rsidR="007B1D59">
        <w:rPr>
          <w:lang w:val="en-US"/>
        </w:rPr>
        <w:t xml:space="preserve">. </w:t>
      </w:r>
      <w:r w:rsidR="008E7090">
        <w:rPr>
          <w:lang w:val="en-US"/>
        </w:rPr>
        <w:t>Nevertheless, t</w:t>
      </w:r>
      <w:r w:rsidRPr="00B65C15">
        <w:rPr>
          <w:lang w:val="en-US"/>
        </w:rPr>
        <w:t xml:space="preserve">he latter limitation can be overcome by </w:t>
      </w:r>
      <w:r w:rsidR="00F54C88">
        <w:rPr>
          <w:lang w:val="en-US"/>
        </w:rPr>
        <w:t>further</w:t>
      </w:r>
      <w:r w:rsidRPr="00B65C15">
        <w:rPr>
          <w:lang w:val="en-US"/>
        </w:rPr>
        <w:t xml:space="preserve"> research.</w:t>
      </w:r>
      <w:r w:rsidR="00800EDA">
        <w:rPr>
          <w:lang w:val="en-US"/>
        </w:rPr>
        <w:t xml:space="preserve"> </w:t>
      </w:r>
      <w:r w:rsidR="00800EDA" w:rsidRPr="00A04B5D">
        <w:rPr>
          <w:color w:val="FF0000"/>
          <w:lang w:val="en-US"/>
        </w:rPr>
        <w:t xml:space="preserve">Another limitation deals with the distribution of the final sample. </w:t>
      </w:r>
      <w:r w:rsidR="005105A6" w:rsidRPr="00A04B5D">
        <w:rPr>
          <w:color w:val="FF0000"/>
          <w:lang w:val="en-US"/>
        </w:rPr>
        <w:t xml:space="preserve">Even though non-parametric statistical methods were applied in this work, </w:t>
      </w:r>
      <w:r w:rsidR="00BA78C8">
        <w:rPr>
          <w:color w:val="FF0000"/>
          <w:lang w:val="en-US"/>
        </w:rPr>
        <w:t>it would still</w:t>
      </w:r>
      <w:r w:rsidR="005105A6" w:rsidRPr="00A04B5D">
        <w:rPr>
          <w:color w:val="FF0000"/>
          <w:lang w:val="en-US"/>
        </w:rPr>
        <w:t xml:space="preserve"> be preferred to analyze a sample that satisfies the standard assumptions. </w:t>
      </w:r>
      <w:r w:rsidR="00800EDA" w:rsidRPr="00A04B5D">
        <w:rPr>
          <w:color w:val="FF0000"/>
          <w:lang w:val="en-US"/>
        </w:rPr>
        <w:t>The sample distribution is skewed regarding education and gender. This limitation can be overcome by applying restriction</w:t>
      </w:r>
      <w:r w:rsidR="005105A6" w:rsidRPr="00A04B5D">
        <w:rPr>
          <w:color w:val="FF0000"/>
          <w:lang w:val="en-US"/>
        </w:rPr>
        <w:t>s</w:t>
      </w:r>
      <w:r w:rsidR="00800EDA" w:rsidRPr="00A04B5D">
        <w:rPr>
          <w:color w:val="FF0000"/>
          <w:lang w:val="en-US"/>
        </w:rPr>
        <w:t xml:space="preserve"> in the sample design</w:t>
      </w:r>
      <w:r w:rsidR="005105A6" w:rsidRPr="00A04B5D">
        <w:rPr>
          <w:color w:val="FF0000"/>
          <w:lang w:val="en-US"/>
        </w:rPr>
        <w:t xml:space="preserve"> stage.</w:t>
      </w:r>
    </w:p>
    <w:p w14:paraId="60E4ACA6" w14:textId="77777777" w:rsidR="008F3BB2" w:rsidRDefault="008F3BB2" w:rsidP="008F3BB2">
      <w:pPr>
        <w:pStyle w:val="Nadpis1"/>
        <w:numPr>
          <w:ilvl w:val="0"/>
          <w:numId w:val="0"/>
        </w:numPr>
        <w:ind w:left="432"/>
        <w:rPr>
          <w:lang w:val="en-US"/>
        </w:rPr>
      </w:pPr>
      <w:r>
        <w:rPr>
          <w:lang w:val="en-US"/>
        </w:rPr>
        <w:t>References</w:t>
      </w:r>
    </w:p>
    <w:p w14:paraId="5C85BD92" w14:textId="0C13005D" w:rsidR="00CE30AA" w:rsidRPr="00CE30AA" w:rsidRDefault="007C5CB6" w:rsidP="00CE30AA">
      <w:pPr>
        <w:widowControl w:val="0"/>
        <w:autoSpaceDE w:val="0"/>
        <w:autoSpaceDN w:val="0"/>
        <w:adjustRightInd w:val="0"/>
        <w:spacing w:before="0" w:line="240" w:lineRule="auto"/>
        <w:ind w:left="480" w:hanging="480"/>
        <w:rPr>
          <w:rFonts w:ascii="Garamond" w:hAnsi="Garamond" w:cs="Times New Roman"/>
          <w:noProof/>
          <w:szCs w:val="24"/>
        </w:rPr>
      </w:pPr>
      <w:r>
        <w:rPr>
          <w:lang w:val="en-US"/>
        </w:rPr>
        <w:fldChar w:fldCharType="begin" w:fldLock="1"/>
      </w:r>
      <w:r>
        <w:rPr>
          <w:lang w:val="en-US"/>
        </w:rPr>
        <w:instrText xml:space="preserve">ADDIN Mendeley Bibliography CSL_BIBLIOGRAPHY </w:instrText>
      </w:r>
      <w:r>
        <w:rPr>
          <w:lang w:val="en-US"/>
        </w:rPr>
        <w:fldChar w:fldCharType="separate"/>
      </w:r>
      <w:r w:rsidR="00CE30AA" w:rsidRPr="00CE30AA">
        <w:rPr>
          <w:rFonts w:ascii="Garamond" w:hAnsi="Garamond" w:cs="Times New Roman"/>
          <w:noProof/>
          <w:szCs w:val="24"/>
        </w:rPr>
        <w:t xml:space="preserve">Agarwal R and Prasad J (1999) Are Individual Differences Germane to the Acceptance of New Information Technologies? </w:t>
      </w:r>
      <w:r w:rsidR="00CE30AA" w:rsidRPr="00CE30AA">
        <w:rPr>
          <w:rFonts w:ascii="Garamond" w:hAnsi="Garamond" w:cs="Times New Roman"/>
          <w:i/>
          <w:iCs/>
          <w:noProof/>
          <w:szCs w:val="24"/>
        </w:rPr>
        <w:t>Decision Sciences</w:t>
      </w:r>
      <w:r w:rsidR="00CE30AA" w:rsidRPr="00CE30AA">
        <w:rPr>
          <w:rFonts w:ascii="Garamond" w:hAnsi="Garamond" w:cs="Times New Roman"/>
          <w:noProof/>
          <w:szCs w:val="24"/>
        </w:rPr>
        <w:t xml:space="preserve"> 30(2): 361–391. DOI: 10.1111/j.1540-5915.1999.tb01614.x.</w:t>
      </w:r>
    </w:p>
    <w:p w14:paraId="11C66A5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Ahmad S, Bhatti SH and Hwang Y (2020) E-service quality and actual use of e-banking: Explanation through the Technology Acceptance Model. </w:t>
      </w:r>
      <w:r w:rsidRPr="00CE30AA">
        <w:rPr>
          <w:rFonts w:ascii="Garamond" w:hAnsi="Garamond" w:cs="Times New Roman"/>
          <w:i/>
          <w:iCs/>
          <w:noProof/>
          <w:szCs w:val="24"/>
        </w:rPr>
        <w:t>Information Development</w:t>
      </w:r>
      <w:r w:rsidRPr="00CE30AA">
        <w:rPr>
          <w:rFonts w:ascii="Garamond" w:hAnsi="Garamond" w:cs="Times New Roman"/>
          <w:noProof/>
          <w:szCs w:val="24"/>
        </w:rPr>
        <w:t xml:space="preserve"> 36(4). SAGE Publications Ltd: 503–519. DOI: 10.1177/0266666919871611.</w:t>
      </w:r>
    </w:p>
    <w:p w14:paraId="03E9B54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Ajzen I (1991) The theory of planned behavior. </w:t>
      </w:r>
      <w:r w:rsidRPr="00CE30AA">
        <w:rPr>
          <w:rFonts w:ascii="Garamond" w:hAnsi="Garamond" w:cs="Times New Roman"/>
          <w:i/>
          <w:iCs/>
          <w:noProof/>
          <w:szCs w:val="24"/>
        </w:rPr>
        <w:t>Organizational Behavior and Human Decision Processes</w:t>
      </w:r>
      <w:r w:rsidRPr="00CE30AA">
        <w:rPr>
          <w:rFonts w:ascii="Garamond" w:hAnsi="Garamond" w:cs="Times New Roman"/>
          <w:noProof/>
          <w:szCs w:val="24"/>
        </w:rPr>
        <w:t xml:space="preserve"> 50(2): 179–211. DOI: 10.1016/0749-5978(91)90020-T.</w:t>
      </w:r>
    </w:p>
    <w:p w14:paraId="37DCA82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Alavi M and Joachimsthaler EA (1992) Revisiting DSS implementation research: A meta-analysis of the literature and suggestions for researchers. </w:t>
      </w:r>
      <w:r w:rsidRPr="00CE30AA">
        <w:rPr>
          <w:rFonts w:ascii="Garamond" w:hAnsi="Garamond" w:cs="Times New Roman"/>
          <w:i/>
          <w:iCs/>
          <w:noProof/>
          <w:szCs w:val="24"/>
        </w:rPr>
        <w:t>MIS Quarterly: Management Information Systems</w:t>
      </w:r>
      <w:r w:rsidRPr="00CE30AA">
        <w:rPr>
          <w:rFonts w:ascii="Garamond" w:hAnsi="Garamond" w:cs="Times New Roman"/>
          <w:noProof/>
          <w:szCs w:val="24"/>
        </w:rPr>
        <w:t xml:space="preserve"> 16(1): 95–113. DOI: 10.2307/249703.</w:t>
      </w:r>
    </w:p>
    <w:p w14:paraId="272AE86F"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Alavi S and Ahuja V (2016) An Empirical Segmentation of Users of Mobile Banking Apps. </w:t>
      </w:r>
      <w:r w:rsidRPr="00CE30AA">
        <w:rPr>
          <w:rFonts w:ascii="Garamond" w:hAnsi="Garamond" w:cs="Times New Roman"/>
          <w:i/>
          <w:iCs/>
          <w:noProof/>
          <w:szCs w:val="24"/>
        </w:rPr>
        <w:t>Journal of Internet Commerce</w:t>
      </w:r>
      <w:r w:rsidRPr="00CE30AA">
        <w:rPr>
          <w:rFonts w:ascii="Garamond" w:hAnsi="Garamond" w:cs="Times New Roman"/>
          <w:noProof/>
          <w:szCs w:val="24"/>
        </w:rPr>
        <w:t xml:space="preserve"> 15(4). Routledge: 390–407. DOI: 10.1080/15332861.2016.1252653.</w:t>
      </w:r>
    </w:p>
    <w:p w14:paraId="3423BA20"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Ashour R, Alzghool H, Iyadat Y, et al. (2012) Mobile phone applications in the university classroom: Perceptions of undergraduate students in Jordan. </w:t>
      </w:r>
      <w:r w:rsidRPr="00CE30AA">
        <w:rPr>
          <w:rFonts w:ascii="Garamond" w:hAnsi="Garamond" w:cs="Times New Roman"/>
          <w:i/>
          <w:iCs/>
          <w:noProof/>
          <w:szCs w:val="24"/>
        </w:rPr>
        <w:t>E-Learning and Digital Media</w:t>
      </w:r>
      <w:r w:rsidRPr="00CE30AA">
        <w:rPr>
          <w:rFonts w:ascii="Garamond" w:hAnsi="Garamond" w:cs="Times New Roman"/>
          <w:noProof/>
          <w:szCs w:val="24"/>
        </w:rPr>
        <w:t xml:space="preserve"> 9(4): 419–425. DOI: 10.2304/elea.2012.9.4.419.</w:t>
      </w:r>
    </w:p>
    <w:p w14:paraId="59A8224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Asongu SA and Nwachukwu JC (2018) Comparative human development thresholds for absolute and relative pro-poor mobile banking in developing countries. </w:t>
      </w:r>
      <w:r w:rsidRPr="00CE30AA">
        <w:rPr>
          <w:rFonts w:ascii="Garamond" w:hAnsi="Garamond" w:cs="Times New Roman"/>
          <w:i/>
          <w:iCs/>
          <w:noProof/>
          <w:szCs w:val="24"/>
        </w:rPr>
        <w:t>Information Technology and People</w:t>
      </w:r>
      <w:r w:rsidRPr="00CE30AA">
        <w:rPr>
          <w:rFonts w:ascii="Garamond" w:hAnsi="Garamond" w:cs="Times New Roman"/>
          <w:noProof/>
          <w:szCs w:val="24"/>
        </w:rPr>
        <w:t xml:space="preserve"> 31(1): 63–83. DOI: 10.1108/ITP-12-2015-0295.</w:t>
      </w:r>
    </w:p>
    <w:p w14:paraId="2237268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Asongu SA and Odhiambo NM (2019) Mobile banking usage, quality of growth, inequality and poverty in developing countries. </w:t>
      </w:r>
      <w:r w:rsidRPr="00CE30AA">
        <w:rPr>
          <w:rFonts w:ascii="Garamond" w:hAnsi="Garamond" w:cs="Times New Roman"/>
          <w:i/>
          <w:iCs/>
          <w:noProof/>
          <w:szCs w:val="24"/>
        </w:rPr>
        <w:t>Information Development</w:t>
      </w:r>
      <w:r w:rsidRPr="00CE30AA">
        <w:rPr>
          <w:rFonts w:ascii="Garamond" w:hAnsi="Garamond" w:cs="Times New Roman"/>
          <w:noProof/>
          <w:szCs w:val="24"/>
        </w:rPr>
        <w:t xml:space="preserve"> 35(2). SAGE Publications Ltd: 303–318. DOI: 10.1177/0266666917744006.</w:t>
      </w:r>
    </w:p>
    <w:p w14:paraId="38CCE540"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Baabdullah AM, Alalwan AA, Rana NP, et al. (2019) Consumer use of mobile banking (M-Banking) in Saudi Arabia: Towards an integrated model. </w:t>
      </w:r>
      <w:r w:rsidRPr="00CE30AA">
        <w:rPr>
          <w:rFonts w:ascii="Garamond" w:hAnsi="Garamond" w:cs="Times New Roman"/>
          <w:i/>
          <w:iCs/>
          <w:noProof/>
          <w:szCs w:val="24"/>
        </w:rPr>
        <w:t>International Journal of Information Management</w:t>
      </w:r>
      <w:r w:rsidRPr="00CE30AA">
        <w:rPr>
          <w:rFonts w:ascii="Garamond" w:hAnsi="Garamond" w:cs="Times New Roman"/>
          <w:noProof/>
          <w:szCs w:val="24"/>
        </w:rPr>
        <w:t xml:space="preserve"> 44: 38–52. DOI: 10.1016/j.ijinfomgt.2018.09.002.</w:t>
      </w:r>
    </w:p>
    <w:p w14:paraId="27839F8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Baptista G and Oliveira T (2015) Understanding mobile banking: The unified theory of acceptance and use of technology combined with cultural moderators. </w:t>
      </w:r>
      <w:r w:rsidRPr="00CE30AA">
        <w:rPr>
          <w:rFonts w:ascii="Garamond" w:hAnsi="Garamond" w:cs="Times New Roman"/>
          <w:i/>
          <w:iCs/>
          <w:noProof/>
          <w:szCs w:val="24"/>
        </w:rPr>
        <w:t>Computers in Human Behavior</w:t>
      </w:r>
      <w:r w:rsidRPr="00CE30AA">
        <w:rPr>
          <w:rFonts w:ascii="Garamond" w:hAnsi="Garamond" w:cs="Times New Roman"/>
          <w:noProof/>
          <w:szCs w:val="24"/>
        </w:rPr>
        <w:t xml:space="preserve"> 50. Pergamon: 418–430. DOI: 10.1016/J.CHB.2015.04.024.</w:t>
      </w:r>
    </w:p>
    <w:p w14:paraId="7F8C626C"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Baptista G and Oliveira T (2017) Why so serious? Gamification impact in the acceptance of mobile banking services. </w:t>
      </w:r>
      <w:r w:rsidRPr="00CE30AA">
        <w:rPr>
          <w:rFonts w:ascii="Garamond" w:hAnsi="Garamond" w:cs="Times New Roman"/>
          <w:i/>
          <w:iCs/>
          <w:noProof/>
          <w:szCs w:val="24"/>
        </w:rPr>
        <w:t>Internet Research</w:t>
      </w:r>
      <w:r w:rsidRPr="00CE30AA">
        <w:rPr>
          <w:rFonts w:ascii="Garamond" w:hAnsi="Garamond" w:cs="Times New Roman"/>
          <w:noProof/>
          <w:szCs w:val="24"/>
        </w:rPr>
        <w:t xml:space="preserve"> 27(1). Emerald Publishing Limited: 118–139. DOI: 10.1108/IntR-10-2015-0295.</w:t>
      </w:r>
    </w:p>
    <w:p w14:paraId="47A8BBA6"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Bhatiasevi V (2016) An extended UTAUT model to explain the adoption of mobile banking. </w:t>
      </w:r>
      <w:r w:rsidRPr="00CE30AA">
        <w:rPr>
          <w:rFonts w:ascii="Garamond" w:hAnsi="Garamond" w:cs="Times New Roman"/>
          <w:i/>
          <w:iCs/>
          <w:noProof/>
          <w:szCs w:val="24"/>
        </w:rPr>
        <w:t>Information Development</w:t>
      </w:r>
      <w:r w:rsidRPr="00CE30AA">
        <w:rPr>
          <w:rFonts w:ascii="Garamond" w:hAnsi="Garamond" w:cs="Times New Roman"/>
          <w:noProof/>
          <w:szCs w:val="24"/>
        </w:rPr>
        <w:t xml:space="preserve"> 32(4): 799–814. DOI: 10.1177/0266666915570764.</w:t>
      </w:r>
    </w:p>
    <w:p w14:paraId="2F33B73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Çera G, Pagria I, Khan KA, et al. (2020) Mobile banking usage and gamification: the moderating effect of generational cohorts. </w:t>
      </w:r>
      <w:r w:rsidRPr="00CE30AA">
        <w:rPr>
          <w:rFonts w:ascii="Garamond" w:hAnsi="Garamond" w:cs="Times New Roman"/>
          <w:i/>
          <w:iCs/>
          <w:noProof/>
          <w:szCs w:val="24"/>
        </w:rPr>
        <w:t>Journal of Systems and Information Technology</w:t>
      </w:r>
      <w:r w:rsidRPr="00CE30AA">
        <w:rPr>
          <w:rFonts w:ascii="Garamond" w:hAnsi="Garamond" w:cs="Times New Roman"/>
          <w:noProof/>
          <w:szCs w:val="24"/>
        </w:rPr>
        <w:t xml:space="preserve"> 12(3). Emerald Publishing Limited: 243–263. DOI: 10.1108/JSIT-01-2020-0005.</w:t>
      </w:r>
    </w:p>
    <w:p w14:paraId="6E0929CC"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Chaouali W, Souiden N and Ladhari R (2017) Explaining adoption of mobile banking with the theory of trying, general self-confidence, and cynicism. </w:t>
      </w:r>
      <w:r w:rsidRPr="00CE30AA">
        <w:rPr>
          <w:rFonts w:ascii="Garamond" w:hAnsi="Garamond" w:cs="Times New Roman"/>
          <w:i/>
          <w:iCs/>
          <w:noProof/>
          <w:szCs w:val="24"/>
        </w:rPr>
        <w:t>Journal of Retailing and Consumer Services</w:t>
      </w:r>
      <w:r w:rsidRPr="00CE30AA">
        <w:rPr>
          <w:rFonts w:ascii="Garamond" w:hAnsi="Garamond" w:cs="Times New Roman"/>
          <w:noProof/>
          <w:szCs w:val="24"/>
        </w:rPr>
        <w:t xml:space="preserve"> 35. Pergamon: 57–67. DOI: 10.1016/J.JRETCONSER.2016.11.009.</w:t>
      </w:r>
    </w:p>
    <w:p w14:paraId="70956F5E"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Chawla D and Joshi H (2018) The Moderating Effect of Demographic Variables on Mobile Banking Adoption: An Empirical Investigation. </w:t>
      </w:r>
      <w:r w:rsidRPr="00CE30AA">
        <w:rPr>
          <w:rFonts w:ascii="Garamond" w:hAnsi="Garamond" w:cs="Times New Roman"/>
          <w:i/>
          <w:iCs/>
          <w:noProof/>
          <w:szCs w:val="24"/>
        </w:rPr>
        <w:t>Global Business Review</w:t>
      </w:r>
      <w:r w:rsidRPr="00CE30AA">
        <w:rPr>
          <w:rFonts w:ascii="Garamond" w:hAnsi="Garamond" w:cs="Times New Roman"/>
          <w:noProof/>
          <w:szCs w:val="24"/>
        </w:rPr>
        <w:t xml:space="preserve"> 19(3_suppl): S90–S113. DOI: 10.1177/0972150918757883.</w:t>
      </w:r>
    </w:p>
    <w:p w14:paraId="2FDE5785"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Chawla D and Joshi H (2019) Scale Development and Validation for Measuring the Adoption of Mobile Banking Services. </w:t>
      </w:r>
      <w:r w:rsidRPr="00CE30AA">
        <w:rPr>
          <w:rFonts w:ascii="Garamond" w:hAnsi="Garamond" w:cs="Times New Roman"/>
          <w:i/>
          <w:iCs/>
          <w:noProof/>
          <w:szCs w:val="24"/>
        </w:rPr>
        <w:t>Global Business Review</w:t>
      </w:r>
      <w:r w:rsidRPr="00CE30AA">
        <w:rPr>
          <w:rFonts w:ascii="Garamond" w:hAnsi="Garamond" w:cs="Times New Roman"/>
          <w:noProof/>
          <w:szCs w:val="24"/>
        </w:rPr>
        <w:t xml:space="preserve"> 20(2): 434–457. DOI: 10.1177/0972150918825205.</w:t>
      </w:r>
    </w:p>
    <w:p w14:paraId="7FD05238"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Cohen J (1988) </w:t>
      </w:r>
      <w:r w:rsidRPr="00CE30AA">
        <w:rPr>
          <w:rFonts w:ascii="Garamond" w:hAnsi="Garamond" w:cs="Times New Roman"/>
          <w:i/>
          <w:iCs/>
          <w:noProof/>
          <w:szCs w:val="24"/>
        </w:rPr>
        <w:t>Statistical power analysis for the behavioral sciences</w:t>
      </w:r>
      <w:r w:rsidRPr="00CE30AA">
        <w:rPr>
          <w:rFonts w:ascii="Garamond" w:hAnsi="Garamond" w:cs="Times New Roman"/>
          <w:noProof/>
          <w:szCs w:val="24"/>
        </w:rPr>
        <w:t>. 2nd ed. United States of America: L. Erlbaum Associates.</w:t>
      </w:r>
    </w:p>
    <w:p w14:paraId="75EF246E"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Compeau DR and Higgins CA (1995) Computer Self-Efficacy: Development of a Measure and Initial Test. </w:t>
      </w:r>
      <w:r w:rsidRPr="00CE30AA">
        <w:rPr>
          <w:rFonts w:ascii="Garamond" w:hAnsi="Garamond" w:cs="Times New Roman"/>
          <w:i/>
          <w:iCs/>
          <w:noProof/>
          <w:szCs w:val="24"/>
        </w:rPr>
        <w:t>MIS Quarterly</w:t>
      </w:r>
      <w:r w:rsidRPr="00CE30AA">
        <w:rPr>
          <w:rFonts w:ascii="Garamond" w:hAnsi="Garamond" w:cs="Times New Roman"/>
          <w:noProof/>
          <w:szCs w:val="24"/>
        </w:rPr>
        <w:t xml:space="preserve"> 19(2): 189. DOI: 10.2307/249688.</w:t>
      </w:r>
    </w:p>
    <w:p w14:paraId="725573FD"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Dahlberg T, Guo J and Ondrus J (2015) A critical review of mobile payment research. </w:t>
      </w:r>
      <w:r w:rsidRPr="00CE30AA">
        <w:rPr>
          <w:rFonts w:ascii="Garamond" w:hAnsi="Garamond" w:cs="Times New Roman"/>
          <w:i/>
          <w:iCs/>
          <w:noProof/>
          <w:szCs w:val="24"/>
        </w:rPr>
        <w:t>Electronic Commerce Research and Applications</w:t>
      </w:r>
      <w:r w:rsidRPr="00CE30AA">
        <w:rPr>
          <w:rFonts w:ascii="Garamond" w:hAnsi="Garamond" w:cs="Times New Roman"/>
          <w:noProof/>
          <w:szCs w:val="24"/>
        </w:rPr>
        <w:t xml:space="preserve"> 14(5). Elsevier: 265–284. DOI: 10.1016/J.ELERAP.2015.07.006.</w:t>
      </w:r>
    </w:p>
    <w:p w14:paraId="534F9DA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Davis FD (1989) Perceived Usefulness, Perceived Ease of Use, and User Acceptance of Information Technology. </w:t>
      </w:r>
      <w:r w:rsidRPr="00CE30AA">
        <w:rPr>
          <w:rFonts w:ascii="Garamond" w:hAnsi="Garamond" w:cs="Times New Roman"/>
          <w:i/>
          <w:iCs/>
          <w:noProof/>
          <w:szCs w:val="24"/>
        </w:rPr>
        <w:t>MIS Quarterly</w:t>
      </w:r>
      <w:r w:rsidRPr="00CE30AA">
        <w:rPr>
          <w:rFonts w:ascii="Garamond" w:hAnsi="Garamond" w:cs="Times New Roman"/>
          <w:noProof/>
          <w:szCs w:val="24"/>
        </w:rPr>
        <w:t xml:space="preserve"> 13(3): 319. DOI: 10.2307/249008.</w:t>
      </w:r>
    </w:p>
    <w:p w14:paraId="305F18E8"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Davis FD, Bagozzi RP and Warshaw PR (1992) Extrinsic and Intrinsic Motivation to Use Computers in the Workplace. </w:t>
      </w:r>
      <w:r w:rsidRPr="00CE30AA">
        <w:rPr>
          <w:rFonts w:ascii="Garamond" w:hAnsi="Garamond" w:cs="Times New Roman"/>
          <w:i/>
          <w:iCs/>
          <w:noProof/>
          <w:szCs w:val="24"/>
        </w:rPr>
        <w:t>Journal of Applied Social Psychology</w:t>
      </w:r>
      <w:r w:rsidRPr="00CE30AA">
        <w:rPr>
          <w:rFonts w:ascii="Garamond" w:hAnsi="Garamond" w:cs="Times New Roman"/>
          <w:noProof/>
          <w:szCs w:val="24"/>
        </w:rPr>
        <w:t xml:space="preserve"> 22(14): 1111–1132. DOI: 10.1111/j.1559-1816.1992.tb00945.x.</w:t>
      </w:r>
    </w:p>
    <w:p w14:paraId="4B4B59F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Ege Oruç Ö and Tatar Ç (2017) An investigation of factors that affect internet banking usage based on structural equation modeling. </w:t>
      </w:r>
      <w:r w:rsidRPr="00CE30AA">
        <w:rPr>
          <w:rFonts w:ascii="Garamond" w:hAnsi="Garamond" w:cs="Times New Roman"/>
          <w:i/>
          <w:iCs/>
          <w:noProof/>
          <w:szCs w:val="24"/>
        </w:rPr>
        <w:t>Computers in Human Behavior</w:t>
      </w:r>
      <w:r w:rsidRPr="00CE30AA">
        <w:rPr>
          <w:rFonts w:ascii="Garamond" w:hAnsi="Garamond" w:cs="Times New Roman"/>
          <w:noProof/>
          <w:szCs w:val="24"/>
        </w:rPr>
        <w:t xml:space="preserve"> 66. Pergamon: 232–235. DOI: 10.1016/J.CHB.2016.09.059.</w:t>
      </w:r>
    </w:p>
    <w:p w14:paraId="24C64E5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Elmi MA and Ngwenyama O (2020) Examining the use of electronic money and technology by the diaspora in international remittance system: A case of Somali remittances from Canada. </w:t>
      </w:r>
      <w:r w:rsidRPr="00CE30AA">
        <w:rPr>
          <w:rFonts w:ascii="Garamond" w:hAnsi="Garamond" w:cs="Times New Roman"/>
          <w:i/>
          <w:iCs/>
          <w:noProof/>
          <w:szCs w:val="24"/>
        </w:rPr>
        <w:t>The Electronic Journal of Information Systems in Developing Countries</w:t>
      </w:r>
      <w:r w:rsidRPr="00CE30AA">
        <w:rPr>
          <w:rFonts w:ascii="Garamond" w:hAnsi="Garamond" w:cs="Times New Roman"/>
          <w:noProof/>
          <w:szCs w:val="24"/>
        </w:rPr>
        <w:t xml:space="preserve"> 86(5). Wiley-Blackwell. DOI: 10.1002/isd2.12138.</w:t>
      </w:r>
    </w:p>
    <w:p w14:paraId="66B826A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Emini D, Nechev Z and Stakić I (2018) </w:t>
      </w:r>
      <w:r w:rsidRPr="00CE30AA">
        <w:rPr>
          <w:rFonts w:ascii="Garamond" w:hAnsi="Garamond" w:cs="Times New Roman"/>
          <w:i/>
          <w:iCs/>
          <w:noProof/>
          <w:szCs w:val="24"/>
        </w:rPr>
        <w:t>Balkan futures Three scenarios for 2025</w:t>
      </w:r>
      <w:r w:rsidRPr="00CE30AA">
        <w:rPr>
          <w:rFonts w:ascii="Garamond" w:hAnsi="Garamond" w:cs="Times New Roman"/>
          <w:noProof/>
          <w:szCs w:val="24"/>
        </w:rPr>
        <w:t>. Čeperković M and Gaub F (eds). Paris: European Union Institute for Security Studies. DOI: 10.2815/82269.</w:t>
      </w:r>
    </w:p>
    <w:p w14:paraId="41AF1C8C"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Fall FS, Orozco L and Akim AM (2020) Adoption and use of mobile banking by low-income individuals in Senegal. </w:t>
      </w:r>
      <w:r w:rsidRPr="00CE30AA">
        <w:rPr>
          <w:rFonts w:ascii="Garamond" w:hAnsi="Garamond" w:cs="Times New Roman"/>
          <w:i/>
          <w:iCs/>
          <w:noProof/>
          <w:szCs w:val="24"/>
        </w:rPr>
        <w:t>Review of Development Economics</w:t>
      </w:r>
      <w:r w:rsidRPr="00CE30AA">
        <w:rPr>
          <w:rFonts w:ascii="Garamond" w:hAnsi="Garamond" w:cs="Times New Roman"/>
          <w:noProof/>
          <w:szCs w:val="24"/>
        </w:rPr>
        <w:t xml:space="preserve"> 24(2). Blackwell Publishing Ltd: 569–588. DOI: 10.1111/rode.12658.</w:t>
      </w:r>
    </w:p>
    <w:p w14:paraId="75E6FED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Fishbein M (2008) Theory of Reasoned Action. </w:t>
      </w:r>
      <w:r w:rsidRPr="00CE30AA">
        <w:rPr>
          <w:rFonts w:ascii="Garamond" w:hAnsi="Garamond" w:cs="Times New Roman"/>
          <w:i/>
          <w:iCs/>
          <w:noProof/>
          <w:szCs w:val="24"/>
        </w:rPr>
        <w:t>The International Encyclopedia of Communication</w:t>
      </w:r>
      <w:r w:rsidRPr="00CE30AA">
        <w:rPr>
          <w:rFonts w:ascii="Garamond" w:hAnsi="Garamond" w:cs="Times New Roman"/>
          <w:noProof/>
          <w:szCs w:val="24"/>
        </w:rPr>
        <w:t>: 1–4. DOI: 10.1002/9781405186407.wbiecr017.</w:t>
      </w:r>
    </w:p>
    <w:p w14:paraId="39CAC7EF"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Fishbein M and Ajzen I (1975) </w:t>
      </w:r>
      <w:r w:rsidRPr="00CE30AA">
        <w:rPr>
          <w:rFonts w:ascii="Garamond" w:hAnsi="Garamond" w:cs="Times New Roman"/>
          <w:i/>
          <w:iCs/>
          <w:noProof/>
          <w:szCs w:val="24"/>
        </w:rPr>
        <w:t>Belief, attitude, intention, and behavior: An introduction to theory and research</w:t>
      </w:r>
      <w:r w:rsidRPr="00CE30AA">
        <w:rPr>
          <w:rFonts w:ascii="Garamond" w:hAnsi="Garamond" w:cs="Times New Roman"/>
          <w:noProof/>
          <w:szCs w:val="24"/>
        </w:rPr>
        <w:t>. Addison-Wesley.</w:t>
      </w:r>
    </w:p>
    <w:p w14:paraId="3364E93A"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Goh TT and Sun S (2014) Exploring gender differences in Islamic mobile banking acceptance. </w:t>
      </w:r>
      <w:r w:rsidRPr="00CE30AA">
        <w:rPr>
          <w:rFonts w:ascii="Garamond" w:hAnsi="Garamond" w:cs="Times New Roman"/>
          <w:i/>
          <w:iCs/>
          <w:noProof/>
          <w:szCs w:val="24"/>
        </w:rPr>
        <w:t>Electronic Commerce Research</w:t>
      </w:r>
      <w:r w:rsidRPr="00CE30AA">
        <w:rPr>
          <w:rFonts w:ascii="Garamond" w:hAnsi="Garamond" w:cs="Times New Roman"/>
          <w:noProof/>
          <w:szCs w:val="24"/>
        </w:rPr>
        <w:t xml:space="preserve"> 14(4): 435–458. DOI: 10.1007/s10660-014-9150-7.</w:t>
      </w:r>
    </w:p>
    <w:p w14:paraId="415421E6"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Goularte A da C and Zilber SN (2018) The moderating role of cultural factors in the adoption of mobile banking in Brazil. </w:t>
      </w:r>
      <w:r w:rsidRPr="00CE30AA">
        <w:rPr>
          <w:rFonts w:ascii="Garamond" w:hAnsi="Garamond" w:cs="Times New Roman"/>
          <w:i/>
          <w:iCs/>
          <w:noProof/>
          <w:szCs w:val="24"/>
        </w:rPr>
        <w:t>International Journal of Innovation Science</w:t>
      </w:r>
      <w:r w:rsidRPr="00CE30AA">
        <w:rPr>
          <w:rFonts w:ascii="Garamond" w:hAnsi="Garamond" w:cs="Times New Roman"/>
          <w:noProof/>
          <w:szCs w:val="24"/>
        </w:rPr>
        <w:t xml:space="preserve"> 11(1): 63–81. DOI: 10.1108/IJIS-11-2017-0119.</w:t>
      </w:r>
    </w:p>
    <w:p w14:paraId="53A54780"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Gravetter FJ and Wallnau LB (2017) </w:t>
      </w:r>
      <w:r w:rsidRPr="00CE30AA">
        <w:rPr>
          <w:rFonts w:ascii="Garamond" w:hAnsi="Garamond" w:cs="Times New Roman"/>
          <w:i/>
          <w:iCs/>
          <w:noProof/>
          <w:szCs w:val="24"/>
        </w:rPr>
        <w:t>Statistics for the behavioral sciences</w:t>
      </w:r>
      <w:r w:rsidRPr="00CE30AA">
        <w:rPr>
          <w:rFonts w:ascii="Garamond" w:hAnsi="Garamond" w:cs="Times New Roman"/>
          <w:noProof/>
          <w:szCs w:val="24"/>
        </w:rPr>
        <w:t>. 10th ed. CENGAGE Learning.</w:t>
      </w:r>
    </w:p>
    <w:p w14:paraId="06B4D644"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GSMA (2019) </w:t>
      </w:r>
      <w:r w:rsidRPr="00CE30AA">
        <w:rPr>
          <w:rFonts w:ascii="Garamond" w:hAnsi="Garamond" w:cs="Times New Roman"/>
          <w:i/>
          <w:iCs/>
          <w:noProof/>
          <w:szCs w:val="24"/>
        </w:rPr>
        <w:t>Connected Society The State of Mobile Internet Connectivity 2019</w:t>
      </w:r>
      <w:r w:rsidRPr="00CE30AA">
        <w:rPr>
          <w:rFonts w:ascii="Garamond" w:hAnsi="Garamond" w:cs="Times New Roman"/>
          <w:noProof/>
          <w:szCs w:val="24"/>
        </w:rPr>
        <w:t xml:space="preserve">. </w:t>
      </w:r>
      <w:r w:rsidRPr="00CE30AA">
        <w:rPr>
          <w:rFonts w:ascii="Garamond" w:hAnsi="Garamond" w:cs="Times New Roman"/>
          <w:i/>
          <w:iCs/>
          <w:noProof/>
          <w:szCs w:val="24"/>
        </w:rPr>
        <w:t>comScore Mobilens</w:t>
      </w:r>
      <w:r w:rsidRPr="00CE30AA">
        <w:rPr>
          <w:rFonts w:ascii="Garamond" w:hAnsi="Garamond" w:cs="Times New Roman"/>
          <w:noProof/>
          <w:szCs w:val="24"/>
        </w:rPr>
        <w:t>.</w:t>
      </w:r>
    </w:p>
    <w:p w14:paraId="628C9D3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Hair JF, Risher JJ, Sarstedt M, et al. (2019) When to use and how to report the results of PLS-SEM. </w:t>
      </w:r>
      <w:r w:rsidRPr="00CE30AA">
        <w:rPr>
          <w:rFonts w:ascii="Garamond" w:hAnsi="Garamond" w:cs="Times New Roman"/>
          <w:i/>
          <w:iCs/>
          <w:noProof/>
          <w:szCs w:val="24"/>
        </w:rPr>
        <w:t>European Business Review</w:t>
      </w:r>
      <w:r w:rsidRPr="00CE30AA">
        <w:rPr>
          <w:rFonts w:ascii="Garamond" w:hAnsi="Garamond" w:cs="Times New Roman"/>
          <w:noProof/>
          <w:szCs w:val="24"/>
        </w:rPr>
        <w:t xml:space="preserve"> 31(1): 2–24. DOI: 10.1108/EBR-11-2018-0203.</w:t>
      </w:r>
    </w:p>
    <w:p w14:paraId="4778D8E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Hanafizadeh P, Khosravi B and Badie K (2019) Global discourse on ICT and the shaping of ICT policy in developing countries. </w:t>
      </w:r>
      <w:r w:rsidRPr="00CE30AA">
        <w:rPr>
          <w:rFonts w:ascii="Garamond" w:hAnsi="Garamond" w:cs="Times New Roman"/>
          <w:i/>
          <w:iCs/>
          <w:noProof/>
          <w:szCs w:val="24"/>
        </w:rPr>
        <w:t>Telecommunications Policy</w:t>
      </w:r>
      <w:r w:rsidRPr="00CE30AA">
        <w:rPr>
          <w:rFonts w:ascii="Garamond" w:hAnsi="Garamond" w:cs="Times New Roman"/>
          <w:noProof/>
          <w:szCs w:val="24"/>
        </w:rPr>
        <w:t xml:space="preserve"> 43(4). Elsevier Ltd: 324–338. DOI: 10.1016/j.telpol.2018.09.004.</w:t>
      </w:r>
    </w:p>
    <w:p w14:paraId="02268C36"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Hoque ME, Kabir Hassan M, Hashim NMHN, et al. (2019) Factors affecting Islamic banking behavioral intention: the moderating effects of customer marketing practices and financial considerations. </w:t>
      </w:r>
      <w:r w:rsidRPr="00CE30AA">
        <w:rPr>
          <w:rFonts w:ascii="Garamond" w:hAnsi="Garamond" w:cs="Times New Roman"/>
          <w:i/>
          <w:iCs/>
          <w:noProof/>
          <w:szCs w:val="24"/>
        </w:rPr>
        <w:t>Journal of Financial Services Marketing</w:t>
      </w:r>
      <w:r w:rsidRPr="00CE30AA">
        <w:rPr>
          <w:rFonts w:ascii="Garamond" w:hAnsi="Garamond" w:cs="Times New Roman"/>
          <w:noProof/>
          <w:szCs w:val="24"/>
        </w:rPr>
        <w:t xml:space="preserve"> 24(1–2). Palgrave Macmillan UK: 44–58. DOI: 10.1057/s41264-019-00060-x.</w:t>
      </w:r>
    </w:p>
    <w:p w14:paraId="1BDDA91E"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Huang C-Y and Kao Y-S (2015) UTAUT2 Based Predictions of Factors Influencing the Technology Acceptance of Phablets by DNP. </w:t>
      </w:r>
      <w:r w:rsidRPr="00CE30AA">
        <w:rPr>
          <w:rFonts w:ascii="Garamond" w:hAnsi="Garamond" w:cs="Times New Roman"/>
          <w:i/>
          <w:iCs/>
          <w:noProof/>
          <w:szCs w:val="24"/>
        </w:rPr>
        <w:t>Mathematical Problems in Engineering</w:t>
      </w:r>
      <w:r w:rsidRPr="00CE30AA">
        <w:rPr>
          <w:rFonts w:ascii="Garamond" w:hAnsi="Garamond" w:cs="Times New Roman"/>
          <w:noProof/>
          <w:szCs w:val="24"/>
        </w:rPr>
        <w:t xml:space="preserve"> 2015(5): 1–23. DOI: 10.1155/2015/603747.</w:t>
      </w:r>
    </w:p>
    <w:p w14:paraId="21ADB1E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Hutjens M (2014) </w:t>
      </w:r>
      <w:r w:rsidRPr="00CE30AA">
        <w:rPr>
          <w:rFonts w:ascii="Garamond" w:hAnsi="Garamond" w:cs="Times New Roman"/>
          <w:i/>
          <w:iCs/>
          <w:noProof/>
          <w:szCs w:val="24"/>
        </w:rPr>
        <w:t>Behaviour of Consumers in Case of an Animal Disease Outbreak</w:t>
      </w:r>
      <w:r w:rsidRPr="00CE30AA">
        <w:rPr>
          <w:rFonts w:ascii="Garamond" w:hAnsi="Garamond" w:cs="Times New Roman"/>
          <w:noProof/>
          <w:szCs w:val="24"/>
        </w:rPr>
        <w:t>.</w:t>
      </w:r>
    </w:p>
    <w:p w14:paraId="1F8EB8C5"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Hyde-clarke N and Mnisi J (2015) A Gender Gap</w:t>
      </w:r>
      <w:r w:rsidRPr="00CE30AA">
        <w:rPr>
          <w:rFonts w:ascii="Times New Roman" w:hAnsi="Times New Roman" w:cs="Times New Roman"/>
          <w:noProof/>
          <w:szCs w:val="24"/>
        </w:rPr>
        <w:t> </w:t>
      </w:r>
      <w:r w:rsidRPr="00CE30AA">
        <w:rPr>
          <w:rFonts w:ascii="Garamond" w:hAnsi="Garamond" w:cs="Times New Roman"/>
          <w:noProof/>
          <w:szCs w:val="24"/>
        </w:rPr>
        <w:t>? Uses and Perceptions of Mobile Phone Banking in South Africa A Gender Gap</w:t>
      </w:r>
      <w:r w:rsidRPr="00CE30AA">
        <w:rPr>
          <w:rFonts w:ascii="Times New Roman" w:hAnsi="Times New Roman" w:cs="Times New Roman"/>
          <w:noProof/>
          <w:szCs w:val="24"/>
        </w:rPr>
        <w:t> </w:t>
      </w:r>
      <w:r w:rsidRPr="00CE30AA">
        <w:rPr>
          <w:rFonts w:ascii="Garamond" w:hAnsi="Garamond" w:cs="Times New Roman"/>
          <w:noProof/>
          <w:szCs w:val="24"/>
        </w:rPr>
        <w:t xml:space="preserve">? Uses and Perceptions of Mobile Phone Banking in South Africa. </w:t>
      </w:r>
      <w:r w:rsidRPr="00CE30AA">
        <w:rPr>
          <w:rFonts w:ascii="Garamond" w:hAnsi="Garamond" w:cs="Times New Roman"/>
          <w:i/>
          <w:iCs/>
          <w:noProof/>
          <w:szCs w:val="24"/>
        </w:rPr>
        <w:t>International Journal of Humanities and Social Science</w:t>
      </w:r>
      <w:r w:rsidRPr="00CE30AA">
        <w:rPr>
          <w:rFonts w:ascii="Garamond" w:hAnsi="Garamond" w:cs="Times New Roman"/>
          <w:noProof/>
          <w:szCs w:val="24"/>
        </w:rPr>
        <w:t xml:space="preserve"> 4(9(1)): 10.</w:t>
      </w:r>
    </w:p>
    <w:p w14:paraId="41532CD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ITU (2019) </w:t>
      </w:r>
      <w:r w:rsidRPr="00CE30AA">
        <w:rPr>
          <w:rFonts w:ascii="Garamond" w:hAnsi="Garamond" w:cs="Times New Roman"/>
          <w:i/>
          <w:iCs/>
          <w:noProof/>
          <w:szCs w:val="24"/>
        </w:rPr>
        <w:t>Measuring digital development</w:t>
      </w:r>
      <w:r w:rsidRPr="00CE30AA">
        <w:rPr>
          <w:rFonts w:ascii="Garamond" w:hAnsi="Garamond" w:cs="Times New Roman"/>
          <w:noProof/>
          <w:szCs w:val="24"/>
        </w:rPr>
        <w:t>. Geneva.</w:t>
      </w:r>
    </w:p>
    <w:p w14:paraId="2EEC14B0"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Jamal Haider M, Changchun G, Akram T, et al. (2016) Does gender differences play any role in intention to adopt Islamic mobile banking</w:t>
      </w:r>
      <w:r w:rsidRPr="00CE30AA">
        <w:rPr>
          <w:rFonts w:ascii="Times New Roman" w:hAnsi="Times New Roman" w:cs="Times New Roman"/>
          <w:noProof/>
          <w:szCs w:val="24"/>
        </w:rPr>
        <w:t> </w:t>
      </w:r>
      <w:r w:rsidRPr="00CE30AA">
        <w:rPr>
          <w:rFonts w:ascii="Garamond" w:hAnsi="Garamond" w:cs="Times New Roman"/>
          <w:noProof/>
          <w:szCs w:val="24"/>
        </w:rPr>
        <w:t xml:space="preserve">? An empirical study Abstract. </w:t>
      </w:r>
      <w:r w:rsidRPr="00CE30AA">
        <w:rPr>
          <w:rFonts w:ascii="Garamond" w:hAnsi="Garamond" w:cs="Times New Roman"/>
          <w:i/>
          <w:iCs/>
          <w:noProof/>
          <w:szCs w:val="24"/>
        </w:rPr>
        <w:t>Journal of Islamic Marketing</w:t>
      </w:r>
      <w:r w:rsidRPr="00CE30AA">
        <w:rPr>
          <w:rFonts w:ascii="Garamond" w:hAnsi="Garamond" w:cs="Times New Roman"/>
          <w:noProof/>
          <w:szCs w:val="24"/>
        </w:rPr>
        <w:t>.</w:t>
      </w:r>
    </w:p>
    <w:p w14:paraId="31E282F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Jambulingam M (2013) Behavioural intention to adopt mobile technology among tertiary students. </w:t>
      </w:r>
      <w:r w:rsidRPr="00CE30AA">
        <w:rPr>
          <w:rFonts w:ascii="Garamond" w:hAnsi="Garamond" w:cs="Times New Roman"/>
          <w:i/>
          <w:iCs/>
          <w:noProof/>
          <w:szCs w:val="24"/>
        </w:rPr>
        <w:t>World Applied Sciences Journal</w:t>
      </w:r>
      <w:r w:rsidRPr="00CE30AA">
        <w:rPr>
          <w:rFonts w:ascii="Garamond" w:hAnsi="Garamond" w:cs="Times New Roman"/>
          <w:noProof/>
          <w:szCs w:val="24"/>
        </w:rPr>
        <w:t xml:space="preserve"> 22(9): 1262–1271. DOI: 10.5829/idosi.wasj.2013.22.09.2748.</w:t>
      </w:r>
    </w:p>
    <w:p w14:paraId="59C6640A"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Jayasiri N, Kariyawasam Graduate NJ and Jayasiri NK (2016) Awareness and Usage of Internet Banking Facilities in Sri Lanka. </w:t>
      </w:r>
      <w:r w:rsidRPr="00CE30AA">
        <w:rPr>
          <w:rFonts w:ascii="Garamond" w:hAnsi="Garamond" w:cs="Times New Roman"/>
          <w:i/>
          <w:iCs/>
          <w:noProof/>
          <w:szCs w:val="24"/>
        </w:rPr>
        <w:t>International Journal of Scientific Research and Innovative Technology</w:t>
      </w:r>
      <w:r w:rsidRPr="00CE30AA">
        <w:rPr>
          <w:rFonts w:ascii="Garamond" w:hAnsi="Garamond" w:cs="Times New Roman"/>
          <w:noProof/>
          <w:szCs w:val="24"/>
        </w:rPr>
        <w:t xml:space="preserve"> 3(6): 2313–3759.</w:t>
      </w:r>
    </w:p>
    <w:p w14:paraId="2AF8C394"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Kim M, Zoo H, Lee H, et al. (2018) Mobile financial services, financial inclusion, and development: A systematic review of academic literature. </w:t>
      </w:r>
      <w:r w:rsidRPr="00CE30AA">
        <w:rPr>
          <w:rFonts w:ascii="Garamond" w:hAnsi="Garamond" w:cs="Times New Roman"/>
          <w:i/>
          <w:iCs/>
          <w:noProof/>
          <w:szCs w:val="24"/>
        </w:rPr>
        <w:t>The Electronic Journal of Information Systems in Developing Countries</w:t>
      </w:r>
      <w:r w:rsidRPr="00CE30AA">
        <w:rPr>
          <w:rFonts w:ascii="Garamond" w:hAnsi="Garamond" w:cs="Times New Roman"/>
          <w:noProof/>
          <w:szCs w:val="24"/>
        </w:rPr>
        <w:t xml:space="preserve"> 84(5). Wiley-Blackwell: e12044. DOI: 10.1002/isd2.12044.</w:t>
      </w:r>
    </w:p>
    <w:p w14:paraId="2473C67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Kirgiz A (2014) Hedonism, A consumer disease of the modern age: Gender and Hedonic shopping in Turkey. </w:t>
      </w:r>
      <w:r w:rsidRPr="00CE30AA">
        <w:rPr>
          <w:rFonts w:ascii="Garamond" w:hAnsi="Garamond" w:cs="Times New Roman"/>
          <w:i/>
          <w:iCs/>
          <w:noProof/>
          <w:szCs w:val="24"/>
        </w:rPr>
        <w:t>Global Media Journal</w:t>
      </w:r>
      <w:r w:rsidRPr="00CE30AA">
        <w:rPr>
          <w:rFonts w:ascii="Garamond" w:hAnsi="Garamond" w:cs="Times New Roman"/>
          <w:noProof/>
          <w:szCs w:val="24"/>
        </w:rPr>
        <w:t xml:space="preserve"> 4(8): 200–213.</w:t>
      </w:r>
    </w:p>
    <w:p w14:paraId="08921BA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Lee HJ, Cho HJ, Xu W, et al. (2010) The influence of consumer traits and demographics on intention to use retail self-service checkouts. </w:t>
      </w:r>
      <w:r w:rsidRPr="00CE30AA">
        <w:rPr>
          <w:rFonts w:ascii="Garamond" w:hAnsi="Garamond" w:cs="Times New Roman"/>
          <w:i/>
          <w:iCs/>
          <w:noProof/>
          <w:szCs w:val="24"/>
        </w:rPr>
        <w:t>Marketing Intelligence and Planning</w:t>
      </w:r>
      <w:r w:rsidRPr="00CE30AA">
        <w:rPr>
          <w:rFonts w:ascii="Garamond" w:hAnsi="Garamond" w:cs="Times New Roman"/>
          <w:noProof/>
          <w:szCs w:val="24"/>
        </w:rPr>
        <w:t xml:space="preserve"> 28(1): 46–58. DOI: 10.1108/02634501011014606.</w:t>
      </w:r>
    </w:p>
    <w:p w14:paraId="683A92C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Leppäniemi M and Karjaluoto H (2008) Exploring the effects of gender, age, income and employment status on consumer response to mobile advertising campaigns. Standing C (ed.) </w:t>
      </w:r>
      <w:r w:rsidRPr="00CE30AA">
        <w:rPr>
          <w:rFonts w:ascii="Garamond" w:hAnsi="Garamond" w:cs="Times New Roman"/>
          <w:i/>
          <w:iCs/>
          <w:noProof/>
          <w:szCs w:val="24"/>
        </w:rPr>
        <w:t>Journal of Systems and Information Technology</w:t>
      </w:r>
      <w:r w:rsidRPr="00CE30AA">
        <w:rPr>
          <w:rFonts w:ascii="Garamond" w:hAnsi="Garamond" w:cs="Times New Roman"/>
          <w:noProof/>
          <w:szCs w:val="24"/>
        </w:rPr>
        <w:t xml:space="preserve"> 10(3): 251–265. DOI: 10.1108/13287260810916943.</w:t>
      </w:r>
    </w:p>
    <w:p w14:paraId="2A1DCB5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Lim JS, Heinrichs JH and Lim KS (2017) Gender and Hedonic Usage Motive Differences in Social Media Site Usage Behavior. </w:t>
      </w:r>
      <w:r w:rsidRPr="00CE30AA">
        <w:rPr>
          <w:rFonts w:ascii="Garamond" w:hAnsi="Garamond" w:cs="Times New Roman"/>
          <w:i/>
          <w:iCs/>
          <w:noProof/>
          <w:szCs w:val="24"/>
        </w:rPr>
        <w:t>Journal of Global Marketing</w:t>
      </w:r>
      <w:r w:rsidRPr="00CE30AA">
        <w:rPr>
          <w:rFonts w:ascii="Garamond" w:hAnsi="Garamond" w:cs="Times New Roman"/>
          <w:noProof/>
          <w:szCs w:val="24"/>
        </w:rPr>
        <w:t xml:space="preserve"> 30(3). Taylor &amp; Francis: 161–173. DOI: 10.1080/08911762.2017.1308615.</w:t>
      </w:r>
    </w:p>
    <w:p w14:paraId="540E836C"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Lin H-H (2011) Gender differences in the linkage of online patronage behavior with TV-and-online shopping values. </w:t>
      </w:r>
      <w:r w:rsidRPr="00CE30AA">
        <w:rPr>
          <w:rFonts w:ascii="Garamond" w:hAnsi="Garamond" w:cs="Times New Roman"/>
          <w:i/>
          <w:iCs/>
          <w:noProof/>
          <w:szCs w:val="24"/>
        </w:rPr>
        <w:t>Service Business</w:t>
      </w:r>
      <w:r w:rsidRPr="00CE30AA">
        <w:rPr>
          <w:rFonts w:ascii="Garamond" w:hAnsi="Garamond" w:cs="Times New Roman"/>
          <w:noProof/>
          <w:szCs w:val="24"/>
        </w:rPr>
        <w:t xml:space="preserve"> 5(4): 295–312. DOI: 10.1007/s11628-011-0115-9.</w:t>
      </w:r>
    </w:p>
    <w:p w14:paraId="4BD4B6A0"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Liu F, Zhao X, Chau PYK, et al. (2015) Roles of perceived value and individual differences in the acceptance of mobile coupon applications. </w:t>
      </w:r>
      <w:r w:rsidRPr="00CE30AA">
        <w:rPr>
          <w:rFonts w:ascii="Garamond" w:hAnsi="Garamond" w:cs="Times New Roman"/>
          <w:i/>
          <w:iCs/>
          <w:noProof/>
          <w:szCs w:val="24"/>
        </w:rPr>
        <w:t>Internet Research</w:t>
      </w:r>
      <w:r w:rsidRPr="00CE30AA">
        <w:rPr>
          <w:rFonts w:ascii="Garamond" w:hAnsi="Garamond" w:cs="Times New Roman"/>
          <w:noProof/>
          <w:szCs w:val="24"/>
        </w:rPr>
        <w:t xml:space="preserve"> 25(3): 471–495. DOI: 10.1108/IntR-02-2014-0053.</w:t>
      </w:r>
    </w:p>
    <w:p w14:paraId="3A6F03A6"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Lwoga ET and Sangeda RZ (2019) ICTs and development in developing countries: A systematic review of reviews. </w:t>
      </w:r>
      <w:r w:rsidRPr="00CE30AA">
        <w:rPr>
          <w:rFonts w:ascii="Garamond" w:hAnsi="Garamond" w:cs="Times New Roman"/>
          <w:i/>
          <w:iCs/>
          <w:noProof/>
          <w:szCs w:val="24"/>
        </w:rPr>
        <w:t>The Electronic Journal of Information Systems in Developing Countries</w:t>
      </w:r>
      <w:r w:rsidRPr="00CE30AA">
        <w:rPr>
          <w:rFonts w:ascii="Garamond" w:hAnsi="Garamond" w:cs="Times New Roman"/>
          <w:noProof/>
          <w:szCs w:val="24"/>
        </w:rPr>
        <w:t xml:space="preserve"> 85(1). Wiley-Blackwell: e12060. DOI: 10.1002/isd2.12060.</w:t>
      </w:r>
    </w:p>
    <w:p w14:paraId="4FEBC3E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Magni M, Taylor MS and Venkatesh V (2010) ‘To play or not to play’: A cross-temporal investigation using hedonic and instrumental perspectives to explain user intentions to explore a technology. </w:t>
      </w:r>
      <w:r w:rsidRPr="00CE30AA">
        <w:rPr>
          <w:rFonts w:ascii="Garamond" w:hAnsi="Garamond" w:cs="Times New Roman"/>
          <w:i/>
          <w:iCs/>
          <w:noProof/>
          <w:szCs w:val="24"/>
        </w:rPr>
        <w:t>International Journal of Human Computer Studies</w:t>
      </w:r>
      <w:r w:rsidRPr="00CE30AA">
        <w:rPr>
          <w:rFonts w:ascii="Garamond" w:hAnsi="Garamond" w:cs="Times New Roman"/>
          <w:noProof/>
          <w:szCs w:val="24"/>
        </w:rPr>
        <w:t xml:space="preserve"> 68(9). Elsevier: 572–588. DOI: 10.1016/j.ijhcs.2010.03.004.</w:t>
      </w:r>
    </w:p>
    <w:p w14:paraId="22C6810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Mago S and Chitokwindo S (2014) The Impact of Mobile Banking on Financial Inclusion In Zimbabwe: A Case for Masvingo Province. </w:t>
      </w:r>
      <w:r w:rsidRPr="00CE30AA">
        <w:rPr>
          <w:rFonts w:ascii="Garamond" w:hAnsi="Garamond" w:cs="Times New Roman"/>
          <w:i/>
          <w:iCs/>
          <w:noProof/>
          <w:szCs w:val="24"/>
        </w:rPr>
        <w:t>Mediterranean Journal of Social Sciences</w:t>
      </w:r>
      <w:r w:rsidRPr="00CE30AA">
        <w:rPr>
          <w:rFonts w:ascii="Garamond" w:hAnsi="Garamond" w:cs="Times New Roman"/>
          <w:noProof/>
          <w:szCs w:val="24"/>
        </w:rPr>
        <w:t xml:space="preserve"> 5(9): 221–230. DOI: 10.5901/mjss.2014.v5n9p221.</w:t>
      </w:r>
    </w:p>
    <w:p w14:paraId="344FDD4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Martins C, Oliveira T and Popovič A (2014) Understanding the Internet banking adoption: A unified theory of acceptance and use of technology and perceived risk application. </w:t>
      </w:r>
      <w:r w:rsidRPr="00CE30AA">
        <w:rPr>
          <w:rFonts w:ascii="Garamond" w:hAnsi="Garamond" w:cs="Times New Roman"/>
          <w:i/>
          <w:iCs/>
          <w:noProof/>
          <w:szCs w:val="24"/>
        </w:rPr>
        <w:t>International Journal of Information Management</w:t>
      </w:r>
      <w:r w:rsidRPr="00CE30AA">
        <w:rPr>
          <w:rFonts w:ascii="Garamond" w:hAnsi="Garamond" w:cs="Times New Roman"/>
          <w:noProof/>
          <w:szCs w:val="24"/>
        </w:rPr>
        <w:t xml:space="preserve"> 34(1). Pergamon: 1–13. DOI: 10.1016/J.IJINFOMGT.2013.06.002.</w:t>
      </w:r>
    </w:p>
    <w:p w14:paraId="76E8C56E"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Meyers LS, Gamst GC and Guarion AJ (2013) </w:t>
      </w:r>
      <w:r w:rsidRPr="00CE30AA">
        <w:rPr>
          <w:rFonts w:ascii="Garamond" w:hAnsi="Garamond" w:cs="Times New Roman"/>
          <w:i/>
          <w:iCs/>
          <w:noProof/>
          <w:szCs w:val="24"/>
        </w:rPr>
        <w:t>Performing data analysis using IBM SPSS</w:t>
      </w:r>
      <w:r w:rsidRPr="00CE30AA">
        <w:rPr>
          <w:rFonts w:ascii="Garamond" w:hAnsi="Garamond" w:cs="Times New Roman"/>
          <w:noProof/>
          <w:szCs w:val="24"/>
        </w:rPr>
        <w:t>. New Jersey: Wiley.</w:t>
      </w:r>
    </w:p>
    <w:p w14:paraId="5AEB089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Moghaddam BK and Khatoon-Abadi A (2013) Factors affecting ICT adoption among rural users: A case study of ICT Center in Iran. </w:t>
      </w:r>
      <w:r w:rsidRPr="00CE30AA">
        <w:rPr>
          <w:rFonts w:ascii="Garamond" w:hAnsi="Garamond" w:cs="Times New Roman"/>
          <w:i/>
          <w:iCs/>
          <w:noProof/>
          <w:szCs w:val="24"/>
        </w:rPr>
        <w:t>Telecommunications Policy</w:t>
      </w:r>
      <w:r w:rsidRPr="00CE30AA">
        <w:rPr>
          <w:rFonts w:ascii="Garamond" w:hAnsi="Garamond" w:cs="Times New Roman"/>
          <w:noProof/>
          <w:szCs w:val="24"/>
        </w:rPr>
        <w:t xml:space="preserve"> 37(11): 1083–1094. DOI: 10.1016/j.telpol.2013.02.005.</w:t>
      </w:r>
    </w:p>
    <w:p w14:paraId="05B57DF9"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Mtambalika A, Davis Manda T, Gombachika H, et al. (2016) Branchless banking in rural Malawi: Potential customers’ perspective on bank-led mobile banking. </w:t>
      </w:r>
      <w:r w:rsidRPr="00CE30AA">
        <w:rPr>
          <w:rFonts w:ascii="Garamond" w:hAnsi="Garamond" w:cs="Times New Roman"/>
          <w:i/>
          <w:iCs/>
          <w:noProof/>
          <w:szCs w:val="24"/>
        </w:rPr>
        <w:t>2016 IST-Africa Conference, IST-Africa 2016</w:t>
      </w:r>
      <w:r w:rsidRPr="00CE30AA">
        <w:rPr>
          <w:rFonts w:ascii="Garamond" w:hAnsi="Garamond" w:cs="Times New Roman"/>
          <w:noProof/>
          <w:szCs w:val="24"/>
        </w:rPr>
        <w:t>. IIMC: 1–11. DOI: 10.1109/ISTAFRICA.2016.7530701.</w:t>
      </w:r>
    </w:p>
    <w:p w14:paraId="1EAE694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Mukerjee HS, Deshmukh GK, Mukherjee D, et al. (2020) Investigating Influence of Moderators in Adopting Internet: Indian Seniors Perspective. </w:t>
      </w:r>
      <w:r w:rsidRPr="00CE30AA">
        <w:rPr>
          <w:rFonts w:ascii="Garamond" w:hAnsi="Garamond" w:cs="Times New Roman"/>
          <w:i/>
          <w:iCs/>
          <w:noProof/>
          <w:szCs w:val="24"/>
        </w:rPr>
        <w:t>Global Business Review</w:t>
      </w:r>
      <w:r w:rsidRPr="00CE30AA">
        <w:rPr>
          <w:rFonts w:ascii="Garamond" w:hAnsi="Garamond" w:cs="Times New Roman"/>
          <w:noProof/>
          <w:szCs w:val="24"/>
        </w:rPr>
        <w:t>: in press. DOI: 10.1177/0972150920908690.</w:t>
      </w:r>
    </w:p>
    <w:p w14:paraId="240904D6"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Muñoz-Leiva F, Climent-Climent S and Liébana-Cabanillas F (2017) Determinants of intention to use the mobile banking apps: An extension of the classic TAM model. </w:t>
      </w:r>
      <w:r w:rsidRPr="00CE30AA">
        <w:rPr>
          <w:rFonts w:ascii="Garamond" w:hAnsi="Garamond" w:cs="Times New Roman"/>
          <w:i/>
          <w:iCs/>
          <w:noProof/>
          <w:szCs w:val="24"/>
        </w:rPr>
        <w:t>Spanish Journal of Marketing - ESIC</w:t>
      </w:r>
      <w:r w:rsidRPr="00CE30AA">
        <w:rPr>
          <w:rFonts w:ascii="Garamond" w:hAnsi="Garamond" w:cs="Times New Roman"/>
          <w:noProof/>
          <w:szCs w:val="24"/>
        </w:rPr>
        <w:t xml:space="preserve"> 21(1): 25–38. DOI: 10.1016/j.sjme.2016.12.001.</w:t>
      </w:r>
    </w:p>
    <w:p w14:paraId="090B42E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Myovella G, Karacuka M and Haucap J (2020) Digitalization and economic growth: A comparative analysis of Sub-Saharan Africa and OECD economies. </w:t>
      </w:r>
      <w:r w:rsidRPr="00CE30AA">
        <w:rPr>
          <w:rFonts w:ascii="Garamond" w:hAnsi="Garamond" w:cs="Times New Roman"/>
          <w:i/>
          <w:iCs/>
          <w:noProof/>
          <w:szCs w:val="24"/>
        </w:rPr>
        <w:t>Telecommunications Policy</w:t>
      </w:r>
      <w:r w:rsidRPr="00CE30AA">
        <w:rPr>
          <w:rFonts w:ascii="Garamond" w:hAnsi="Garamond" w:cs="Times New Roman"/>
          <w:noProof/>
          <w:szCs w:val="24"/>
        </w:rPr>
        <w:t xml:space="preserve"> 44(2). Elsevier Ltd. DOI: 10.1016/j.telpol.2019.101856.</w:t>
      </w:r>
    </w:p>
    <w:p w14:paraId="1011BA56"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Niehaves B and Plattfaut R (2014) Internet adoption by the elderly: Employing IS technology acceptance theories for understanding the age-related digital divide. </w:t>
      </w:r>
      <w:r w:rsidRPr="00CE30AA">
        <w:rPr>
          <w:rFonts w:ascii="Garamond" w:hAnsi="Garamond" w:cs="Times New Roman"/>
          <w:i/>
          <w:iCs/>
          <w:noProof/>
          <w:szCs w:val="24"/>
        </w:rPr>
        <w:t>European Journal of Information Systems</w:t>
      </w:r>
      <w:r w:rsidRPr="00CE30AA">
        <w:rPr>
          <w:rFonts w:ascii="Garamond" w:hAnsi="Garamond" w:cs="Times New Roman"/>
          <w:noProof/>
          <w:szCs w:val="24"/>
        </w:rPr>
        <w:t xml:space="preserve"> 23(6): 708–726. DOI: 10.1057/ejis.2013.19.</w:t>
      </w:r>
    </w:p>
    <w:p w14:paraId="13262DBE"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O’Cass A and Fenech T (2003) Web retailing adoption: Exploring the nature of internet users Web retailing behaviour. </w:t>
      </w:r>
      <w:r w:rsidRPr="00CE30AA">
        <w:rPr>
          <w:rFonts w:ascii="Garamond" w:hAnsi="Garamond" w:cs="Times New Roman"/>
          <w:i/>
          <w:iCs/>
          <w:noProof/>
          <w:szCs w:val="24"/>
        </w:rPr>
        <w:t>Journal of Retailing and Consumer Services</w:t>
      </w:r>
      <w:r w:rsidRPr="00CE30AA">
        <w:rPr>
          <w:rFonts w:ascii="Garamond" w:hAnsi="Garamond" w:cs="Times New Roman"/>
          <w:noProof/>
          <w:szCs w:val="24"/>
        </w:rPr>
        <w:t xml:space="preserve"> 10(2): 81–94. DOI: 10.1016/S0969-6989(02)00004-8.</w:t>
      </w:r>
    </w:p>
    <w:p w14:paraId="3AB583DA"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OECD (2018) </w:t>
      </w:r>
      <w:r w:rsidRPr="00CE30AA">
        <w:rPr>
          <w:rFonts w:ascii="Garamond" w:hAnsi="Garamond" w:cs="Times New Roman"/>
          <w:i/>
          <w:iCs/>
          <w:noProof/>
          <w:szCs w:val="24"/>
        </w:rPr>
        <w:t>Financial Markets, Insurance and Private Pensions: Digitalisation and Finance</w:t>
      </w:r>
      <w:r w:rsidRPr="00CE30AA">
        <w:rPr>
          <w:rFonts w:ascii="Garamond" w:hAnsi="Garamond" w:cs="Times New Roman"/>
          <w:noProof/>
          <w:szCs w:val="24"/>
        </w:rPr>
        <w:t>.</w:t>
      </w:r>
    </w:p>
    <w:p w14:paraId="60901404"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OECD (2019) </w:t>
      </w:r>
      <w:r w:rsidRPr="00CE30AA">
        <w:rPr>
          <w:rFonts w:ascii="Garamond" w:hAnsi="Garamond" w:cs="Times New Roman"/>
          <w:i/>
          <w:iCs/>
          <w:noProof/>
          <w:szCs w:val="24"/>
        </w:rPr>
        <w:t>Policy Insights GLOBAL RELATIONS Unleashing the Transformation Potential for Growth in the Western Balkans Ministry</w:t>
      </w:r>
      <w:r w:rsidRPr="00CE30AA">
        <w:rPr>
          <w:rFonts w:ascii="Garamond" w:hAnsi="Garamond" w:cs="Times New Roman"/>
          <w:noProof/>
          <w:szCs w:val="24"/>
        </w:rPr>
        <w:t>.</w:t>
      </w:r>
    </w:p>
    <w:p w14:paraId="125CC4C8"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Omotoso KO, Dada AD, Adelowo CM, et al. (2012) Linking Innovations with Productivity in a Nigeria Banking Firm: What roles for ICT? </w:t>
      </w:r>
      <w:r w:rsidRPr="00CE30AA">
        <w:rPr>
          <w:rFonts w:ascii="Garamond" w:hAnsi="Garamond" w:cs="Times New Roman"/>
          <w:i/>
          <w:iCs/>
          <w:noProof/>
          <w:szCs w:val="24"/>
        </w:rPr>
        <w:t>Management</w:t>
      </w:r>
      <w:r w:rsidRPr="00CE30AA">
        <w:rPr>
          <w:rFonts w:ascii="Garamond" w:hAnsi="Garamond" w:cs="Times New Roman"/>
          <w:noProof/>
          <w:szCs w:val="24"/>
        </w:rPr>
        <w:t xml:space="preserve"> 2(5): 204–213. DOI: 10.5923/j.mm.20120205.09.</w:t>
      </w:r>
    </w:p>
    <w:p w14:paraId="0BF5F2A5"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Onyia OP and Tagg SK (2011) Effects of demographic factors on bank customers’ attitudes and intention toward Internet banking adoption in a major developing African country. </w:t>
      </w:r>
      <w:r w:rsidRPr="00CE30AA">
        <w:rPr>
          <w:rFonts w:ascii="Garamond" w:hAnsi="Garamond" w:cs="Times New Roman"/>
          <w:i/>
          <w:iCs/>
          <w:noProof/>
          <w:szCs w:val="24"/>
        </w:rPr>
        <w:t>Journal of Financial Services Marketing</w:t>
      </w:r>
      <w:r w:rsidRPr="00CE30AA">
        <w:rPr>
          <w:rFonts w:ascii="Garamond" w:hAnsi="Garamond" w:cs="Times New Roman"/>
          <w:noProof/>
          <w:szCs w:val="24"/>
        </w:rPr>
        <w:t xml:space="preserve"> 16(3–4). Palgrave Macmillan UK: 294–315. DOI: 10.1057/fsm.2011.28.</w:t>
      </w:r>
    </w:p>
    <w:p w14:paraId="756A4A14"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Pallant J (2016) </w:t>
      </w:r>
      <w:r w:rsidRPr="00CE30AA">
        <w:rPr>
          <w:rFonts w:ascii="Garamond" w:hAnsi="Garamond" w:cs="Times New Roman"/>
          <w:i/>
          <w:iCs/>
          <w:noProof/>
          <w:szCs w:val="24"/>
        </w:rPr>
        <w:t>SPSS survival manual: a step by step guide to data analysis using IBM SPSS</w:t>
      </w:r>
      <w:r w:rsidRPr="00CE30AA">
        <w:rPr>
          <w:rFonts w:ascii="Garamond" w:hAnsi="Garamond" w:cs="Times New Roman"/>
          <w:noProof/>
          <w:szCs w:val="24"/>
        </w:rPr>
        <w:t>. 6th ed. New York, NY: McGraw-Hill Education.</w:t>
      </w:r>
    </w:p>
    <w:p w14:paraId="09A8CC9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Pappas IO, Kourouthanassis PE, Giannakos MN, et al. (2014) Shiny happy people buying: the role of emotions on personalized e-shopping. </w:t>
      </w:r>
      <w:r w:rsidRPr="00CE30AA">
        <w:rPr>
          <w:rFonts w:ascii="Garamond" w:hAnsi="Garamond" w:cs="Times New Roman"/>
          <w:i/>
          <w:iCs/>
          <w:noProof/>
          <w:szCs w:val="24"/>
        </w:rPr>
        <w:t>Electronic Markets</w:t>
      </w:r>
      <w:r w:rsidRPr="00CE30AA">
        <w:rPr>
          <w:rFonts w:ascii="Garamond" w:hAnsi="Garamond" w:cs="Times New Roman"/>
          <w:noProof/>
          <w:szCs w:val="24"/>
        </w:rPr>
        <w:t xml:space="preserve"> 24(3): 193–206. DOI: 10.1007/s12525-014-0153-y.</w:t>
      </w:r>
    </w:p>
    <w:p w14:paraId="2BBC8E59"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Park J, Yang S and Lehto X (2007) Adoption of Mobile Technologies for Chinese Consumers. </w:t>
      </w:r>
      <w:r w:rsidRPr="00CE30AA">
        <w:rPr>
          <w:rFonts w:ascii="Garamond" w:hAnsi="Garamond" w:cs="Times New Roman"/>
          <w:i/>
          <w:iCs/>
          <w:noProof/>
          <w:szCs w:val="24"/>
        </w:rPr>
        <w:t>Journal of Electronic Commerce Research</w:t>
      </w:r>
      <w:r w:rsidRPr="00CE30AA">
        <w:rPr>
          <w:rFonts w:ascii="Garamond" w:hAnsi="Garamond" w:cs="Times New Roman"/>
          <w:noProof/>
          <w:szCs w:val="24"/>
        </w:rPr>
        <w:t xml:space="preserve"> 8(3): 196–206. DOI: 10.1.1.92.2520.</w:t>
      </w:r>
    </w:p>
    <w:p w14:paraId="7BADC498"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Petersen F, Baker A, Pather S, et al. (2020) </w:t>
      </w:r>
      <w:r w:rsidRPr="00CE30AA">
        <w:rPr>
          <w:rFonts w:ascii="Garamond" w:hAnsi="Garamond" w:cs="Times New Roman"/>
          <w:i/>
          <w:iCs/>
          <w:noProof/>
          <w:szCs w:val="24"/>
        </w:rPr>
        <w:t>Impact of Socio-Demographic Factors on the Acceptance of Information Communication and Technology (ICT) for Diabetes Self-care</w:t>
      </w:r>
      <w:r w:rsidRPr="00CE30AA">
        <w:rPr>
          <w:rFonts w:ascii="Garamond" w:hAnsi="Garamond" w:cs="Times New Roman"/>
          <w:noProof/>
          <w:szCs w:val="24"/>
        </w:rPr>
        <w:t xml:space="preserve">. </w:t>
      </w:r>
      <w:r w:rsidRPr="00CE30AA">
        <w:rPr>
          <w:rFonts w:ascii="Garamond" w:hAnsi="Garamond" w:cs="Times New Roman"/>
          <w:i/>
          <w:iCs/>
          <w:noProof/>
          <w:szCs w:val="24"/>
        </w:rPr>
        <w:t>Lecture Notes in Computer Science (including subseries Lecture Notes in Artificial Intelligence and Lecture Notes in Bioinformatics)</w:t>
      </w:r>
      <w:r w:rsidRPr="00CE30AA">
        <w:rPr>
          <w:rFonts w:ascii="Garamond" w:hAnsi="Garamond" w:cs="Times New Roman"/>
          <w:noProof/>
          <w:szCs w:val="24"/>
        </w:rPr>
        <w:t>. Springer International Publishing. DOI: 10.1007/978-3-030-45002-1_7.</w:t>
      </w:r>
    </w:p>
    <w:p w14:paraId="545BFA5F"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Prenaj B (2017) Online and Mobile Banking Usage</w:t>
      </w:r>
      <w:r w:rsidRPr="00CE30AA">
        <w:rPr>
          <w:rFonts w:ascii="Times New Roman" w:hAnsi="Times New Roman" w:cs="Times New Roman"/>
          <w:noProof/>
          <w:szCs w:val="24"/>
        </w:rPr>
        <w:t> </w:t>
      </w:r>
      <w:r w:rsidRPr="00CE30AA">
        <w:rPr>
          <w:rFonts w:ascii="Garamond" w:hAnsi="Garamond" w:cs="Times New Roman"/>
          <w:noProof/>
          <w:szCs w:val="24"/>
        </w:rPr>
        <w:t>: The Effects of E-skills and Personal Online and Mobile Banking Usage</w:t>
      </w:r>
      <w:r w:rsidRPr="00CE30AA">
        <w:rPr>
          <w:rFonts w:ascii="Times New Roman" w:hAnsi="Times New Roman" w:cs="Times New Roman"/>
          <w:noProof/>
          <w:szCs w:val="24"/>
        </w:rPr>
        <w:t> </w:t>
      </w:r>
      <w:r w:rsidRPr="00CE30AA">
        <w:rPr>
          <w:rFonts w:ascii="Garamond" w:hAnsi="Garamond" w:cs="Times New Roman"/>
          <w:noProof/>
          <w:szCs w:val="24"/>
        </w:rPr>
        <w:t xml:space="preserve">: The Effects of E-skills and Personal Innovativeness. In: </w:t>
      </w:r>
      <w:r w:rsidRPr="00CE30AA">
        <w:rPr>
          <w:rFonts w:ascii="Garamond" w:hAnsi="Garamond" w:cs="Times New Roman"/>
          <w:i/>
          <w:iCs/>
          <w:noProof/>
          <w:szCs w:val="24"/>
        </w:rPr>
        <w:t>Balkan Economic Review</w:t>
      </w:r>
      <w:r w:rsidRPr="00CE30AA">
        <w:rPr>
          <w:rFonts w:ascii="Garamond" w:hAnsi="Garamond" w:cs="Times New Roman"/>
          <w:noProof/>
          <w:szCs w:val="24"/>
        </w:rPr>
        <w:t>, 2017, p. 16.</w:t>
      </w:r>
    </w:p>
    <w:p w14:paraId="67A0F1CA"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Ramavhona TC and Mokwena S (2016) Factors influencing Internet banking adoption in South African rural areas. </w:t>
      </w:r>
      <w:r w:rsidRPr="00CE30AA">
        <w:rPr>
          <w:rFonts w:ascii="Garamond" w:hAnsi="Garamond" w:cs="Times New Roman"/>
          <w:i/>
          <w:iCs/>
          <w:noProof/>
          <w:szCs w:val="24"/>
        </w:rPr>
        <w:t>SA Journal of Information Management</w:t>
      </w:r>
      <w:r w:rsidRPr="00CE30AA">
        <w:rPr>
          <w:rFonts w:ascii="Garamond" w:hAnsi="Garamond" w:cs="Times New Roman"/>
          <w:noProof/>
          <w:szCs w:val="24"/>
        </w:rPr>
        <w:t xml:space="preserve"> 18(2): 1443–1455. DOI: 10.4102/sajim.v18i2.642.</w:t>
      </w:r>
    </w:p>
    <w:p w14:paraId="2468C61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Ringle CM, Wende S and Becker J-M (2015) SmartPLS. 3.0. Boenningstedt: SmartPLS GmbH. Available at: http://www.smartpls.com.</w:t>
      </w:r>
    </w:p>
    <w:p w14:paraId="62838BC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Riquelme HE and Rios RE (2010) The moderating effect of gender in the adoption of mobile banking. </w:t>
      </w:r>
      <w:r w:rsidRPr="00CE30AA">
        <w:rPr>
          <w:rFonts w:ascii="Garamond" w:hAnsi="Garamond" w:cs="Times New Roman"/>
          <w:i/>
          <w:iCs/>
          <w:noProof/>
          <w:szCs w:val="24"/>
        </w:rPr>
        <w:t>International Journal of Bank Marketing</w:t>
      </w:r>
      <w:r w:rsidRPr="00CE30AA">
        <w:rPr>
          <w:rFonts w:ascii="Garamond" w:hAnsi="Garamond" w:cs="Times New Roman"/>
          <w:noProof/>
          <w:szCs w:val="24"/>
        </w:rPr>
        <w:t xml:space="preserve"> 28(5): 328–341. DOI: 10.1108/02652321011064872.</w:t>
      </w:r>
    </w:p>
    <w:p w14:paraId="6B958EE7"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Rogers EM (1995) </w:t>
      </w:r>
      <w:r w:rsidRPr="00CE30AA">
        <w:rPr>
          <w:rFonts w:ascii="Garamond" w:hAnsi="Garamond" w:cs="Times New Roman"/>
          <w:i/>
          <w:iCs/>
          <w:noProof/>
          <w:szCs w:val="24"/>
        </w:rPr>
        <w:t>Diffusion of innovations</w:t>
      </w:r>
      <w:r w:rsidRPr="00CE30AA">
        <w:rPr>
          <w:rFonts w:ascii="Garamond" w:hAnsi="Garamond" w:cs="Times New Roman"/>
          <w:noProof/>
          <w:szCs w:val="24"/>
        </w:rPr>
        <w:t>. 3rd ed. New York: The Free Press.</w:t>
      </w:r>
    </w:p>
    <w:p w14:paraId="639836AA"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Senou MM, Ouattara W and Acclassato Houensou D (2019) Financial inclusion dynamics in WAEMU: Was digital technology the missing piece? </w:t>
      </w:r>
      <w:r w:rsidRPr="00CE30AA">
        <w:rPr>
          <w:rFonts w:ascii="Garamond" w:hAnsi="Garamond" w:cs="Times New Roman"/>
          <w:i/>
          <w:iCs/>
          <w:noProof/>
          <w:szCs w:val="24"/>
        </w:rPr>
        <w:t>Cogent Economics and Finance</w:t>
      </w:r>
      <w:r w:rsidRPr="00CE30AA">
        <w:rPr>
          <w:rFonts w:ascii="Garamond" w:hAnsi="Garamond" w:cs="Times New Roman"/>
          <w:noProof/>
          <w:szCs w:val="24"/>
        </w:rPr>
        <w:t xml:space="preserve"> 7(1). Cogent: 1–16. DOI: 10.1080/23322039.2019.1665432.</w:t>
      </w:r>
    </w:p>
    <w:p w14:paraId="6176169C"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Shaw B and Kesharwani A (2019) Moderating Effect of Smartphone Addiction on Mobile Wallet Payment Adoption. </w:t>
      </w:r>
      <w:r w:rsidRPr="00CE30AA">
        <w:rPr>
          <w:rFonts w:ascii="Garamond" w:hAnsi="Garamond" w:cs="Times New Roman"/>
          <w:i/>
          <w:iCs/>
          <w:noProof/>
          <w:szCs w:val="24"/>
        </w:rPr>
        <w:t>Journal of Internet Commerce</w:t>
      </w:r>
      <w:r w:rsidRPr="00CE30AA">
        <w:rPr>
          <w:rFonts w:ascii="Garamond" w:hAnsi="Garamond" w:cs="Times New Roman"/>
          <w:noProof/>
          <w:szCs w:val="24"/>
        </w:rPr>
        <w:t xml:space="preserve"> 18(3). Routledge: 291–309. DOI: 10.1080/15332861.2019.1620045.</w:t>
      </w:r>
    </w:p>
    <w:p w14:paraId="0A4E4C5F"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Siregar JJ, Wardaya Puspokusumo RAA and Rahayu A (2017) Analysis of Affecting Factors Technology Acceptance Model in the Application of Knowledge Management for Small Medium Enterprises in Industry Creative. In: </w:t>
      </w:r>
      <w:r w:rsidRPr="00CE30AA">
        <w:rPr>
          <w:rFonts w:ascii="Garamond" w:hAnsi="Garamond" w:cs="Times New Roman"/>
          <w:i/>
          <w:iCs/>
          <w:noProof/>
          <w:szCs w:val="24"/>
        </w:rPr>
        <w:t>Procedia Computer Science</w:t>
      </w:r>
      <w:r w:rsidRPr="00CE30AA">
        <w:rPr>
          <w:rFonts w:ascii="Garamond" w:hAnsi="Garamond" w:cs="Times New Roman"/>
          <w:noProof/>
          <w:szCs w:val="24"/>
        </w:rPr>
        <w:t>, 2017, pp. 500–508. Elsevier B.V. DOI: 10.1016/j.procs.2017.10.075.</w:t>
      </w:r>
    </w:p>
    <w:p w14:paraId="78D488FD"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Steimer T (2002) The biology of fear- and anxiety-related behaviors. </w:t>
      </w:r>
      <w:r w:rsidRPr="00CE30AA">
        <w:rPr>
          <w:rFonts w:ascii="Garamond" w:hAnsi="Garamond" w:cs="Times New Roman"/>
          <w:i/>
          <w:iCs/>
          <w:noProof/>
          <w:szCs w:val="24"/>
        </w:rPr>
        <w:t>Dialogues in Clinical Neuroscience</w:t>
      </w:r>
      <w:r w:rsidRPr="00CE30AA">
        <w:rPr>
          <w:rFonts w:ascii="Garamond" w:hAnsi="Garamond" w:cs="Times New Roman"/>
          <w:noProof/>
          <w:szCs w:val="24"/>
        </w:rPr>
        <w:t xml:space="preserve"> 4(3): 231–249.</w:t>
      </w:r>
    </w:p>
    <w:p w14:paraId="0C983FC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Sternad Zabukovšek S, Picek R, Bobek S, et al. (2019) Technology acceptance model based study of students’ attitudes toward use of enterprise resource planning solutions. </w:t>
      </w:r>
      <w:r w:rsidRPr="00CE30AA">
        <w:rPr>
          <w:rFonts w:ascii="Garamond" w:hAnsi="Garamond" w:cs="Times New Roman"/>
          <w:i/>
          <w:iCs/>
          <w:noProof/>
          <w:szCs w:val="24"/>
        </w:rPr>
        <w:t>Journal of information and organizational sciences</w:t>
      </w:r>
      <w:r w:rsidRPr="00CE30AA">
        <w:rPr>
          <w:rFonts w:ascii="Garamond" w:hAnsi="Garamond" w:cs="Times New Roman"/>
          <w:noProof/>
          <w:szCs w:val="24"/>
        </w:rPr>
        <w:t xml:space="preserve"> 43(1). University of Zagreb, Faculty of Organization and Informatics: 49–71. DOI: 10.31341/jios.43.1.4.</w:t>
      </w:r>
    </w:p>
    <w:p w14:paraId="47D2B40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Sun H and Zhang P (2006) The role of moderating factors in user technology acceptance. </w:t>
      </w:r>
      <w:r w:rsidRPr="00CE30AA">
        <w:rPr>
          <w:rFonts w:ascii="Garamond" w:hAnsi="Garamond" w:cs="Times New Roman"/>
          <w:i/>
          <w:iCs/>
          <w:noProof/>
          <w:szCs w:val="24"/>
        </w:rPr>
        <w:t>International Journal of Human-Computer Studies</w:t>
      </w:r>
      <w:r w:rsidRPr="00CE30AA">
        <w:rPr>
          <w:rFonts w:ascii="Garamond" w:hAnsi="Garamond" w:cs="Times New Roman"/>
          <w:noProof/>
          <w:szCs w:val="24"/>
        </w:rPr>
        <w:t xml:space="preserve"> 64(2): 53–78. DOI: 10.1016/j.ijhcs.2005.04.013.</w:t>
      </w:r>
    </w:p>
    <w:p w14:paraId="7951D72B"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Tabetando R and Matsumoto T (2020) Mobile money, risk sharing, and educational investment: Panel evidence from rural Uganda. </w:t>
      </w:r>
      <w:r w:rsidRPr="00CE30AA">
        <w:rPr>
          <w:rFonts w:ascii="Garamond" w:hAnsi="Garamond" w:cs="Times New Roman"/>
          <w:i/>
          <w:iCs/>
          <w:noProof/>
          <w:szCs w:val="24"/>
        </w:rPr>
        <w:t>Review of Development Economics</w:t>
      </w:r>
      <w:r w:rsidRPr="00CE30AA">
        <w:rPr>
          <w:rFonts w:ascii="Garamond" w:hAnsi="Garamond" w:cs="Times New Roman"/>
          <w:noProof/>
          <w:szCs w:val="24"/>
        </w:rPr>
        <w:t xml:space="preserve"> 24(1). Blackwell Publishing Ltd: 84–105. DOI: 10.1111/rode.12644.</w:t>
      </w:r>
    </w:p>
    <w:p w14:paraId="53B89045"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Taylor S and Todd PA (1995) Understanding information technology usage: A test of competing models. </w:t>
      </w:r>
      <w:r w:rsidRPr="00CE30AA">
        <w:rPr>
          <w:rFonts w:ascii="Garamond" w:hAnsi="Garamond" w:cs="Times New Roman"/>
          <w:i/>
          <w:iCs/>
          <w:noProof/>
          <w:szCs w:val="24"/>
        </w:rPr>
        <w:t>Information Systems Research</w:t>
      </w:r>
      <w:r w:rsidRPr="00CE30AA">
        <w:rPr>
          <w:rFonts w:ascii="Garamond" w:hAnsi="Garamond" w:cs="Times New Roman"/>
          <w:noProof/>
          <w:szCs w:val="24"/>
        </w:rPr>
        <w:t xml:space="preserve"> 6(2). INFORMS Inst.for Operations Res.and the Management Sciences: 144–176. DOI: 10.1287/isre.6.2.144.</w:t>
      </w:r>
    </w:p>
    <w:p w14:paraId="6A83867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Thompson RL, Higgins CA and Howell JM (1991) Personal computing: toward a conceptual model of utilization. </w:t>
      </w:r>
      <w:r w:rsidRPr="00CE30AA">
        <w:rPr>
          <w:rFonts w:ascii="Garamond" w:hAnsi="Garamond" w:cs="Times New Roman"/>
          <w:i/>
          <w:iCs/>
          <w:noProof/>
          <w:szCs w:val="24"/>
        </w:rPr>
        <w:t>MIS quarterly</w:t>
      </w:r>
      <w:r w:rsidRPr="00CE30AA">
        <w:rPr>
          <w:rFonts w:ascii="Garamond" w:hAnsi="Garamond" w:cs="Times New Roman"/>
          <w:noProof/>
          <w:szCs w:val="24"/>
        </w:rPr>
        <w:t xml:space="preserve"> 15(1): 125–143. DOI: 10.2307/249443.</w:t>
      </w:r>
    </w:p>
    <w:p w14:paraId="52C9CC6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Todman J (2000) Gender differences in computer anxiety among university entrants since 1992. </w:t>
      </w:r>
      <w:r w:rsidRPr="00CE30AA">
        <w:rPr>
          <w:rFonts w:ascii="Garamond" w:hAnsi="Garamond" w:cs="Times New Roman"/>
          <w:i/>
          <w:iCs/>
          <w:noProof/>
          <w:szCs w:val="24"/>
        </w:rPr>
        <w:t>Computers and Education</w:t>
      </w:r>
      <w:r w:rsidRPr="00CE30AA">
        <w:rPr>
          <w:rFonts w:ascii="Garamond" w:hAnsi="Garamond" w:cs="Times New Roman"/>
          <w:noProof/>
          <w:szCs w:val="24"/>
        </w:rPr>
        <w:t xml:space="preserve"> 34(1): 27–35. DOI: 10.1016/S0360-1315(99)00036-6.</w:t>
      </w:r>
    </w:p>
    <w:p w14:paraId="22B2A6F1"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Tosheva E and Dimeski B (2019) The competition policy in western balkan countries: How far they have come on the EU accession “Road?” </w:t>
      </w:r>
      <w:r w:rsidRPr="00CE30AA">
        <w:rPr>
          <w:rFonts w:ascii="Garamond" w:hAnsi="Garamond" w:cs="Times New Roman"/>
          <w:i/>
          <w:iCs/>
          <w:noProof/>
          <w:szCs w:val="24"/>
        </w:rPr>
        <w:t>Balkan Social Science Review</w:t>
      </w:r>
      <w:r w:rsidRPr="00CE30AA">
        <w:rPr>
          <w:rFonts w:ascii="Garamond" w:hAnsi="Garamond" w:cs="Times New Roman"/>
          <w:noProof/>
          <w:szCs w:val="24"/>
        </w:rPr>
        <w:t xml:space="preserve"> 14(14): 31–55.</w:t>
      </w:r>
    </w:p>
    <w:p w14:paraId="3ABB2F23"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Vekiri I and Chronaki A (2008) Gender issues in technology use: Perceived social support, computer self-efficacy and value beliefs, and computer use beyond school. </w:t>
      </w:r>
      <w:r w:rsidRPr="00CE30AA">
        <w:rPr>
          <w:rFonts w:ascii="Garamond" w:hAnsi="Garamond" w:cs="Times New Roman"/>
          <w:i/>
          <w:iCs/>
          <w:noProof/>
          <w:szCs w:val="24"/>
        </w:rPr>
        <w:t>Computers and Education</w:t>
      </w:r>
      <w:r w:rsidRPr="00CE30AA">
        <w:rPr>
          <w:rFonts w:ascii="Garamond" w:hAnsi="Garamond" w:cs="Times New Roman"/>
          <w:noProof/>
          <w:szCs w:val="24"/>
        </w:rPr>
        <w:t xml:space="preserve"> 51(3): 1392–1404. DOI: 10.1016/j.compedu.2008.01.003.</w:t>
      </w:r>
    </w:p>
    <w:p w14:paraId="3A0C2569"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Venkatesh V, Morris MG, Davis GB, et al. (2003) User Acceptance of Information Technology: Toward a Unified View. </w:t>
      </w:r>
      <w:r w:rsidRPr="00CE30AA">
        <w:rPr>
          <w:rFonts w:ascii="Garamond" w:hAnsi="Garamond" w:cs="Times New Roman"/>
          <w:i/>
          <w:iCs/>
          <w:noProof/>
          <w:szCs w:val="24"/>
        </w:rPr>
        <w:t>MIS Quarterly</w:t>
      </w:r>
      <w:r w:rsidRPr="00CE30AA">
        <w:rPr>
          <w:rFonts w:ascii="Garamond" w:hAnsi="Garamond" w:cs="Times New Roman"/>
          <w:noProof/>
          <w:szCs w:val="24"/>
        </w:rPr>
        <w:t xml:space="preserve"> 27(3). Management Information Systems Research Center, University of Minnesota: 425. DOI: 10.2307/30036540.</w:t>
      </w:r>
    </w:p>
    <w:p w14:paraId="7F0402DC"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Venkatesh V, Thong JYL and Xu X (2012) Consumer Acceptance and Use of Information Technology: Extending the Unified Theory of Acceptance and Use of Technology. </w:t>
      </w:r>
      <w:r w:rsidRPr="00CE30AA">
        <w:rPr>
          <w:rFonts w:ascii="Garamond" w:hAnsi="Garamond" w:cs="Times New Roman"/>
          <w:i/>
          <w:iCs/>
          <w:noProof/>
          <w:szCs w:val="24"/>
        </w:rPr>
        <w:t>MIS Quarterly</w:t>
      </w:r>
      <w:r w:rsidRPr="00CE30AA">
        <w:rPr>
          <w:rFonts w:ascii="Garamond" w:hAnsi="Garamond" w:cs="Times New Roman"/>
          <w:noProof/>
          <w:szCs w:val="24"/>
        </w:rPr>
        <w:t xml:space="preserve"> 36(1): 157. DOI: 10.2307/41410412.</w:t>
      </w:r>
    </w:p>
    <w:p w14:paraId="57EEAA55"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Vesnic-Alujevic L (2012) </w:t>
      </w:r>
      <w:r w:rsidRPr="00CE30AA">
        <w:rPr>
          <w:rFonts w:ascii="Garamond" w:hAnsi="Garamond" w:cs="Times New Roman"/>
          <w:i/>
          <w:iCs/>
          <w:noProof/>
          <w:szCs w:val="24"/>
        </w:rPr>
        <w:t>European Integration of Western Balkans: From Reconciliation To European Future</w:t>
      </w:r>
      <w:r w:rsidRPr="00CE30AA">
        <w:rPr>
          <w:rFonts w:ascii="Garamond" w:hAnsi="Garamond" w:cs="Times New Roman"/>
          <w:noProof/>
          <w:szCs w:val="24"/>
        </w:rPr>
        <w:t>. Brussels.</w:t>
      </w:r>
    </w:p>
    <w:p w14:paraId="7A0954D2"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Vokshi MC, Dedaj B, Ben Youssef A, et al. (2019) Mobile phone penetration and its impact on inequality in the Western Balkan countries. </w:t>
      </w:r>
      <w:r w:rsidRPr="00CE30AA">
        <w:rPr>
          <w:rFonts w:ascii="Garamond" w:hAnsi="Garamond" w:cs="Times New Roman"/>
          <w:i/>
          <w:iCs/>
          <w:noProof/>
          <w:szCs w:val="24"/>
        </w:rPr>
        <w:t>Zagreb International Review of Economics and Business</w:t>
      </w:r>
      <w:r w:rsidRPr="00CE30AA">
        <w:rPr>
          <w:rFonts w:ascii="Garamond" w:hAnsi="Garamond" w:cs="Times New Roman"/>
          <w:noProof/>
          <w:szCs w:val="24"/>
        </w:rPr>
        <w:t xml:space="preserve"> 22(2): 111–131. DOI: 10.2478/zireb-2019-0023.</w:t>
      </w:r>
    </w:p>
    <w:p w14:paraId="5307E33D"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Vrček N and Klačmer M (2014) Intention to use and variables influencing intention to use electronic government services among citizens. </w:t>
      </w:r>
      <w:r w:rsidRPr="00CE30AA">
        <w:rPr>
          <w:rFonts w:ascii="Garamond" w:hAnsi="Garamond" w:cs="Times New Roman"/>
          <w:i/>
          <w:iCs/>
          <w:noProof/>
          <w:szCs w:val="24"/>
        </w:rPr>
        <w:t>Journal of Information and Organizational Sciences</w:t>
      </w:r>
      <w:r w:rsidRPr="00CE30AA">
        <w:rPr>
          <w:rFonts w:ascii="Garamond" w:hAnsi="Garamond" w:cs="Times New Roman"/>
          <w:noProof/>
          <w:szCs w:val="24"/>
        </w:rPr>
        <w:t xml:space="preserve"> 38(1). University of Zagreb: 55–69.</w:t>
      </w:r>
    </w:p>
    <w:p w14:paraId="70A58B2D"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Warsame MH and Ireri EM (2018) Moderation effect on mobile microfinance services in Kenya:An extended UTAUT model. </w:t>
      </w:r>
      <w:r w:rsidRPr="00CE30AA">
        <w:rPr>
          <w:rFonts w:ascii="Garamond" w:hAnsi="Garamond" w:cs="Times New Roman"/>
          <w:i/>
          <w:iCs/>
          <w:noProof/>
          <w:szCs w:val="24"/>
        </w:rPr>
        <w:t>Journal of Behavioral and Experimental Finance</w:t>
      </w:r>
      <w:r w:rsidRPr="00CE30AA">
        <w:rPr>
          <w:rFonts w:ascii="Garamond" w:hAnsi="Garamond" w:cs="Times New Roman"/>
          <w:noProof/>
          <w:szCs w:val="24"/>
        </w:rPr>
        <w:t xml:space="preserve"> 18. Elsevier B.V.: 67–75. DOI: 10.1016/j.jbef.2018.01.008.</w:t>
      </w:r>
    </w:p>
    <w:p w14:paraId="19D92C65"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cs="Times New Roman"/>
          <w:noProof/>
          <w:szCs w:val="24"/>
        </w:rPr>
      </w:pPr>
      <w:r w:rsidRPr="00CE30AA">
        <w:rPr>
          <w:rFonts w:ascii="Garamond" w:hAnsi="Garamond" w:cs="Times New Roman"/>
          <w:noProof/>
          <w:szCs w:val="24"/>
        </w:rPr>
        <w:t xml:space="preserve">Wekeza SV and Sibanda M (2019) Factors influencing consumer purchase intentions of organically grown products in shelly centre, port shepstone, South Africa. </w:t>
      </w:r>
      <w:r w:rsidRPr="00CE30AA">
        <w:rPr>
          <w:rFonts w:ascii="Garamond" w:hAnsi="Garamond" w:cs="Times New Roman"/>
          <w:i/>
          <w:iCs/>
          <w:noProof/>
          <w:szCs w:val="24"/>
        </w:rPr>
        <w:t>International Journal of Environmental Research and Public Health</w:t>
      </w:r>
      <w:r w:rsidRPr="00CE30AA">
        <w:rPr>
          <w:rFonts w:ascii="Garamond" w:hAnsi="Garamond" w:cs="Times New Roman"/>
          <w:noProof/>
          <w:szCs w:val="24"/>
        </w:rPr>
        <w:t xml:space="preserve"> 16(6): 26. DOI: 10.3390/ijerph16060956.</w:t>
      </w:r>
    </w:p>
    <w:p w14:paraId="3B88D9A9" w14:textId="77777777" w:rsidR="00CE30AA" w:rsidRPr="00CE30AA" w:rsidRDefault="00CE30AA" w:rsidP="00CE30AA">
      <w:pPr>
        <w:widowControl w:val="0"/>
        <w:autoSpaceDE w:val="0"/>
        <w:autoSpaceDN w:val="0"/>
        <w:adjustRightInd w:val="0"/>
        <w:spacing w:before="0" w:line="240" w:lineRule="auto"/>
        <w:ind w:left="480" w:hanging="480"/>
        <w:rPr>
          <w:rFonts w:ascii="Garamond" w:hAnsi="Garamond"/>
          <w:noProof/>
        </w:rPr>
      </w:pPr>
      <w:r w:rsidRPr="00CE30AA">
        <w:rPr>
          <w:rFonts w:ascii="Garamond" w:hAnsi="Garamond" w:cs="Times New Roman"/>
          <w:noProof/>
          <w:szCs w:val="24"/>
        </w:rPr>
        <w:t xml:space="preserve">Zhang L, Nyheim P and S. Mattila A (2014) The effect of power and gender on technology acceptance. </w:t>
      </w:r>
      <w:r w:rsidRPr="00CE30AA">
        <w:rPr>
          <w:rFonts w:ascii="Garamond" w:hAnsi="Garamond" w:cs="Times New Roman"/>
          <w:i/>
          <w:iCs/>
          <w:noProof/>
          <w:szCs w:val="24"/>
        </w:rPr>
        <w:t>Journal of Hospitality and Tourism Technology</w:t>
      </w:r>
      <w:r w:rsidRPr="00CE30AA">
        <w:rPr>
          <w:rFonts w:ascii="Garamond" w:hAnsi="Garamond" w:cs="Times New Roman"/>
          <w:noProof/>
          <w:szCs w:val="24"/>
        </w:rPr>
        <w:t xml:space="preserve"> 5(3): 299–314. DOI: 10.1108/JHTT-03-2014-0008.</w:t>
      </w:r>
    </w:p>
    <w:p w14:paraId="2C1A4D23" w14:textId="77777777" w:rsidR="00916108" w:rsidRPr="00916108" w:rsidRDefault="007C5CB6" w:rsidP="00916108">
      <w:pPr>
        <w:rPr>
          <w:lang w:val="en-US"/>
        </w:rPr>
      </w:pPr>
      <w:r>
        <w:rPr>
          <w:lang w:val="en-US"/>
        </w:rPr>
        <w:fldChar w:fldCharType="end"/>
      </w:r>
    </w:p>
    <w:sectPr w:rsidR="00916108" w:rsidRPr="0091610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874004"/>
    <w:multiLevelType w:val="multilevel"/>
    <w:tmpl w:val="0809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zMysDQyt7AEsSxMlHSUglOLizPz80AKTMxqAX9BJ1UtAAAA"/>
  </w:docVars>
  <w:rsids>
    <w:rsidRoot w:val="00DF3D12"/>
    <w:rsid w:val="00002718"/>
    <w:rsid w:val="00003D01"/>
    <w:rsid w:val="00005592"/>
    <w:rsid w:val="00006C27"/>
    <w:rsid w:val="00015612"/>
    <w:rsid w:val="00022759"/>
    <w:rsid w:val="00030A34"/>
    <w:rsid w:val="0003321D"/>
    <w:rsid w:val="00035B43"/>
    <w:rsid w:val="000375A4"/>
    <w:rsid w:val="00040F27"/>
    <w:rsid w:val="000446D0"/>
    <w:rsid w:val="00046ED9"/>
    <w:rsid w:val="000609F5"/>
    <w:rsid w:val="00071AE3"/>
    <w:rsid w:val="00084F96"/>
    <w:rsid w:val="0008531E"/>
    <w:rsid w:val="000879BE"/>
    <w:rsid w:val="00094A31"/>
    <w:rsid w:val="000B7275"/>
    <w:rsid w:val="000C54B6"/>
    <w:rsid w:val="000E70DE"/>
    <w:rsid w:val="000F1F57"/>
    <w:rsid w:val="000F2E1B"/>
    <w:rsid w:val="000F407D"/>
    <w:rsid w:val="000F5792"/>
    <w:rsid w:val="000F5B15"/>
    <w:rsid w:val="00101684"/>
    <w:rsid w:val="00102E07"/>
    <w:rsid w:val="00107302"/>
    <w:rsid w:val="00107EAA"/>
    <w:rsid w:val="00112453"/>
    <w:rsid w:val="00115204"/>
    <w:rsid w:val="00115CA3"/>
    <w:rsid w:val="00117492"/>
    <w:rsid w:val="00120D99"/>
    <w:rsid w:val="00121211"/>
    <w:rsid w:val="00133D21"/>
    <w:rsid w:val="00136FDE"/>
    <w:rsid w:val="001376C7"/>
    <w:rsid w:val="00155D7B"/>
    <w:rsid w:val="00164371"/>
    <w:rsid w:val="00164E5E"/>
    <w:rsid w:val="001669BC"/>
    <w:rsid w:val="00170EDC"/>
    <w:rsid w:val="00174040"/>
    <w:rsid w:val="0017619F"/>
    <w:rsid w:val="001762FA"/>
    <w:rsid w:val="00180025"/>
    <w:rsid w:val="00191ECF"/>
    <w:rsid w:val="001A5066"/>
    <w:rsid w:val="001A6D80"/>
    <w:rsid w:val="001B05F5"/>
    <w:rsid w:val="001B132F"/>
    <w:rsid w:val="001B2E96"/>
    <w:rsid w:val="001B5054"/>
    <w:rsid w:val="001C4FA9"/>
    <w:rsid w:val="001D4663"/>
    <w:rsid w:val="001D5113"/>
    <w:rsid w:val="001E42FD"/>
    <w:rsid w:val="001F1B78"/>
    <w:rsid w:val="0020439A"/>
    <w:rsid w:val="0020477E"/>
    <w:rsid w:val="00217334"/>
    <w:rsid w:val="00233320"/>
    <w:rsid w:val="00240FBE"/>
    <w:rsid w:val="00247856"/>
    <w:rsid w:val="00251E20"/>
    <w:rsid w:val="002538FB"/>
    <w:rsid w:val="0026009A"/>
    <w:rsid w:val="0026034E"/>
    <w:rsid w:val="00266313"/>
    <w:rsid w:val="00273388"/>
    <w:rsid w:val="002769B9"/>
    <w:rsid w:val="00282BFD"/>
    <w:rsid w:val="002831B6"/>
    <w:rsid w:val="00285779"/>
    <w:rsid w:val="0028590F"/>
    <w:rsid w:val="002877A0"/>
    <w:rsid w:val="002947F7"/>
    <w:rsid w:val="002973FF"/>
    <w:rsid w:val="002A065A"/>
    <w:rsid w:val="002A1D61"/>
    <w:rsid w:val="002B4824"/>
    <w:rsid w:val="002B73B1"/>
    <w:rsid w:val="002C1FC0"/>
    <w:rsid w:val="002C2DAA"/>
    <w:rsid w:val="002C7C28"/>
    <w:rsid w:val="002D0350"/>
    <w:rsid w:val="002D10BA"/>
    <w:rsid w:val="002D66A0"/>
    <w:rsid w:val="002D6CE2"/>
    <w:rsid w:val="002E0D4E"/>
    <w:rsid w:val="002E128C"/>
    <w:rsid w:val="002F08DA"/>
    <w:rsid w:val="002F4328"/>
    <w:rsid w:val="00305C03"/>
    <w:rsid w:val="003121F7"/>
    <w:rsid w:val="00323095"/>
    <w:rsid w:val="003256EF"/>
    <w:rsid w:val="00327AE0"/>
    <w:rsid w:val="00330DD4"/>
    <w:rsid w:val="00330F8F"/>
    <w:rsid w:val="00332D59"/>
    <w:rsid w:val="00336D64"/>
    <w:rsid w:val="00337CC0"/>
    <w:rsid w:val="003400BF"/>
    <w:rsid w:val="00341545"/>
    <w:rsid w:val="0035358A"/>
    <w:rsid w:val="00355095"/>
    <w:rsid w:val="00362A86"/>
    <w:rsid w:val="0036406F"/>
    <w:rsid w:val="00364375"/>
    <w:rsid w:val="00370506"/>
    <w:rsid w:val="003763E3"/>
    <w:rsid w:val="00377478"/>
    <w:rsid w:val="003850A3"/>
    <w:rsid w:val="0039481B"/>
    <w:rsid w:val="00396EC9"/>
    <w:rsid w:val="003A0B75"/>
    <w:rsid w:val="003A3168"/>
    <w:rsid w:val="003A4251"/>
    <w:rsid w:val="003B2511"/>
    <w:rsid w:val="003C12FC"/>
    <w:rsid w:val="003C4E7F"/>
    <w:rsid w:val="003D3C53"/>
    <w:rsid w:val="003D598E"/>
    <w:rsid w:val="003E02AA"/>
    <w:rsid w:val="003E1A8B"/>
    <w:rsid w:val="003E7102"/>
    <w:rsid w:val="003F0F92"/>
    <w:rsid w:val="00411FC7"/>
    <w:rsid w:val="00416D4C"/>
    <w:rsid w:val="0042372C"/>
    <w:rsid w:val="0043430F"/>
    <w:rsid w:val="00435134"/>
    <w:rsid w:val="004404CD"/>
    <w:rsid w:val="004671F2"/>
    <w:rsid w:val="00470386"/>
    <w:rsid w:val="0047696C"/>
    <w:rsid w:val="004801C6"/>
    <w:rsid w:val="0048507A"/>
    <w:rsid w:val="00491516"/>
    <w:rsid w:val="00493864"/>
    <w:rsid w:val="00493FED"/>
    <w:rsid w:val="00494B84"/>
    <w:rsid w:val="00494E8C"/>
    <w:rsid w:val="004954EC"/>
    <w:rsid w:val="00496D1A"/>
    <w:rsid w:val="004974B5"/>
    <w:rsid w:val="004A16A5"/>
    <w:rsid w:val="004A1F8E"/>
    <w:rsid w:val="004B1CDF"/>
    <w:rsid w:val="004C03F2"/>
    <w:rsid w:val="004E11A2"/>
    <w:rsid w:val="004E128E"/>
    <w:rsid w:val="004E5972"/>
    <w:rsid w:val="005105A6"/>
    <w:rsid w:val="005154EC"/>
    <w:rsid w:val="0051565B"/>
    <w:rsid w:val="0051690A"/>
    <w:rsid w:val="00536BF0"/>
    <w:rsid w:val="00536C08"/>
    <w:rsid w:val="005521DD"/>
    <w:rsid w:val="005600FB"/>
    <w:rsid w:val="00566653"/>
    <w:rsid w:val="00566FA7"/>
    <w:rsid w:val="005711A9"/>
    <w:rsid w:val="00577047"/>
    <w:rsid w:val="00577B5D"/>
    <w:rsid w:val="00581827"/>
    <w:rsid w:val="0058384D"/>
    <w:rsid w:val="00584595"/>
    <w:rsid w:val="005860D3"/>
    <w:rsid w:val="00592C16"/>
    <w:rsid w:val="00592F5B"/>
    <w:rsid w:val="005A2AE1"/>
    <w:rsid w:val="005A5587"/>
    <w:rsid w:val="005A7F64"/>
    <w:rsid w:val="005C1F64"/>
    <w:rsid w:val="005C29BB"/>
    <w:rsid w:val="005C300A"/>
    <w:rsid w:val="005C6516"/>
    <w:rsid w:val="005C7488"/>
    <w:rsid w:val="005D00FD"/>
    <w:rsid w:val="005D2834"/>
    <w:rsid w:val="005E2EE7"/>
    <w:rsid w:val="005E391C"/>
    <w:rsid w:val="005F1A24"/>
    <w:rsid w:val="005F2355"/>
    <w:rsid w:val="005F6A92"/>
    <w:rsid w:val="005F7ADE"/>
    <w:rsid w:val="00605F32"/>
    <w:rsid w:val="00611DB7"/>
    <w:rsid w:val="006201E0"/>
    <w:rsid w:val="00620C0D"/>
    <w:rsid w:val="00623ACF"/>
    <w:rsid w:val="0062500B"/>
    <w:rsid w:val="00630F29"/>
    <w:rsid w:val="0063124A"/>
    <w:rsid w:val="00635830"/>
    <w:rsid w:val="0064452B"/>
    <w:rsid w:val="00663238"/>
    <w:rsid w:val="006648F3"/>
    <w:rsid w:val="00667AA1"/>
    <w:rsid w:val="006772ED"/>
    <w:rsid w:val="0068537C"/>
    <w:rsid w:val="00685532"/>
    <w:rsid w:val="00687E3F"/>
    <w:rsid w:val="0069075C"/>
    <w:rsid w:val="00690BBB"/>
    <w:rsid w:val="0069658F"/>
    <w:rsid w:val="006A018D"/>
    <w:rsid w:val="006A2163"/>
    <w:rsid w:val="006A57E5"/>
    <w:rsid w:val="006B2CB6"/>
    <w:rsid w:val="006B62C0"/>
    <w:rsid w:val="006C0B23"/>
    <w:rsid w:val="006C6756"/>
    <w:rsid w:val="006E3775"/>
    <w:rsid w:val="006E6871"/>
    <w:rsid w:val="006E7F70"/>
    <w:rsid w:val="00700E6B"/>
    <w:rsid w:val="00701747"/>
    <w:rsid w:val="00705791"/>
    <w:rsid w:val="0071328C"/>
    <w:rsid w:val="00714647"/>
    <w:rsid w:val="0072437E"/>
    <w:rsid w:val="00732CE6"/>
    <w:rsid w:val="00734D14"/>
    <w:rsid w:val="00736389"/>
    <w:rsid w:val="00751B80"/>
    <w:rsid w:val="0075274F"/>
    <w:rsid w:val="0075402A"/>
    <w:rsid w:val="00754479"/>
    <w:rsid w:val="0076031A"/>
    <w:rsid w:val="0076042E"/>
    <w:rsid w:val="00761FB3"/>
    <w:rsid w:val="0076322F"/>
    <w:rsid w:val="00764C25"/>
    <w:rsid w:val="007660A3"/>
    <w:rsid w:val="0077001C"/>
    <w:rsid w:val="00770F96"/>
    <w:rsid w:val="00771688"/>
    <w:rsid w:val="00774D3A"/>
    <w:rsid w:val="00776BA3"/>
    <w:rsid w:val="00781A99"/>
    <w:rsid w:val="007838FF"/>
    <w:rsid w:val="00783B1C"/>
    <w:rsid w:val="00785B52"/>
    <w:rsid w:val="007861F6"/>
    <w:rsid w:val="007955AD"/>
    <w:rsid w:val="007974C1"/>
    <w:rsid w:val="007A1105"/>
    <w:rsid w:val="007A436A"/>
    <w:rsid w:val="007B04B4"/>
    <w:rsid w:val="007B1D59"/>
    <w:rsid w:val="007B53FC"/>
    <w:rsid w:val="007B5F75"/>
    <w:rsid w:val="007B61BA"/>
    <w:rsid w:val="007B78D6"/>
    <w:rsid w:val="007C3DE9"/>
    <w:rsid w:val="007C4C56"/>
    <w:rsid w:val="007C5CB6"/>
    <w:rsid w:val="007E227E"/>
    <w:rsid w:val="007E5156"/>
    <w:rsid w:val="007E529B"/>
    <w:rsid w:val="007E7F62"/>
    <w:rsid w:val="007F1EE7"/>
    <w:rsid w:val="007F49C2"/>
    <w:rsid w:val="007F50FA"/>
    <w:rsid w:val="00800EDA"/>
    <w:rsid w:val="00830FCE"/>
    <w:rsid w:val="008315D8"/>
    <w:rsid w:val="00833F94"/>
    <w:rsid w:val="00836C7D"/>
    <w:rsid w:val="0083766F"/>
    <w:rsid w:val="00842AA6"/>
    <w:rsid w:val="0084389F"/>
    <w:rsid w:val="008446E7"/>
    <w:rsid w:val="00846633"/>
    <w:rsid w:val="00850523"/>
    <w:rsid w:val="00853350"/>
    <w:rsid w:val="00861A0D"/>
    <w:rsid w:val="00862C4E"/>
    <w:rsid w:val="0086316C"/>
    <w:rsid w:val="00864481"/>
    <w:rsid w:val="008767A2"/>
    <w:rsid w:val="00877201"/>
    <w:rsid w:val="00885143"/>
    <w:rsid w:val="008860FF"/>
    <w:rsid w:val="0088729C"/>
    <w:rsid w:val="00887741"/>
    <w:rsid w:val="008A41FB"/>
    <w:rsid w:val="008B2CA9"/>
    <w:rsid w:val="008B69B9"/>
    <w:rsid w:val="008B7418"/>
    <w:rsid w:val="008C0CB8"/>
    <w:rsid w:val="008C1E69"/>
    <w:rsid w:val="008C2734"/>
    <w:rsid w:val="008D3E22"/>
    <w:rsid w:val="008E0875"/>
    <w:rsid w:val="008E4458"/>
    <w:rsid w:val="008E7090"/>
    <w:rsid w:val="008E790E"/>
    <w:rsid w:val="008F15AA"/>
    <w:rsid w:val="008F3BB2"/>
    <w:rsid w:val="008F5C06"/>
    <w:rsid w:val="00907B18"/>
    <w:rsid w:val="009136F1"/>
    <w:rsid w:val="00916108"/>
    <w:rsid w:val="00922D5C"/>
    <w:rsid w:val="00925038"/>
    <w:rsid w:val="009257F7"/>
    <w:rsid w:val="00926C44"/>
    <w:rsid w:val="00927FCB"/>
    <w:rsid w:val="00935ED3"/>
    <w:rsid w:val="009511E7"/>
    <w:rsid w:val="00952F69"/>
    <w:rsid w:val="009534CF"/>
    <w:rsid w:val="00954069"/>
    <w:rsid w:val="00956A62"/>
    <w:rsid w:val="009669D1"/>
    <w:rsid w:val="00967BFA"/>
    <w:rsid w:val="00971C94"/>
    <w:rsid w:val="00984B80"/>
    <w:rsid w:val="00987DE2"/>
    <w:rsid w:val="009967B5"/>
    <w:rsid w:val="009A0FCB"/>
    <w:rsid w:val="009A5687"/>
    <w:rsid w:val="009B02D2"/>
    <w:rsid w:val="009B3E1F"/>
    <w:rsid w:val="009C19D0"/>
    <w:rsid w:val="009C577A"/>
    <w:rsid w:val="009D0109"/>
    <w:rsid w:val="009D1777"/>
    <w:rsid w:val="009E1845"/>
    <w:rsid w:val="009E6D4D"/>
    <w:rsid w:val="00A04B5D"/>
    <w:rsid w:val="00A04F95"/>
    <w:rsid w:val="00A269AC"/>
    <w:rsid w:val="00A31DC7"/>
    <w:rsid w:val="00A349C1"/>
    <w:rsid w:val="00A4207F"/>
    <w:rsid w:val="00A47AEA"/>
    <w:rsid w:val="00A51B6C"/>
    <w:rsid w:val="00A65062"/>
    <w:rsid w:val="00A70DCB"/>
    <w:rsid w:val="00A7776F"/>
    <w:rsid w:val="00A77F0D"/>
    <w:rsid w:val="00A8614E"/>
    <w:rsid w:val="00A86E53"/>
    <w:rsid w:val="00A87221"/>
    <w:rsid w:val="00AB228D"/>
    <w:rsid w:val="00AC0AAB"/>
    <w:rsid w:val="00AC1428"/>
    <w:rsid w:val="00AC526A"/>
    <w:rsid w:val="00AC562F"/>
    <w:rsid w:val="00AD09EB"/>
    <w:rsid w:val="00AD1051"/>
    <w:rsid w:val="00AD78F5"/>
    <w:rsid w:val="00AF1E11"/>
    <w:rsid w:val="00AF289B"/>
    <w:rsid w:val="00AF2B42"/>
    <w:rsid w:val="00AF3823"/>
    <w:rsid w:val="00AF3FCD"/>
    <w:rsid w:val="00AF4DCA"/>
    <w:rsid w:val="00AF58DF"/>
    <w:rsid w:val="00AF7E77"/>
    <w:rsid w:val="00B11E20"/>
    <w:rsid w:val="00B12E5D"/>
    <w:rsid w:val="00B16058"/>
    <w:rsid w:val="00B16443"/>
    <w:rsid w:val="00B16657"/>
    <w:rsid w:val="00B169DA"/>
    <w:rsid w:val="00B213F7"/>
    <w:rsid w:val="00B266D6"/>
    <w:rsid w:val="00B30301"/>
    <w:rsid w:val="00B33399"/>
    <w:rsid w:val="00B363C9"/>
    <w:rsid w:val="00B40B10"/>
    <w:rsid w:val="00B55227"/>
    <w:rsid w:val="00B56885"/>
    <w:rsid w:val="00B573D9"/>
    <w:rsid w:val="00B63E92"/>
    <w:rsid w:val="00B650BF"/>
    <w:rsid w:val="00B65ABD"/>
    <w:rsid w:val="00B65C15"/>
    <w:rsid w:val="00B67223"/>
    <w:rsid w:val="00B70450"/>
    <w:rsid w:val="00B73A84"/>
    <w:rsid w:val="00B76770"/>
    <w:rsid w:val="00B808E7"/>
    <w:rsid w:val="00B93E81"/>
    <w:rsid w:val="00B94D92"/>
    <w:rsid w:val="00B95EBD"/>
    <w:rsid w:val="00BA1187"/>
    <w:rsid w:val="00BA26F2"/>
    <w:rsid w:val="00BA78C8"/>
    <w:rsid w:val="00BB2B33"/>
    <w:rsid w:val="00BB37D7"/>
    <w:rsid w:val="00BB40C9"/>
    <w:rsid w:val="00BC3CD7"/>
    <w:rsid w:val="00BD4B1B"/>
    <w:rsid w:val="00BE5F8E"/>
    <w:rsid w:val="00BE6BB8"/>
    <w:rsid w:val="00BF3E05"/>
    <w:rsid w:val="00BF6373"/>
    <w:rsid w:val="00BF6766"/>
    <w:rsid w:val="00BF692B"/>
    <w:rsid w:val="00BF716A"/>
    <w:rsid w:val="00BF75E2"/>
    <w:rsid w:val="00C02512"/>
    <w:rsid w:val="00C045E7"/>
    <w:rsid w:val="00C060C6"/>
    <w:rsid w:val="00C0705B"/>
    <w:rsid w:val="00C13575"/>
    <w:rsid w:val="00C147FC"/>
    <w:rsid w:val="00C22E15"/>
    <w:rsid w:val="00C311EF"/>
    <w:rsid w:val="00C32914"/>
    <w:rsid w:val="00C36C70"/>
    <w:rsid w:val="00C543A0"/>
    <w:rsid w:val="00C55C3A"/>
    <w:rsid w:val="00C562A6"/>
    <w:rsid w:val="00C60551"/>
    <w:rsid w:val="00C60CD9"/>
    <w:rsid w:val="00C62B13"/>
    <w:rsid w:val="00C64B25"/>
    <w:rsid w:val="00C71F55"/>
    <w:rsid w:val="00C73002"/>
    <w:rsid w:val="00C7506E"/>
    <w:rsid w:val="00C7585C"/>
    <w:rsid w:val="00C76E28"/>
    <w:rsid w:val="00C807ED"/>
    <w:rsid w:val="00C820FE"/>
    <w:rsid w:val="00C8751C"/>
    <w:rsid w:val="00C90A6C"/>
    <w:rsid w:val="00CA4E65"/>
    <w:rsid w:val="00CB36E9"/>
    <w:rsid w:val="00CB37B5"/>
    <w:rsid w:val="00CB3A98"/>
    <w:rsid w:val="00CB3FB1"/>
    <w:rsid w:val="00CC0A6D"/>
    <w:rsid w:val="00CD2A13"/>
    <w:rsid w:val="00CD4669"/>
    <w:rsid w:val="00CD52E5"/>
    <w:rsid w:val="00CE30AA"/>
    <w:rsid w:val="00CF22C7"/>
    <w:rsid w:val="00CF6776"/>
    <w:rsid w:val="00D04096"/>
    <w:rsid w:val="00D10C75"/>
    <w:rsid w:val="00D1550B"/>
    <w:rsid w:val="00D159F2"/>
    <w:rsid w:val="00D16B50"/>
    <w:rsid w:val="00D24D0F"/>
    <w:rsid w:val="00D27163"/>
    <w:rsid w:val="00D33024"/>
    <w:rsid w:val="00D3375E"/>
    <w:rsid w:val="00D3441F"/>
    <w:rsid w:val="00D3553F"/>
    <w:rsid w:val="00D477E6"/>
    <w:rsid w:val="00D578D7"/>
    <w:rsid w:val="00D579BE"/>
    <w:rsid w:val="00D65D5E"/>
    <w:rsid w:val="00D8283E"/>
    <w:rsid w:val="00D87009"/>
    <w:rsid w:val="00D93D70"/>
    <w:rsid w:val="00D970F3"/>
    <w:rsid w:val="00DA5A9C"/>
    <w:rsid w:val="00DA6C8B"/>
    <w:rsid w:val="00DB6BF4"/>
    <w:rsid w:val="00DB732F"/>
    <w:rsid w:val="00DC53EF"/>
    <w:rsid w:val="00DD21D7"/>
    <w:rsid w:val="00DD2C20"/>
    <w:rsid w:val="00DD5672"/>
    <w:rsid w:val="00DF1110"/>
    <w:rsid w:val="00DF3D12"/>
    <w:rsid w:val="00E03580"/>
    <w:rsid w:val="00E0460A"/>
    <w:rsid w:val="00E16E13"/>
    <w:rsid w:val="00E236C1"/>
    <w:rsid w:val="00E35FF3"/>
    <w:rsid w:val="00E37E1F"/>
    <w:rsid w:val="00E40953"/>
    <w:rsid w:val="00E40EC8"/>
    <w:rsid w:val="00E42163"/>
    <w:rsid w:val="00E43B31"/>
    <w:rsid w:val="00E4449C"/>
    <w:rsid w:val="00E458D6"/>
    <w:rsid w:val="00E45BD4"/>
    <w:rsid w:val="00E46453"/>
    <w:rsid w:val="00E5250F"/>
    <w:rsid w:val="00E53498"/>
    <w:rsid w:val="00E6224D"/>
    <w:rsid w:val="00E63089"/>
    <w:rsid w:val="00E66FAC"/>
    <w:rsid w:val="00E67316"/>
    <w:rsid w:val="00E87F1D"/>
    <w:rsid w:val="00E958C7"/>
    <w:rsid w:val="00E97269"/>
    <w:rsid w:val="00EA2892"/>
    <w:rsid w:val="00EA4540"/>
    <w:rsid w:val="00EB4CE4"/>
    <w:rsid w:val="00EC1AC4"/>
    <w:rsid w:val="00EC272D"/>
    <w:rsid w:val="00EC384A"/>
    <w:rsid w:val="00ED5853"/>
    <w:rsid w:val="00EE03A6"/>
    <w:rsid w:val="00EE1A3A"/>
    <w:rsid w:val="00EE1FAE"/>
    <w:rsid w:val="00EF173E"/>
    <w:rsid w:val="00EF3F0F"/>
    <w:rsid w:val="00EF6340"/>
    <w:rsid w:val="00F04B28"/>
    <w:rsid w:val="00F05454"/>
    <w:rsid w:val="00F10B08"/>
    <w:rsid w:val="00F15CFA"/>
    <w:rsid w:val="00F17D2D"/>
    <w:rsid w:val="00F2110C"/>
    <w:rsid w:val="00F23F32"/>
    <w:rsid w:val="00F27D55"/>
    <w:rsid w:val="00F320F5"/>
    <w:rsid w:val="00F322EF"/>
    <w:rsid w:val="00F44C82"/>
    <w:rsid w:val="00F44FCA"/>
    <w:rsid w:val="00F5008C"/>
    <w:rsid w:val="00F54020"/>
    <w:rsid w:val="00F5494C"/>
    <w:rsid w:val="00F54C88"/>
    <w:rsid w:val="00F627D2"/>
    <w:rsid w:val="00F654AA"/>
    <w:rsid w:val="00F71981"/>
    <w:rsid w:val="00F76E8C"/>
    <w:rsid w:val="00F86E42"/>
    <w:rsid w:val="00F91664"/>
    <w:rsid w:val="00F9505E"/>
    <w:rsid w:val="00FA2FDE"/>
    <w:rsid w:val="00FA7CE4"/>
    <w:rsid w:val="00FB2EB2"/>
    <w:rsid w:val="00FB7C8E"/>
    <w:rsid w:val="00FC3AE9"/>
    <w:rsid w:val="00FC7C74"/>
    <w:rsid w:val="00FD1F88"/>
    <w:rsid w:val="00FD21AB"/>
    <w:rsid w:val="00FD4CAC"/>
    <w:rsid w:val="00FD538D"/>
    <w:rsid w:val="00FD6973"/>
    <w:rsid w:val="00FE1360"/>
    <w:rsid w:val="00FE2A3B"/>
    <w:rsid w:val="00FE7BBC"/>
    <w:rsid w:val="00FF5ACC"/>
    <w:rsid w:val="00FF6FD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1A49C"/>
  <w15:chartTrackingRefBased/>
  <w15:docId w15:val="{65512D06-A143-42CC-8DA2-17622A578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A0B75"/>
    <w:pPr>
      <w:spacing w:before="60" w:line="276" w:lineRule="auto"/>
      <w:jc w:val="both"/>
    </w:pPr>
    <w:rPr>
      <w:sz w:val="24"/>
    </w:rPr>
  </w:style>
  <w:style w:type="paragraph" w:styleId="Nadpis1">
    <w:name w:val="heading 1"/>
    <w:basedOn w:val="Normln"/>
    <w:next w:val="Normln"/>
    <w:link w:val="Nadpis1Char"/>
    <w:uiPriority w:val="9"/>
    <w:qFormat/>
    <w:rsid w:val="00DF3D12"/>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
    <w:next w:val="Normln"/>
    <w:link w:val="Nadpis2Char"/>
    <w:uiPriority w:val="9"/>
    <w:unhideWhenUsed/>
    <w:qFormat/>
    <w:rsid w:val="00DF3D12"/>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next w:val="Normln"/>
    <w:link w:val="Nadpis3Char"/>
    <w:uiPriority w:val="9"/>
    <w:semiHidden/>
    <w:unhideWhenUsed/>
    <w:qFormat/>
    <w:rsid w:val="00DF3D12"/>
    <w:pPr>
      <w:keepNext/>
      <w:keepLines/>
      <w:numPr>
        <w:ilvl w:val="2"/>
        <w:numId w:val="1"/>
      </w:numPr>
      <w:spacing w:before="40" w:after="0"/>
      <w:outlineLvl w:val="2"/>
    </w:pPr>
    <w:rPr>
      <w:rFonts w:asciiTheme="majorHAnsi" w:eastAsiaTheme="majorEastAsia" w:hAnsiTheme="majorHAnsi" w:cstheme="majorBidi"/>
      <w:color w:val="1F4D78" w:themeColor="accent1" w:themeShade="7F"/>
      <w:szCs w:val="24"/>
    </w:rPr>
  </w:style>
  <w:style w:type="paragraph" w:styleId="Nadpis4">
    <w:name w:val="heading 4"/>
    <w:basedOn w:val="Normln"/>
    <w:next w:val="Normln"/>
    <w:link w:val="Nadpis4Char"/>
    <w:uiPriority w:val="9"/>
    <w:semiHidden/>
    <w:unhideWhenUsed/>
    <w:qFormat/>
    <w:rsid w:val="00DF3D12"/>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basedOn w:val="Normln"/>
    <w:next w:val="Normln"/>
    <w:link w:val="Nadpis5Char"/>
    <w:uiPriority w:val="9"/>
    <w:semiHidden/>
    <w:unhideWhenUsed/>
    <w:qFormat/>
    <w:rsid w:val="00DF3D12"/>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
    <w:next w:val="Normln"/>
    <w:link w:val="Nadpis6Char"/>
    <w:uiPriority w:val="9"/>
    <w:semiHidden/>
    <w:unhideWhenUsed/>
    <w:qFormat/>
    <w:rsid w:val="00DF3D12"/>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
    <w:next w:val="Normln"/>
    <w:link w:val="Nadpis7Char"/>
    <w:uiPriority w:val="9"/>
    <w:semiHidden/>
    <w:unhideWhenUsed/>
    <w:qFormat/>
    <w:rsid w:val="00DF3D12"/>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
    <w:next w:val="Normln"/>
    <w:link w:val="Nadpis8Char"/>
    <w:uiPriority w:val="9"/>
    <w:semiHidden/>
    <w:unhideWhenUsed/>
    <w:qFormat/>
    <w:rsid w:val="00DF3D1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DF3D1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DF3D12"/>
    <w:rPr>
      <w:rFonts w:asciiTheme="majorHAnsi" w:eastAsiaTheme="majorEastAsia" w:hAnsiTheme="majorHAnsi" w:cstheme="majorBidi"/>
      <w:color w:val="2E74B5" w:themeColor="accent1" w:themeShade="BF"/>
      <w:sz w:val="32"/>
      <w:szCs w:val="32"/>
    </w:rPr>
  </w:style>
  <w:style w:type="character" w:customStyle="1" w:styleId="Nadpis2Char">
    <w:name w:val="Nadpis 2 Char"/>
    <w:basedOn w:val="Standardnpsmoodstavce"/>
    <w:link w:val="Nadpis2"/>
    <w:uiPriority w:val="9"/>
    <w:rsid w:val="00DF3D12"/>
    <w:rPr>
      <w:rFonts w:asciiTheme="majorHAnsi" w:eastAsiaTheme="majorEastAsia" w:hAnsiTheme="majorHAnsi" w:cstheme="majorBidi"/>
      <w:color w:val="2E74B5" w:themeColor="accent1" w:themeShade="BF"/>
      <w:sz w:val="26"/>
      <w:szCs w:val="26"/>
    </w:rPr>
  </w:style>
  <w:style w:type="character" w:customStyle="1" w:styleId="Nadpis3Char">
    <w:name w:val="Nadpis 3 Char"/>
    <w:basedOn w:val="Standardnpsmoodstavce"/>
    <w:link w:val="Nadpis3"/>
    <w:uiPriority w:val="9"/>
    <w:semiHidden/>
    <w:rsid w:val="00DF3D12"/>
    <w:rPr>
      <w:rFonts w:asciiTheme="majorHAnsi" w:eastAsiaTheme="majorEastAsia" w:hAnsiTheme="majorHAnsi" w:cstheme="majorBidi"/>
      <w:color w:val="1F4D78" w:themeColor="accent1" w:themeShade="7F"/>
      <w:sz w:val="24"/>
      <w:szCs w:val="24"/>
    </w:rPr>
  </w:style>
  <w:style w:type="character" w:customStyle="1" w:styleId="Nadpis4Char">
    <w:name w:val="Nadpis 4 Char"/>
    <w:basedOn w:val="Standardnpsmoodstavce"/>
    <w:link w:val="Nadpis4"/>
    <w:uiPriority w:val="9"/>
    <w:semiHidden/>
    <w:rsid w:val="00DF3D12"/>
    <w:rPr>
      <w:rFonts w:asciiTheme="majorHAnsi" w:eastAsiaTheme="majorEastAsia" w:hAnsiTheme="majorHAnsi" w:cstheme="majorBidi"/>
      <w:i/>
      <w:iCs/>
      <w:color w:val="2E74B5" w:themeColor="accent1" w:themeShade="BF"/>
    </w:rPr>
  </w:style>
  <w:style w:type="character" w:customStyle="1" w:styleId="Nadpis5Char">
    <w:name w:val="Nadpis 5 Char"/>
    <w:basedOn w:val="Standardnpsmoodstavce"/>
    <w:link w:val="Nadpis5"/>
    <w:uiPriority w:val="9"/>
    <w:semiHidden/>
    <w:rsid w:val="00DF3D12"/>
    <w:rPr>
      <w:rFonts w:asciiTheme="majorHAnsi" w:eastAsiaTheme="majorEastAsia" w:hAnsiTheme="majorHAnsi" w:cstheme="majorBidi"/>
      <w:color w:val="2E74B5" w:themeColor="accent1" w:themeShade="BF"/>
    </w:rPr>
  </w:style>
  <w:style w:type="character" w:customStyle="1" w:styleId="Nadpis6Char">
    <w:name w:val="Nadpis 6 Char"/>
    <w:basedOn w:val="Standardnpsmoodstavce"/>
    <w:link w:val="Nadpis6"/>
    <w:uiPriority w:val="9"/>
    <w:semiHidden/>
    <w:rsid w:val="00DF3D12"/>
    <w:rPr>
      <w:rFonts w:asciiTheme="majorHAnsi" w:eastAsiaTheme="majorEastAsia" w:hAnsiTheme="majorHAnsi" w:cstheme="majorBidi"/>
      <w:color w:val="1F4D78" w:themeColor="accent1" w:themeShade="7F"/>
    </w:rPr>
  </w:style>
  <w:style w:type="character" w:customStyle="1" w:styleId="Nadpis7Char">
    <w:name w:val="Nadpis 7 Char"/>
    <w:basedOn w:val="Standardnpsmoodstavce"/>
    <w:link w:val="Nadpis7"/>
    <w:uiPriority w:val="9"/>
    <w:semiHidden/>
    <w:rsid w:val="00DF3D12"/>
    <w:rPr>
      <w:rFonts w:asciiTheme="majorHAnsi" w:eastAsiaTheme="majorEastAsia" w:hAnsiTheme="majorHAnsi" w:cstheme="majorBidi"/>
      <w:i/>
      <w:iCs/>
      <w:color w:val="1F4D78" w:themeColor="accent1" w:themeShade="7F"/>
    </w:rPr>
  </w:style>
  <w:style w:type="character" w:customStyle="1" w:styleId="Nadpis8Char">
    <w:name w:val="Nadpis 8 Char"/>
    <w:basedOn w:val="Standardnpsmoodstavce"/>
    <w:link w:val="Nadpis8"/>
    <w:uiPriority w:val="9"/>
    <w:semiHidden/>
    <w:rsid w:val="00DF3D12"/>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DF3D12"/>
    <w:rPr>
      <w:rFonts w:asciiTheme="majorHAnsi" w:eastAsiaTheme="majorEastAsia" w:hAnsiTheme="majorHAnsi" w:cstheme="majorBidi"/>
      <w:i/>
      <w:iCs/>
      <w:color w:val="272727" w:themeColor="text1" w:themeTint="D8"/>
      <w:sz w:val="21"/>
      <w:szCs w:val="21"/>
    </w:rPr>
  </w:style>
  <w:style w:type="character" w:styleId="Hypertextovodkaz">
    <w:name w:val="Hyperlink"/>
    <w:basedOn w:val="Standardnpsmoodstavce"/>
    <w:uiPriority w:val="99"/>
    <w:unhideWhenUsed/>
    <w:rsid w:val="00DF3D12"/>
    <w:rPr>
      <w:color w:val="0563C1" w:themeColor="hyperlink"/>
      <w:u w:val="single"/>
    </w:rPr>
  </w:style>
  <w:style w:type="paragraph" w:styleId="Bezmezer">
    <w:name w:val="No Spacing"/>
    <w:uiPriority w:val="1"/>
    <w:qFormat/>
    <w:rsid w:val="008F3BB2"/>
    <w:pPr>
      <w:spacing w:after="0" w:line="240" w:lineRule="auto"/>
    </w:pPr>
  </w:style>
  <w:style w:type="table" w:styleId="Mkatabulky">
    <w:name w:val="Table Grid"/>
    <w:basedOn w:val="Normlntabulka"/>
    <w:uiPriority w:val="39"/>
    <w:rsid w:val="008F3B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F44FCA"/>
    <w:pPr>
      <w:spacing w:after="200" w:line="240" w:lineRule="auto"/>
      <w:jc w:val="center"/>
    </w:pPr>
    <w:rPr>
      <w:i/>
      <w:iCs/>
      <w:szCs w:val="18"/>
    </w:rPr>
  </w:style>
  <w:style w:type="paragraph" w:styleId="Textbubliny">
    <w:name w:val="Balloon Text"/>
    <w:basedOn w:val="Normln"/>
    <w:link w:val="TextbublinyChar"/>
    <w:uiPriority w:val="99"/>
    <w:semiHidden/>
    <w:unhideWhenUsed/>
    <w:rsid w:val="0023332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33320"/>
    <w:rPr>
      <w:rFonts w:ascii="Segoe UI" w:hAnsi="Segoe UI" w:cs="Segoe UI"/>
      <w:sz w:val="18"/>
      <w:szCs w:val="18"/>
    </w:rPr>
  </w:style>
  <w:style w:type="character" w:styleId="Odkaznakoment">
    <w:name w:val="annotation reference"/>
    <w:basedOn w:val="Standardnpsmoodstavce"/>
    <w:uiPriority w:val="99"/>
    <w:semiHidden/>
    <w:unhideWhenUsed/>
    <w:rsid w:val="006B62C0"/>
    <w:rPr>
      <w:sz w:val="16"/>
      <w:szCs w:val="16"/>
    </w:rPr>
  </w:style>
  <w:style w:type="paragraph" w:styleId="Textkomente">
    <w:name w:val="annotation text"/>
    <w:basedOn w:val="Normln"/>
    <w:link w:val="TextkomenteChar"/>
    <w:uiPriority w:val="99"/>
    <w:semiHidden/>
    <w:unhideWhenUsed/>
    <w:rsid w:val="006B62C0"/>
    <w:pPr>
      <w:spacing w:line="240" w:lineRule="auto"/>
    </w:pPr>
    <w:rPr>
      <w:sz w:val="20"/>
      <w:szCs w:val="20"/>
    </w:rPr>
  </w:style>
  <w:style w:type="character" w:customStyle="1" w:styleId="TextkomenteChar">
    <w:name w:val="Text komentáře Char"/>
    <w:basedOn w:val="Standardnpsmoodstavce"/>
    <w:link w:val="Textkomente"/>
    <w:uiPriority w:val="99"/>
    <w:semiHidden/>
    <w:rsid w:val="006B62C0"/>
    <w:rPr>
      <w:sz w:val="20"/>
      <w:szCs w:val="20"/>
    </w:rPr>
  </w:style>
  <w:style w:type="paragraph" w:styleId="Pedmtkomente">
    <w:name w:val="annotation subject"/>
    <w:basedOn w:val="Textkomente"/>
    <w:next w:val="Textkomente"/>
    <w:link w:val="PedmtkomenteChar"/>
    <w:uiPriority w:val="99"/>
    <w:semiHidden/>
    <w:unhideWhenUsed/>
    <w:rsid w:val="006B62C0"/>
    <w:rPr>
      <w:b/>
      <w:bCs/>
    </w:rPr>
  </w:style>
  <w:style w:type="character" w:customStyle="1" w:styleId="PedmtkomenteChar">
    <w:name w:val="Předmět komentáře Char"/>
    <w:basedOn w:val="TextkomenteChar"/>
    <w:link w:val="Pedmtkomente"/>
    <w:uiPriority w:val="99"/>
    <w:semiHidden/>
    <w:rsid w:val="006B62C0"/>
    <w:rPr>
      <w:b/>
      <w:bCs/>
      <w:sz w:val="20"/>
      <w:szCs w:val="20"/>
    </w:rPr>
  </w:style>
  <w:style w:type="paragraph" w:styleId="Odstavecseseznamem">
    <w:name w:val="List Paragraph"/>
    <w:basedOn w:val="Normln"/>
    <w:uiPriority w:val="34"/>
    <w:qFormat/>
    <w:rsid w:val="009136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9938">
      <w:bodyDiv w:val="1"/>
      <w:marLeft w:val="0"/>
      <w:marRight w:val="0"/>
      <w:marTop w:val="0"/>
      <w:marBottom w:val="0"/>
      <w:divBdr>
        <w:top w:val="none" w:sz="0" w:space="0" w:color="auto"/>
        <w:left w:val="none" w:sz="0" w:space="0" w:color="auto"/>
        <w:bottom w:val="none" w:sz="0" w:space="0" w:color="auto"/>
        <w:right w:val="none" w:sz="0" w:space="0" w:color="auto"/>
      </w:divBdr>
    </w:div>
    <w:div w:id="18355507">
      <w:bodyDiv w:val="1"/>
      <w:marLeft w:val="0"/>
      <w:marRight w:val="0"/>
      <w:marTop w:val="0"/>
      <w:marBottom w:val="0"/>
      <w:divBdr>
        <w:top w:val="none" w:sz="0" w:space="0" w:color="auto"/>
        <w:left w:val="none" w:sz="0" w:space="0" w:color="auto"/>
        <w:bottom w:val="none" w:sz="0" w:space="0" w:color="auto"/>
        <w:right w:val="none" w:sz="0" w:space="0" w:color="auto"/>
      </w:divBdr>
    </w:div>
    <w:div w:id="50807335">
      <w:bodyDiv w:val="1"/>
      <w:marLeft w:val="0"/>
      <w:marRight w:val="0"/>
      <w:marTop w:val="0"/>
      <w:marBottom w:val="0"/>
      <w:divBdr>
        <w:top w:val="none" w:sz="0" w:space="0" w:color="auto"/>
        <w:left w:val="none" w:sz="0" w:space="0" w:color="auto"/>
        <w:bottom w:val="none" w:sz="0" w:space="0" w:color="auto"/>
        <w:right w:val="none" w:sz="0" w:space="0" w:color="auto"/>
      </w:divBdr>
    </w:div>
    <w:div w:id="63570085">
      <w:bodyDiv w:val="1"/>
      <w:marLeft w:val="0"/>
      <w:marRight w:val="0"/>
      <w:marTop w:val="0"/>
      <w:marBottom w:val="0"/>
      <w:divBdr>
        <w:top w:val="none" w:sz="0" w:space="0" w:color="auto"/>
        <w:left w:val="none" w:sz="0" w:space="0" w:color="auto"/>
        <w:bottom w:val="none" w:sz="0" w:space="0" w:color="auto"/>
        <w:right w:val="none" w:sz="0" w:space="0" w:color="auto"/>
      </w:divBdr>
    </w:div>
    <w:div w:id="83235196">
      <w:bodyDiv w:val="1"/>
      <w:marLeft w:val="0"/>
      <w:marRight w:val="0"/>
      <w:marTop w:val="0"/>
      <w:marBottom w:val="0"/>
      <w:divBdr>
        <w:top w:val="none" w:sz="0" w:space="0" w:color="auto"/>
        <w:left w:val="none" w:sz="0" w:space="0" w:color="auto"/>
        <w:bottom w:val="none" w:sz="0" w:space="0" w:color="auto"/>
        <w:right w:val="none" w:sz="0" w:space="0" w:color="auto"/>
      </w:divBdr>
    </w:div>
    <w:div w:id="89936414">
      <w:bodyDiv w:val="1"/>
      <w:marLeft w:val="0"/>
      <w:marRight w:val="0"/>
      <w:marTop w:val="0"/>
      <w:marBottom w:val="0"/>
      <w:divBdr>
        <w:top w:val="none" w:sz="0" w:space="0" w:color="auto"/>
        <w:left w:val="none" w:sz="0" w:space="0" w:color="auto"/>
        <w:bottom w:val="none" w:sz="0" w:space="0" w:color="auto"/>
        <w:right w:val="none" w:sz="0" w:space="0" w:color="auto"/>
      </w:divBdr>
    </w:div>
    <w:div w:id="137042889">
      <w:bodyDiv w:val="1"/>
      <w:marLeft w:val="0"/>
      <w:marRight w:val="0"/>
      <w:marTop w:val="0"/>
      <w:marBottom w:val="0"/>
      <w:divBdr>
        <w:top w:val="none" w:sz="0" w:space="0" w:color="auto"/>
        <w:left w:val="none" w:sz="0" w:space="0" w:color="auto"/>
        <w:bottom w:val="none" w:sz="0" w:space="0" w:color="auto"/>
        <w:right w:val="none" w:sz="0" w:space="0" w:color="auto"/>
      </w:divBdr>
    </w:div>
    <w:div w:id="209809552">
      <w:bodyDiv w:val="1"/>
      <w:marLeft w:val="0"/>
      <w:marRight w:val="0"/>
      <w:marTop w:val="0"/>
      <w:marBottom w:val="0"/>
      <w:divBdr>
        <w:top w:val="none" w:sz="0" w:space="0" w:color="auto"/>
        <w:left w:val="none" w:sz="0" w:space="0" w:color="auto"/>
        <w:bottom w:val="none" w:sz="0" w:space="0" w:color="auto"/>
        <w:right w:val="none" w:sz="0" w:space="0" w:color="auto"/>
      </w:divBdr>
    </w:div>
    <w:div w:id="214850434">
      <w:bodyDiv w:val="1"/>
      <w:marLeft w:val="0"/>
      <w:marRight w:val="0"/>
      <w:marTop w:val="0"/>
      <w:marBottom w:val="0"/>
      <w:divBdr>
        <w:top w:val="none" w:sz="0" w:space="0" w:color="auto"/>
        <w:left w:val="none" w:sz="0" w:space="0" w:color="auto"/>
        <w:bottom w:val="none" w:sz="0" w:space="0" w:color="auto"/>
        <w:right w:val="none" w:sz="0" w:space="0" w:color="auto"/>
      </w:divBdr>
    </w:div>
    <w:div w:id="265769652">
      <w:bodyDiv w:val="1"/>
      <w:marLeft w:val="0"/>
      <w:marRight w:val="0"/>
      <w:marTop w:val="0"/>
      <w:marBottom w:val="0"/>
      <w:divBdr>
        <w:top w:val="none" w:sz="0" w:space="0" w:color="auto"/>
        <w:left w:val="none" w:sz="0" w:space="0" w:color="auto"/>
        <w:bottom w:val="none" w:sz="0" w:space="0" w:color="auto"/>
        <w:right w:val="none" w:sz="0" w:space="0" w:color="auto"/>
      </w:divBdr>
    </w:div>
    <w:div w:id="267662776">
      <w:bodyDiv w:val="1"/>
      <w:marLeft w:val="0"/>
      <w:marRight w:val="0"/>
      <w:marTop w:val="0"/>
      <w:marBottom w:val="0"/>
      <w:divBdr>
        <w:top w:val="none" w:sz="0" w:space="0" w:color="auto"/>
        <w:left w:val="none" w:sz="0" w:space="0" w:color="auto"/>
        <w:bottom w:val="none" w:sz="0" w:space="0" w:color="auto"/>
        <w:right w:val="none" w:sz="0" w:space="0" w:color="auto"/>
      </w:divBdr>
    </w:div>
    <w:div w:id="281569935">
      <w:bodyDiv w:val="1"/>
      <w:marLeft w:val="0"/>
      <w:marRight w:val="0"/>
      <w:marTop w:val="0"/>
      <w:marBottom w:val="0"/>
      <w:divBdr>
        <w:top w:val="none" w:sz="0" w:space="0" w:color="auto"/>
        <w:left w:val="none" w:sz="0" w:space="0" w:color="auto"/>
        <w:bottom w:val="none" w:sz="0" w:space="0" w:color="auto"/>
        <w:right w:val="none" w:sz="0" w:space="0" w:color="auto"/>
      </w:divBdr>
    </w:div>
    <w:div w:id="300114973">
      <w:bodyDiv w:val="1"/>
      <w:marLeft w:val="0"/>
      <w:marRight w:val="0"/>
      <w:marTop w:val="0"/>
      <w:marBottom w:val="0"/>
      <w:divBdr>
        <w:top w:val="none" w:sz="0" w:space="0" w:color="auto"/>
        <w:left w:val="none" w:sz="0" w:space="0" w:color="auto"/>
        <w:bottom w:val="none" w:sz="0" w:space="0" w:color="auto"/>
        <w:right w:val="none" w:sz="0" w:space="0" w:color="auto"/>
      </w:divBdr>
    </w:div>
    <w:div w:id="460653884">
      <w:bodyDiv w:val="1"/>
      <w:marLeft w:val="0"/>
      <w:marRight w:val="0"/>
      <w:marTop w:val="0"/>
      <w:marBottom w:val="0"/>
      <w:divBdr>
        <w:top w:val="none" w:sz="0" w:space="0" w:color="auto"/>
        <w:left w:val="none" w:sz="0" w:space="0" w:color="auto"/>
        <w:bottom w:val="none" w:sz="0" w:space="0" w:color="auto"/>
        <w:right w:val="none" w:sz="0" w:space="0" w:color="auto"/>
      </w:divBdr>
    </w:div>
    <w:div w:id="473647161">
      <w:bodyDiv w:val="1"/>
      <w:marLeft w:val="0"/>
      <w:marRight w:val="0"/>
      <w:marTop w:val="0"/>
      <w:marBottom w:val="0"/>
      <w:divBdr>
        <w:top w:val="none" w:sz="0" w:space="0" w:color="auto"/>
        <w:left w:val="none" w:sz="0" w:space="0" w:color="auto"/>
        <w:bottom w:val="none" w:sz="0" w:space="0" w:color="auto"/>
        <w:right w:val="none" w:sz="0" w:space="0" w:color="auto"/>
      </w:divBdr>
    </w:div>
    <w:div w:id="608124590">
      <w:bodyDiv w:val="1"/>
      <w:marLeft w:val="0"/>
      <w:marRight w:val="0"/>
      <w:marTop w:val="0"/>
      <w:marBottom w:val="0"/>
      <w:divBdr>
        <w:top w:val="none" w:sz="0" w:space="0" w:color="auto"/>
        <w:left w:val="none" w:sz="0" w:space="0" w:color="auto"/>
        <w:bottom w:val="none" w:sz="0" w:space="0" w:color="auto"/>
        <w:right w:val="none" w:sz="0" w:space="0" w:color="auto"/>
      </w:divBdr>
    </w:div>
    <w:div w:id="645863860">
      <w:bodyDiv w:val="1"/>
      <w:marLeft w:val="0"/>
      <w:marRight w:val="0"/>
      <w:marTop w:val="0"/>
      <w:marBottom w:val="0"/>
      <w:divBdr>
        <w:top w:val="none" w:sz="0" w:space="0" w:color="auto"/>
        <w:left w:val="none" w:sz="0" w:space="0" w:color="auto"/>
        <w:bottom w:val="none" w:sz="0" w:space="0" w:color="auto"/>
        <w:right w:val="none" w:sz="0" w:space="0" w:color="auto"/>
      </w:divBdr>
    </w:div>
    <w:div w:id="685181779">
      <w:bodyDiv w:val="1"/>
      <w:marLeft w:val="0"/>
      <w:marRight w:val="0"/>
      <w:marTop w:val="0"/>
      <w:marBottom w:val="0"/>
      <w:divBdr>
        <w:top w:val="none" w:sz="0" w:space="0" w:color="auto"/>
        <w:left w:val="none" w:sz="0" w:space="0" w:color="auto"/>
        <w:bottom w:val="none" w:sz="0" w:space="0" w:color="auto"/>
        <w:right w:val="none" w:sz="0" w:space="0" w:color="auto"/>
      </w:divBdr>
    </w:div>
    <w:div w:id="703139431">
      <w:bodyDiv w:val="1"/>
      <w:marLeft w:val="0"/>
      <w:marRight w:val="0"/>
      <w:marTop w:val="0"/>
      <w:marBottom w:val="0"/>
      <w:divBdr>
        <w:top w:val="none" w:sz="0" w:space="0" w:color="auto"/>
        <w:left w:val="none" w:sz="0" w:space="0" w:color="auto"/>
        <w:bottom w:val="none" w:sz="0" w:space="0" w:color="auto"/>
        <w:right w:val="none" w:sz="0" w:space="0" w:color="auto"/>
      </w:divBdr>
    </w:div>
    <w:div w:id="857232036">
      <w:bodyDiv w:val="1"/>
      <w:marLeft w:val="0"/>
      <w:marRight w:val="0"/>
      <w:marTop w:val="0"/>
      <w:marBottom w:val="0"/>
      <w:divBdr>
        <w:top w:val="none" w:sz="0" w:space="0" w:color="auto"/>
        <w:left w:val="none" w:sz="0" w:space="0" w:color="auto"/>
        <w:bottom w:val="none" w:sz="0" w:space="0" w:color="auto"/>
        <w:right w:val="none" w:sz="0" w:space="0" w:color="auto"/>
      </w:divBdr>
    </w:div>
    <w:div w:id="893273311">
      <w:bodyDiv w:val="1"/>
      <w:marLeft w:val="0"/>
      <w:marRight w:val="0"/>
      <w:marTop w:val="0"/>
      <w:marBottom w:val="0"/>
      <w:divBdr>
        <w:top w:val="none" w:sz="0" w:space="0" w:color="auto"/>
        <w:left w:val="none" w:sz="0" w:space="0" w:color="auto"/>
        <w:bottom w:val="none" w:sz="0" w:space="0" w:color="auto"/>
        <w:right w:val="none" w:sz="0" w:space="0" w:color="auto"/>
      </w:divBdr>
    </w:div>
    <w:div w:id="901794245">
      <w:bodyDiv w:val="1"/>
      <w:marLeft w:val="0"/>
      <w:marRight w:val="0"/>
      <w:marTop w:val="0"/>
      <w:marBottom w:val="0"/>
      <w:divBdr>
        <w:top w:val="none" w:sz="0" w:space="0" w:color="auto"/>
        <w:left w:val="none" w:sz="0" w:space="0" w:color="auto"/>
        <w:bottom w:val="none" w:sz="0" w:space="0" w:color="auto"/>
        <w:right w:val="none" w:sz="0" w:space="0" w:color="auto"/>
      </w:divBdr>
    </w:div>
    <w:div w:id="909849213">
      <w:bodyDiv w:val="1"/>
      <w:marLeft w:val="0"/>
      <w:marRight w:val="0"/>
      <w:marTop w:val="0"/>
      <w:marBottom w:val="0"/>
      <w:divBdr>
        <w:top w:val="none" w:sz="0" w:space="0" w:color="auto"/>
        <w:left w:val="none" w:sz="0" w:space="0" w:color="auto"/>
        <w:bottom w:val="none" w:sz="0" w:space="0" w:color="auto"/>
        <w:right w:val="none" w:sz="0" w:space="0" w:color="auto"/>
      </w:divBdr>
    </w:div>
    <w:div w:id="942420720">
      <w:bodyDiv w:val="1"/>
      <w:marLeft w:val="0"/>
      <w:marRight w:val="0"/>
      <w:marTop w:val="0"/>
      <w:marBottom w:val="0"/>
      <w:divBdr>
        <w:top w:val="none" w:sz="0" w:space="0" w:color="auto"/>
        <w:left w:val="none" w:sz="0" w:space="0" w:color="auto"/>
        <w:bottom w:val="none" w:sz="0" w:space="0" w:color="auto"/>
        <w:right w:val="none" w:sz="0" w:space="0" w:color="auto"/>
      </w:divBdr>
    </w:div>
    <w:div w:id="977565392">
      <w:bodyDiv w:val="1"/>
      <w:marLeft w:val="0"/>
      <w:marRight w:val="0"/>
      <w:marTop w:val="0"/>
      <w:marBottom w:val="0"/>
      <w:divBdr>
        <w:top w:val="none" w:sz="0" w:space="0" w:color="auto"/>
        <w:left w:val="none" w:sz="0" w:space="0" w:color="auto"/>
        <w:bottom w:val="none" w:sz="0" w:space="0" w:color="auto"/>
        <w:right w:val="none" w:sz="0" w:space="0" w:color="auto"/>
      </w:divBdr>
    </w:div>
    <w:div w:id="991909643">
      <w:bodyDiv w:val="1"/>
      <w:marLeft w:val="0"/>
      <w:marRight w:val="0"/>
      <w:marTop w:val="0"/>
      <w:marBottom w:val="0"/>
      <w:divBdr>
        <w:top w:val="none" w:sz="0" w:space="0" w:color="auto"/>
        <w:left w:val="none" w:sz="0" w:space="0" w:color="auto"/>
        <w:bottom w:val="none" w:sz="0" w:space="0" w:color="auto"/>
        <w:right w:val="none" w:sz="0" w:space="0" w:color="auto"/>
      </w:divBdr>
    </w:div>
    <w:div w:id="992029678">
      <w:bodyDiv w:val="1"/>
      <w:marLeft w:val="0"/>
      <w:marRight w:val="0"/>
      <w:marTop w:val="0"/>
      <w:marBottom w:val="0"/>
      <w:divBdr>
        <w:top w:val="none" w:sz="0" w:space="0" w:color="auto"/>
        <w:left w:val="none" w:sz="0" w:space="0" w:color="auto"/>
        <w:bottom w:val="none" w:sz="0" w:space="0" w:color="auto"/>
        <w:right w:val="none" w:sz="0" w:space="0" w:color="auto"/>
      </w:divBdr>
    </w:div>
    <w:div w:id="1007438967">
      <w:bodyDiv w:val="1"/>
      <w:marLeft w:val="0"/>
      <w:marRight w:val="0"/>
      <w:marTop w:val="0"/>
      <w:marBottom w:val="0"/>
      <w:divBdr>
        <w:top w:val="none" w:sz="0" w:space="0" w:color="auto"/>
        <w:left w:val="none" w:sz="0" w:space="0" w:color="auto"/>
        <w:bottom w:val="none" w:sz="0" w:space="0" w:color="auto"/>
        <w:right w:val="none" w:sz="0" w:space="0" w:color="auto"/>
      </w:divBdr>
    </w:div>
    <w:div w:id="1011643574">
      <w:bodyDiv w:val="1"/>
      <w:marLeft w:val="0"/>
      <w:marRight w:val="0"/>
      <w:marTop w:val="0"/>
      <w:marBottom w:val="0"/>
      <w:divBdr>
        <w:top w:val="none" w:sz="0" w:space="0" w:color="auto"/>
        <w:left w:val="none" w:sz="0" w:space="0" w:color="auto"/>
        <w:bottom w:val="none" w:sz="0" w:space="0" w:color="auto"/>
        <w:right w:val="none" w:sz="0" w:space="0" w:color="auto"/>
      </w:divBdr>
    </w:div>
    <w:div w:id="1019812587">
      <w:bodyDiv w:val="1"/>
      <w:marLeft w:val="0"/>
      <w:marRight w:val="0"/>
      <w:marTop w:val="0"/>
      <w:marBottom w:val="0"/>
      <w:divBdr>
        <w:top w:val="none" w:sz="0" w:space="0" w:color="auto"/>
        <w:left w:val="none" w:sz="0" w:space="0" w:color="auto"/>
        <w:bottom w:val="none" w:sz="0" w:space="0" w:color="auto"/>
        <w:right w:val="none" w:sz="0" w:space="0" w:color="auto"/>
      </w:divBdr>
    </w:div>
    <w:div w:id="1165777118">
      <w:bodyDiv w:val="1"/>
      <w:marLeft w:val="0"/>
      <w:marRight w:val="0"/>
      <w:marTop w:val="0"/>
      <w:marBottom w:val="0"/>
      <w:divBdr>
        <w:top w:val="none" w:sz="0" w:space="0" w:color="auto"/>
        <w:left w:val="none" w:sz="0" w:space="0" w:color="auto"/>
        <w:bottom w:val="none" w:sz="0" w:space="0" w:color="auto"/>
        <w:right w:val="none" w:sz="0" w:space="0" w:color="auto"/>
      </w:divBdr>
    </w:div>
    <w:div w:id="1246916043">
      <w:bodyDiv w:val="1"/>
      <w:marLeft w:val="0"/>
      <w:marRight w:val="0"/>
      <w:marTop w:val="0"/>
      <w:marBottom w:val="0"/>
      <w:divBdr>
        <w:top w:val="none" w:sz="0" w:space="0" w:color="auto"/>
        <w:left w:val="none" w:sz="0" w:space="0" w:color="auto"/>
        <w:bottom w:val="none" w:sz="0" w:space="0" w:color="auto"/>
        <w:right w:val="none" w:sz="0" w:space="0" w:color="auto"/>
      </w:divBdr>
    </w:div>
    <w:div w:id="1257133848">
      <w:bodyDiv w:val="1"/>
      <w:marLeft w:val="0"/>
      <w:marRight w:val="0"/>
      <w:marTop w:val="0"/>
      <w:marBottom w:val="0"/>
      <w:divBdr>
        <w:top w:val="none" w:sz="0" w:space="0" w:color="auto"/>
        <w:left w:val="none" w:sz="0" w:space="0" w:color="auto"/>
        <w:bottom w:val="none" w:sz="0" w:space="0" w:color="auto"/>
        <w:right w:val="none" w:sz="0" w:space="0" w:color="auto"/>
      </w:divBdr>
    </w:div>
    <w:div w:id="1313145367">
      <w:bodyDiv w:val="1"/>
      <w:marLeft w:val="0"/>
      <w:marRight w:val="0"/>
      <w:marTop w:val="0"/>
      <w:marBottom w:val="0"/>
      <w:divBdr>
        <w:top w:val="none" w:sz="0" w:space="0" w:color="auto"/>
        <w:left w:val="none" w:sz="0" w:space="0" w:color="auto"/>
        <w:bottom w:val="none" w:sz="0" w:space="0" w:color="auto"/>
        <w:right w:val="none" w:sz="0" w:space="0" w:color="auto"/>
      </w:divBdr>
    </w:div>
    <w:div w:id="1409499116">
      <w:bodyDiv w:val="1"/>
      <w:marLeft w:val="0"/>
      <w:marRight w:val="0"/>
      <w:marTop w:val="0"/>
      <w:marBottom w:val="0"/>
      <w:divBdr>
        <w:top w:val="none" w:sz="0" w:space="0" w:color="auto"/>
        <w:left w:val="none" w:sz="0" w:space="0" w:color="auto"/>
        <w:bottom w:val="none" w:sz="0" w:space="0" w:color="auto"/>
        <w:right w:val="none" w:sz="0" w:space="0" w:color="auto"/>
      </w:divBdr>
    </w:div>
    <w:div w:id="1435707977">
      <w:bodyDiv w:val="1"/>
      <w:marLeft w:val="0"/>
      <w:marRight w:val="0"/>
      <w:marTop w:val="0"/>
      <w:marBottom w:val="0"/>
      <w:divBdr>
        <w:top w:val="none" w:sz="0" w:space="0" w:color="auto"/>
        <w:left w:val="none" w:sz="0" w:space="0" w:color="auto"/>
        <w:bottom w:val="none" w:sz="0" w:space="0" w:color="auto"/>
        <w:right w:val="none" w:sz="0" w:space="0" w:color="auto"/>
      </w:divBdr>
    </w:div>
    <w:div w:id="1471173300">
      <w:bodyDiv w:val="1"/>
      <w:marLeft w:val="0"/>
      <w:marRight w:val="0"/>
      <w:marTop w:val="0"/>
      <w:marBottom w:val="0"/>
      <w:divBdr>
        <w:top w:val="none" w:sz="0" w:space="0" w:color="auto"/>
        <w:left w:val="none" w:sz="0" w:space="0" w:color="auto"/>
        <w:bottom w:val="none" w:sz="0" w:space="0" w:color="auto"/>
        <w:right w:val="none" w:sz="0" w:space="0" w:color="auto"/>
      </w:divBdr>
    </w:div>
    <w:div w:id="1495560642">
      <w:bodyDiv w:val="1"/>
      <w:marLeft w:val="0"/>
      <w:marRight w:val="0"/>
      <w:marTop w:val="0"/>
      <w:marBottom w:val="0"/>
      <w:divBdr>
        <w:top w:val="none" w:sz="0" w:space="0" w:color="auto"/>
        <w:left w:val="none" w:sz="0" w:space="0" w:color="auto"/>
        <w:bottom w:val="none" w:sz="0" w:space="0" w:color="auto"/>
        <w:right w:val="none" w:sz="0" w:space="0" w:color="auto"/>
      </w:divBdr>
    </w:div>
    <w:div w:id="1595439477">
      <w:bodyDiv w:val="1"/>
      <w:marLeft w:val="0"/>
      <w:marRight w:val="0"/>
      <w:marTop w:val="0"/>
      <w:marBottom w:val="0"/>
      <w:divBdr>
        <w:top w:val="none" w:sz="0" w:space="0" w:color="auto"/>
        <w:left w:val="none" w:sz="0" w:space="0" w:color="auto"/>
        <w:bottom w:val="none" w:sz="0" w:space="0" w:color="auto"/>
        <w:right w:val="none" w:sz="0" w:space="0" w:color="auto"/>
      </w:divBdr>
    </w:div>
    <w:div w:id="1903368789">
      <w:bodyDiv w:val="1"/>
      <w:marLeft w:val="0"/>
      <w:marRight w:val="0"/>
      <w:marTop w:val="0"/>
      <w:marBottom w:val="0"/>
      <w:divBdr>
        <w:top w:val="none" w:sz="0" w:space="0" w:color="auto"/>
        <w:left w:val="none" w:sz="0" w:space="0" w:color="auto"/>
        <w:bottom w:val="none" w:sz="0" w:space="0" w:color="auto"/>
        <w:right w:val="none" w:sz="0" w:space="0" w:color="auto"/>
      </w:divBdr>
    </w:div>
    <w:div w:id="1951551499">
      <w:bodyDiv w:val="1"/>
      <w:marLeft w:val="0"/>
      <w:marRight w:val="0"/>
      <w:marTop w:val="0"/>
      <w:marBottom w:val="0"/>
      <w:divBdr>
        <w:top w:val="none" w:sz="0" w:space="0" w:color="auto"/>
        <w:left w:val="none" w:sz="0" w:space="0" w:color="auto"/>
        <w:bottom w:val="none" w:sz="0" w:space="0" w:color="auto"/>
        <w:right w:val="none" w:sz="0" w:space="0" w:color="auto"/>
      </w:divBdr>
    </w:div>
    <w:div w:id="1956517209">
      <w:bodyDiv w:val="1"/>
      <w:marLeft w:val="0"/>
      <w:marRight w:val="0"/>
      <w:marTop w:val="0"/>
      <w:marBottom w:val="0"/>
      <w:divBdr>
        <w:top w:val="none" w:sz="0" w:space="0" w:color="auto"/>
        <w:left w:val="none" w:sz="0" w:space="0" w:color="auto"/>
        <w:bottom w:val="none" w:sz="0" w:space="0" w:color="auto"/>
        <w:right w:val="none" w:sz="0" w:space="0" w:color="auto"/>
      </w:divBdr>
    </w:div>
    <w:div w:id="1989089713">
      <w:bodyDiv w:val="1"/>
      <w:marLeft w:val="0"/>
      <w:marRight w:val="0"/>
      <w:marTop w:val="0"/>
      <w:marBottom w:val="0"/>
      <w:divBdr>
        <w:top w:val="none" w:sz="0" w:space="0" w:color="auto"/>
        <w:left w:val="none" w:sz="0" w:space="0" w:color="auto"/>
        <w:bottom w:val="none" w:sz="0" w:space="0" w:color="auto"/>
        <w:right w:val="none" w:sz="0" w:space="0" w:color="auto"/>
      </w:divBdr>
    </w:div>
    <w:div w:id="1994679719">
      <w:bodyDiv w:val="1"/>
      <w:marLeft w:val="0"/>
      <w:marRight w:val="0"/>
      <w:marTop w:val="0"/>
      <w:marBottom w:val="0"/>
      <w:divBdr>
        <w:top w:val="none" w:sz="0" w:space="0" w:color="auto"/>
        <w:left w:val="none" w:sz="0" w:space="0" w:color="auto"/>
        <w:bottom w:val="none" w:sz="0" w:space="0" w:color="auto"/>
        <w:right w:val="none" w:sz="0" w:space="0" w:color="auto"/>
      </w:divBdr>
    </w:div>
    <w:div w:id="2055032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Garamond">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F5EF3AF6-1CC4-4CA9-8584-86FA69D32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61164</Words>
  <Characters>360874</Characters>
  <Application>Microsoft Office Word</Application>
  <DocSecurity>4</DocSecurity>
  <Lines>3007</Lines>
  <Paragraphs>842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gcera</dc:creator>
  <cp:keywords/>
  <dc:description/>
  <cp:lastModifiedBy>Hana Janečková</cp:lastModifiedBy>
  <cp:revision>2</cp:revision>
  <cp:lastPrinted>2019-10-14T11:31:00Z</cp:lastPrinted>
  <dcterms:created xsi:type="dcterms:W3CDTF">2022-04-05T07:22:00Z</dcterms:created>
  <dcterms:modified xsi:type="dcterms:W3CDTF">2022-04-05T07:22:00Z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http://www.zotero.org/styles/sage-harvard</vt:lpwstr>
  </property>
  <property fmtid="{D5CDD505-2E9C-101B-9397-08002B2CF9AE}" pid="4" name="Mendeley Unique User Id_1">
    <vt:lpwstr>f773067d-962b-325a-8ff7-26de5955a3a5</vt:lpwstr>
  </property>
  <property fmtid="{D5CDD505-2E9C-101B-9397-08002B2CF9AE}" pid="5" name="Mendeley Recent Style Id 0_1">
    <vt:lpwstr>http://csl.mendeley.com/styles/472377051/apa-3</vt:lpwstr>
  </property>
  <property fmtid="{D5CDD505-2E9C-101B-9397-08002B2CF9AE}" pid="6" name="Mendeley Recent Style Name 0_1">
    <vt:lpwstr>APA 6th - without DOI</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http://www.zotero.org/styles/emerald-harvard</vt:lpwstr>
  </property>
  <property fmtid="{D5CDD505-2E9C-101B-9397-08002B2CF9AE}" pid="14" name="Mendeley Recent Style Name 4_1">
    <vt:lpwstr>Emerald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http://www.zotero.org/styles/sage-harvard</vt:lpwstr>
  </property>
  <property fmtid="{D5CDD505-2E9C-101B-9397-08002B2CF9AE}" pid="18" name="Mendeley Recent Style Name 6_1">
    <vt:lpwstr>SAGE - Harvard</vt:lpwstr>
  </property>
  <property fmtid="{D5CDD505-2E9C-101B-9397-08002B2CF9AE}" pid="19" name="Mendeley Recent Style Id 7_1">
    <vt:lpwstr>http://www.zotero.org/styles/taylor-and-francis-apa</vt:lpwstr>
  </property>
  <property fmtid="{D5CDD505-2E9C-101B-9397-08002B2CF9AE}" pid="20" name="Mendeley Recent Style Name 7_1">
    <vt:lpwstr>Taylor &amp; Francis - APA</vt:lpwstr>
  </property>
  <property fmtid="{D5CDD505-2E9C-101B-9397-08002B2CF9AE}" pid="21" name="Mendeley Recent Style Id 8_1">
    <vt:lpwstr>https://csl.mendeley.com/styles/472377051/Wiley-emerald-harvard-2</vt:lpwstr>
  </property>
  <property fmtid="{D5CDD505-2E9C-101B-9397-08002B2CF9AE}" pid="22" name="Mendeley Recent Style Name 8_1">
    <vt:lpwstr>Wiley Emerald - Harvard - Gentjan Çera</vt:lpwstr>
  </property>
  <property fmtid="{D5CDD505-2E9C-101B-9397-08002B2CF9AE}" pid="23" name="Mendeley Recent Style Id 9_1">
    <vt:lpwstr>http://www.zotero.org/styles/wiley-vch-books</vt:lpwstr>
  </property>
  <property fmtid="{D5CDD505-2E9C-101B-9397-08002B2CF9AE}" pid="24" name="Mendeley Recent Style Name 9_1">
    <vt:lpwstr>Wiley-VCH books</vt:lpwstr>
  </property>
</Properties>
</file>