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65CC1" w14:textId="44E12F4B" w:rsidR="0022023A" w:rsidRPr="00EF319B" w:rsidRDefault="0022023A" w:rsidP="0022023A">
      <w:pPr>
        <w:spacing w:line="360" w:lineRule="auto"/>
        <w:jc w:val="center"/>
        <w:rPr>
          <w:rFonts w:ascii="Times New Roman" w:eastAsia="Calibri" w:hAnsi="Times New Roman" w:cs="Times New Roman"/>
          <w:b/>
          <w:kern w:val="0"/>
          <w:sz w:val="20"/>
          <w:szCs w:val="20"/>
          <w14:ligatures w14:val="none"/>
        </w:rPr>
      </w:pPr>
      <w:bookmarkStart w:id="0" w:name="_Hlk151304279"/>
      <w:r w:rsidRPr="00EF319B">
        <w:rPr>
          <w:rFonts w:ascii="Times New Roman" w:eastAsia="Calibri" w:hAnsi="Times New Roman" w:cs="Times New Roman"/>
          <w:b/>
          <w:kern w:val="0"/>
          <w:sz w:val="20"/>
          <w:szCs w:val="20"/>
          <w14:ligatures w14:val="none"/>
        </w:rPr>
        <w:t xml:space="preserve">Optimized adsorption removal and capacity prediction of anionic </w:t>
      </w:r>
      <w:r w:rsidR="00A27E13" w:rsidRPr="00EF319B">
        <w:rPr>
          <w:rFonts w:ascii="Times New Roman" w:eastAsia="Calibri" w:hAnsi="Times New Roman" w:cs="Times New Roman"/>
          <w:b/>
          <w:kern w:val="0"/>
          <w:sz w:val="20"/>
          <w:szCs w:val="20"/>
          <w14:ligatures w14:val="none"/>
        </w:rPr>
        <w:t>pollutants</w:t>
      </w:r>
      <w:r w:rsidRPr="00EF319B">
        <w:rPr>
          <w:rFonts w:ascii="Times New Roman" w:eastAsia="Calibri" w:hAnsi="Times New Roman" w:cs="Times New Roman"/>
          <w:b/>
          <w:kern w:val="0"/>
          <w:sz w:val="20"/>
          <w:szCs w:val="20"/>
          <w14:ligatures w14:val="none"/>
        </w:rPr>
        <w:t xml:space="preserve"> using a hybrid strategy of machine learning algorithms</w:t>
      </w:r>
    </w:p>
    <w:p w14:paraId="315130AF" w14:textId="1348E94B" w:rsidR="0022023A" w:rsidRPr="00EF319B" w:rsidRDefault="0022023A" w:rsidP="00413A6A">
      <w:pPr>
        <w:spacing w:line="360" w:lineRule="auto"/>
        <w:jc w:val="center"/>
        <w:rPr>
          <w:rFonts w:ascii="Times New Roman" w:eastAsia="Calibri" w:hAnsi="Times New Roman" w:cs="Times New Roman"/>
          <w:kern w:val="0"/>
          <w:sz w:val="20"/>
          <w:szCs w:val="20"/>
          <w14:ligatures w14:val="none"/>
        </w:rPr>
      </w:pPr>
      <w:r w:rsidRPr="00EF319B">
        <w:rPr>
          <w:rFonts w:ascii="Times New Roman" w:eastAsia="Calibri" w:hAnsi="Times New Roman" w:cs="Times New Roman"/>
          <w:kern w:val="0"/>
          <w:sz w:val="20"/>
          <w:szCs w:val="20"/>
          <w14:ligatures w14:val="none"/>
        </w:rPr>
        <w:t>Hamza Ul Haq</w:t>
      </w:r>
      <w:r w:rsidRPr="00EF319B">
        <w:rPr>
          <w:rFonts w:ascii="Times New Roman" w:eastAsia="Calibri" w:hAnsi="Times New Roman" w:cs="Times New Roman"/>
          <w:kern w:val="0"/>
          <w:sz w:val="20"/>
          <w:szCs w:val="20"/>
          <w:vertAlign w:val="superscript"/>
          <w14:ligatures w14:val="none"/>
        </w:rPr>
        <w:t>1</w:t>
      </w:r>
      <w:r w:rsidRPr="00EF319B">
        <w:rPr>
          <w:rFonts w:ascii="Times New Roman" w:eastAsia="Calibri" w:hAnsi="Times New Roman" w:cs="Times New Roman"/>
          <w:kern w:val="0"/>
          <w:sz w:val="20"/>
          <w:szCs w:val="20"/>
          <w14:ligatures w14:val="none"/>
        </w:rPr>
        <w:t>, Muhammad Yasir</w:t>
      </w:r>
      <w:r w:rsidRPr="00EF319B">
        <w:rPr>
          <w:rFonts w:ascii="Times New Roman" w:eastAsia="Calibri" w:hAnsi="Times New Roman" w:cs="Times New Roman"/>
          <w:kern w:val="0"/>
          <w:sz w:val="20"/>
          <w:szCs w:val="20"/>
          <w:vertAlign w:val="superscript"/>
          <w14:ligatures w14:val="none"/>
        </w:rPr>
        <w:t>2, *</w:t>
      </w:r>
      <w:r w:rsidRPr="00EF319B">
        <w:rPr>
          <w:rFonts w:ascii="Times New Roman" w:eastAsia="Calibri" w:hAnsi="Times New Roman" w:cs="Times New Roman"/>
          <w:kern w:val="0"/>
          <w:sz w:val="20"/>
          <w:szCs w:val="20"/>
          <w14:ligatures w14:val="none"/>
        </w:rPr>
        <w:t>, Muhammad Nouman Aslam Khan</w:t>
      </w:r>
      <w:r w:rsidRPr="00EF319B">
        <w:rPr>
          <w:rFonts w:ascii="Times New Roman" w:eastAsia="Calibri" w:hAnsi="Times New Roman" w:cs="Times New Roman"/>
          <w:kern w:val="0"/>
          <w:sz w:val="20"/>
          <w:szCs w:val="20"/>
          <w:vertAlign w:val="superscript"/>
          <w14:ligatures w14:val="none"/>
        </w:rPr>
        <w:t>1</w:t>
      </w:r>
      <w:r w:rsidRPr="00EF319B">
        <w:rPr>
          <w:rFonts w:ascii="Times New Roman" w:eastAsia="Calibri" w:hAnsi="Times New Roman" w:cs="Times New Roman"/>
          <w:kern w:val="0"/>
          <w:sz w:val="20"/>
          <w:szCs w:val="20"/>
          <w14:ligatures w14:val="none"/>
        </w:rPr>
        <w:t>, Jawad Gul</w:t>
      </w:r>
      <w:r w:rsidRPr="00EF319B">
        <w:rPr>
          <w:rFonts w:ascii="Times New Roman" w:eastAsia="Calibri" w:hAnsi="Times New Roman" w:cs="Times New Roman"/>
          <w:kern w:val="0"/>
          <w:sz w:val="20"/>
          <w:szCs w:val="20"/>
          <w:vertAlign w:val="superscript"/>
          <w14:ligatures w14:val="none"/>
        </w:rPr>
        <w:t>1</w:t>
      </w:r>
      <w:r w:rsidRPr="00EF319B">
        <w:rPr>
          <w:rFonts w:ascii="Times New Roman" w:eastAsia="Calibri" w:hAnsi="Times New Roman" w:cs="Times New Roman"/>
          <w:kern w:val="0"/>
          <w:sz w:val="20"/>
          <w:szCs w:val="20"/>
          <w14:ligatures w14:val="none"/>
        </w:rPr>
        <w:t>, Mukarram Zubair</w:t>
      </w:r>
      <w:r w:rsidR="009616D1" w:rsidRPr="00EF319B">
        <w:rPr>
          <w:rFonts w:ascii="Times New Roman" w:eastAsia="Calibri" w:hAnsi="Times New Roman" w:cs="Times New Roman"/>
          <w:kern w:val="0"/>
          <w:sz w:val="20"/>
          <w:szCs w:val="20"/>
          <w:vertAlign w:val="superscript"/>
          <w14:ligatures w14:val="none"/>
        </w:rPr>
        <w:t>3</w:t>
      </w:r>
      <w:r w:rsidRPr="00EF319B">
        <w:rPr>
          <w:rFonts w:ascii="Times New Roman" w:eastAsia="Calibri" w:hAnsi="Times New Roman" w:cs="Times New Roman"/>
          <w:kern w:val="0"/>
          <w:sz w:val="20"/>
          <w:szCs w:val="20"/>
          <w14:ligatures w14:val="none"/>
        </w:rPr>
        <w:t>, Hassan Ali</w:t>
      </w:r>
      <w:r w:rsidRPr="00EF319B">
        <w:rPr>
          <w:rFonts w:ascii="Times New Roman" w:eastAsia="Calibri" w:hAnsi="Times New Roman" w:cs="Times New Roman"/>
          <w:kern w:val="0"/>
          <w:sz w:val="20"/>
          <w:szCs w:val="20"/>
          <w:vertAlign w:val="superscript"/>
          <w14:ligatures w14:val="none"/>
        </w:rPr>
        <w:t>2</w:t>
      </w:r>
      <w:r w:rsidRPr="00EF319B">
        <w:rPr>
          <w:rFonts w:ascii="Times New Roman" w:eastAsia="Calibri" w:hAnsi="Times New Roman" w:cs="Times New Roman"/>
          <w:kern w:val="0"/>
          <w:sz w:val="20"/>
          <w:szCs w:val="20"/>
          <w14:ligatures w14:val="none"/>
        </w:rPr>
        <w:t>, Vladimir Sedlarik</w:t>
      </w:r>
      <w:r w:rsidR="00B45B6A">
        <w:rPr>
          <w:rFonts w:ascii="Times New Roman" w:eastAsia="Calibri" w:hAnsi="Times New Roman" w:cs="Times New Roman"/>
          <w:kern w:val="0"/>
          <w:sz w:val="20"/>
          <w:szCs w:val="20"/>
          <w:vertAlign w:val="superscript"/>
          <w14:ligatures w14:val="none"/>
        </w:rPr>
        <w:t>2</w:t>
      </w:r>
      <w:r w:rsidRPr="00EF319B">
        <w:rPr>
          <w:rFonts w:ascii="Times New Roman" w:eastAsia="Calibri" w:hAnsi="Times New Roman" w:cs="Times New Roman"/>
          <w:kern w:val="0"/>
          <w:sz w:val="20"/>
          <w:szCs w:val="20"/>
          <w14:ligatures w14:val="none"/>
        </w:rPr>
        <w:t>, Nasir. M. Ahmad</w:t>
      </w:r>
      <w:r w:rsidR="004A0BDA" w:rsidRPr="00EF319B">
        <w:rPr>
          <w:rFonts w:ascii="Times New Roman" w:eastAsia="Calibri" w:hAnsi="Times New Roman" w:cs="Times New Roman"/>
          <w:kern w:val="0"/>
          <w:sz w:val="20"/>
          <w:szCs w:val="20"/>
          <w:vertAlign w:val="superscript"/>
          <w14:ligatures w14:val="none"/>
        </w:rPr>
        <w:t>1</w:t>
      </w:r>
      <w:r w:rsidRPr="00EF319B">
        <w:rPr>
          <w:rFonts w:ascii="Times New Roman" w:eastAsia="Calibri" w:hAnsi="Times New Roman" w:cs="Times New Roman"/>
          <w:kern w:val="0"/>
          <w:sz w:val="20"/>
          <w:szCs w:val="20"/>
          <w:vertAlign w:val="superscript"/>
          <w14:ligatures w14:val="none"/>
        </w:rPr>
        <w:t>, *</w:t>
      </w:r>
    </w:p>
    <w:p w14:paraId="12C56884" w14:textId="1B7DF6A9" w:rsidR="0022023A" w:rsidRPr="00EF319B" w:rsidRDefault="0022023A" w:rsidP="00413A6A">
      <w:pPr>
        <w:spacing w:line="240" w:lineRule="auto"/>
        <w:rPr>
          <w:rFonts w:ascii="Times New Roman" w:eastAsia="Calibri" w:hAnsi="Times New Roman" w:cs="Times New Roman"/>
          <w:kern w:val="0"/>
          <w:sz w:val="18"/>
          <w:szCs w:val="18"/>
          <w14:ligatures w14:val="none"/>
        </w:rPr>
      </w:pPr>
      <w:r w:rsidRPr="00EF319B">
        <w:rPr>
          <w:rFonts w:ascii="Times New Roman" w:eastAsia="Calibri" w:hAnsi="Times New Roman" w:cs="Times New Roman"/>
          <w:kern w:val="0"/>
          <w:sz w:val="18"/>
          <w:szCs w:val="18"/>
          <w:vertAlign w:val="superscript"/>
          <w14:ligatures w14:val="none"/>
        </w:rPr>
        <w:t>1</w:t>
      </w:r>
      <w:r w:rsidR="61682072" w:rsidRPr="00EF319B">
        <w:rPr>
          <w:rFonts w:ascii="Times New Roman" w:eastAsia="Calibri" w:hAnsi="Times New Roman" w:cs="Times New Roman"/>
          <w:sz w:val="18"/>
          <w:szCs w:val="18"/>
        </w:rPr>
        <w:t>Multiscale &amp; Intelligence for Materials Innovation and Chemical Engineering</w:t>
      </w:r>
      <w:r w:rsidRPr="00EF319B">
        <w:rPr>
          <w:rFonts w:ascii="Times New Roman" w:eastAsia="Calibri" w:hAnsi="Times New Roman" w:cs="Times New Roman"/>
          <w:kern w:val="0"/>
          <w:sz w:val="18"/>
          <w:szCs w:val="18"/>
          <w14:ligatures w14:val="none"/>
        </w:rPr>
        <w:t>, School of Chemical and Materials Engineering, National University of Sciences and Technology, Islamabad 44000, Pakistan</w:t>
      </w:r>
    </w:p>
    <w:bookmarkEnd w:id="0"/>
    <w:p w14:paraId="3A47599C" w14:textId="77777777" w:rsidR="0022023A" w:rsidRPr="00EF319B" w:rsidRDefault="0022023A" w:rsidP="00413A6A">
      <w:pPr>
        <w:spacing w:line="240" w:lineRule="auto"/>
        <w:rPr>
          <w:rFonts w:ascii="Times New Roman" w:eastAsia="Calibri" w:hAnsi="Times New Roman" w:cs="Times New Roman"/>
          <w:iCs/>
          <w:kern w:val="0"/>
          <w:sz w:val="18"/>
          <w:szCs w:val="18"/>
          <w14:ligatures w14:val="none"/>
        </w:rPr>
      </w:pPr>
      <w:r w:rsidRPr="00EF319B">
        <w:rPr>
          <w:rFonts w:ascii="Times New Roman" w:eastAsia="Calibri" w:hAnsi="Times New Roman" w:cs="Times New Roman"/>
          <w:iCs/>
          <w:kern w:val="0"/>
          <w:sz w:val="18"/>
          <w:szCs w:val="18"/>
          <w:vertAlign w:val="superscript"/>
          <w14:ligatures w14:val="none"/>
        </w:rPr>
        <w:t>2</w:t>
      </w:r>
      <w:r w:rsidRPr="00EF319B">
        <w:rPr>
          <w:rFonts w:ascii="Times New Roman" w:eastAsia="Calibri" w:hAnsi="Times New Roman" w:cs="Times New Roman"/>
          <w:iCs/>
          <w:kern w:val="0"/>
          <w:sz w:val="18"/>
          <w:szCs w:val="18"/>
          <w14:ligatures w14:val="none"/>
        </w:rPr>
        <w:t>Centre of Polymer Systems, Tomas Bata University in Zlin, Tr. T. Bati 5678, 76001 Zlin, Czech Republic</w:t>
      </w:r>
    </w:p>
    <w:p w14:paraId="2B0D23E1" w14:textId="736272A5" w:rsidR="0022023A" w:rsidRPr="00EF319B" w:rsidRDefault="004A0BDA" w:rsidP="00413A6A">
      <w:pPr>
        <w:spacing w:line="240" w:lineRule="auto"/>
        <w:rPr>
          <w:rFonts w:ascii="Times New Roman" w:eastAsia="Calibri" w:hAnsi="Times New Roman" w:cs="Times New Roman"/>
          <w:iCs/>
          <w:kern w:val="0"/>
          <w:sz w:val="18"/>
          <w:szCs w:val="18"/>
          <w14:ligatures w14:val="none"/>
        </w:rPr>
      </w:pPr>
      <w:r w:rsidRPr="00EF319B">
        <w:rPr>
          <w:rFonts w:ascii="Times New Roman" w:eastAsia="Calibri" w:hAnsi="Times New Roman" w:cs="Times New Roman"/>
          <w:iCs/>
          <w:kern w:val="0"/>
          <w:sz w:val="18"/>
          <w:szCs w:val="18"/>
          <w:vertAlign w:val="superscript"/>
          <w14:ligatures w14:val="none"/>
        </w:rPr>
        <w:t>3</w:t>
      </w:r>
      <w:r w:rsidRPr="00EF319B">
        <w:rPr>
          <w:rFonts w:ascii="Times New Roman" w:eastAsia="Calibri" w:hAnsi="Times New Roman" w:cs="Times New Roman"/>
          <w:iCs/>
          <w:kern w:val="0"/>
          <w:sz w:val="18"/>
          <w:szCs w:val="18"/>
          <w14:ligatures w14:val="none"/>
        </w:rPr>
        <w:t>Environmental Engineering Department, College of Engineering A13, Imam Abdulrahman Bin Faisal University, Main Campus, P.O. Box 1982, Dammam 34212, Saudi Arabia</w:t>
      </w:r>
      <w:r w:rsidR="0022023A" w:rsidRPr="00EF319B">
        <w:rPr>
          <w:rFonts w:ascii="Times New Roman" w:eastAsia="Calibri" w:hAnsi="Times New Roman" w:cs="Times New Roman"/>
          <w:iCs/>
          <w:kern w:val="0"/>
          <w:sz w:val="18"/>
          <w:szCs w:val="18"/>
          <w14:ligatures w14:val="none"/>
        </w:rPr>
        <w:t>.</w:t>
      </w:r>
    </w:p>
    <w:p w14:paraId="322638C5" w14:textId="77777777" w:rsidR="0022023A" w:rsidRPr="00EF319B" w:rsidRDefault="0022023A" w:rsidP="00413A6A">
      <w:pPr>
        <w:spacing w:line="240" w:lineRule="auto"/>
        <w:rPr>
          <w:rFonts w:ascii="Times New Roman" w:eastAsia="Calibri" w:hAnsi="Times New Roman" w:cs="Times New Roman"/>
          <w:kern w:val="0"/>
          <w:sz w:val="18"/>
          <w:szCs w:val="18"/>
          <w14:ligatures w14:val="none"/>
        </w:rPr>
      </w:pPr>
      <w:r w:rsidRPr="00EF319B">
        <w:rPr>
          <w:rFonts w:ascii="Times New Roman" w:eastAsia="Calibri" w:hAnsi="Times New Roman" w:cs="Times New Roman"/>
          <w:kern w:val="0"/>
          <w:sz w:val="18"/>
          <w:szCs w:val="18"/>
          <w14:ligatures w14:val="none"/>
        </w:rPr>
        <w:t>*Corresponding authors. M.Y (</w:t>
      </w:r>
      <w:hyperlink r:id="rId10" w:history="1">
        <w:r w:rsidRPr="00EF319B">
          <w:rPr>
            <w:rStyle w:val="Hyperlink"/>
            <w:rFonts w:ascii="Times New Roman" w:eastAsia="Calibri" w:hAnsi="Times New Roman" w:cs="Times New Roman"/>
            <w:kern w:val="0"/>
            <w:sz w:val="18"/>
            <w:szCs w:val="18"/>
            <w14:ligatures w14:val="none"/>
          </w:rPr>
          <w:t>yasir@utb.cz</w:t>
        </w:r>
      </w:hyperlink>
      <w:r w:rsidRPr="00EF319B">
        <w:rPr>
          <w:rFonts w:ascii="Times New Roman" w:eastAsia="Calibri" w:hAnsi="Times New Roman" w:cs="Times New Roman"/>
          <w:kern w:val="0"/>
          <w:sz w:val="18"/>
          <w:szCs w:val="18"/>
          <w14:ligatures w14:val="none"/>
        </w:rPr>
        <w:t>) and N.M.A (</w:t>
      </w:r>
      <w:hyperlink r:id="rId11" w:history="1">
        <w:r w:rsidRPr="00EF319B">
          <w:rPr>
            <w:rStyle w:val="Hyperlink"/>
            <w:rFonts w:ascii="Times New Roman" w:eastAsia="Calibri" w:hAnsi="Times New Roman" w:cs="Times New Roman"/>
            <w:kern w:val="0"/>
            <w:sz w:val="18"/>
            <w:szCs w:val="18"/>
            <w14:ligatures w14:val="none"/>
          </w:rPr>
          <w:t>nasir.ahmad@scme.nust.edu.pk</w:t>
        </w:r>
      </w:hyperlink>
      <w:r w:rsidRPr="00EF319B">
        <w:rPr>
          <w:rFonts w:ascii="Times New Roman" w:eastAsia="Calibri" w:hAnsi="Times New Roman" w:cs="Times New Roman"/>
          <w:kern w:val="0"/>
          <w:sz w:val="18"/>
          <w:szCs w:val="18"/>
          <w14:ligatures w14:val="none"/>
        </w:rPr>
        <w:t>)</w:t>
      </w:r>
    </w:p>
    <w:p w14:paraId="38690CEB" w14:textId="77777777" w:rsidR="00413A6A" w:rsidRPr="00EF319B" w:rsidRDefault="00413A6A" w:rsidP="00413A6A">
      <w:pPr>
        <w:spacing w:line="240" w:lineRule="auto"/>
        <w:rPr>
          <w:rFonts w:ascii="Times New Roman" w:eastAsia="Calibri" w:hAnsi="Times New Roman" w:cs="Times New Roman"/>
          <w:kern w:val="0"/>
          <w:sz w:val="18"/>
          <w:szCs w:val="18"/>
          <w14:ligatures w14:val="none"/>
        </w:rPr>
      </w:pPr>
    </w:p>
    <w:p w14:paraId="7F5CA2B9" w14:textId="77777777" w:rsidR="0022023A" w:rsidRPr="00EF319B" w:rsidRDefault="0022023A" w:rsidP="0022023A">
      <w:pPr>
        <w:keepNext/>
        <w:keepLines/>
        <w:numPr>
          <w:ilvl w:val="2"/>
          <w:numId w:val="0"/>
        </w:numPr>
        <w:spacing w:before="40" w:after="0" w:line="259" w:lineRule="auto"/>
        <w:outlineLvl w:val="2"/>
        <w:rPr>
          <w:rFonts w:ascii="Times New Roman" w:eastAsia="Yu Gothic Light" w:hAnsi="Times New Roman" w:cs="Times New Roman"/>
          <w:b/>
          <w:kern w:val="0"/>
          <w:sz w:val="20"/>
          <w:szCs w:val="20"/>
          <w14:ligatures w14:val="none"/>
        </w:rPr>
      </w:pPr>
      <w:r w:rsidRPr="00EF319B">
        <w:rPr>
          <w:rFonts w:ascii="Times New Roman" w:eastAsia="Yu Gothic Light" w:hAnsi="Times New Roman" w:cs="Times New Roman"/>
          <w:b/>
          <w:kern w:val="0"/>
          <w:sz w:val="20"/>
          <w:szCs w:val="20"/>
          <w14:ligatures w14:val="none"/>
        </w:rPr>
        <w:t>Abstract</w:t>
      </w:r>
    </w:p>
    <w:p w14:paraId="1CFC9C55" w14:textId="77777777" w:rsidR="00B66021" w:rsidRPr="00EF319B" w:rsidRDefault="00B66021" w:rsidP="0022023A">
      <w:pPr>
        <w:keepNext/>
        <w:keepLines/>
        <w:numPr>
          <w:ilvl w:val="2"/>
          <w:numId w:val="0"/>
        </w:numPr>
        <w:spacing w:before="40" w:after="0" w:line="259" w:lineRule="auto"/>
        <w:outlineLvl w:val="2"/>
        <w:rPr>
          <w:rFonts w:ascii="Times New Roman" w:eastAsia="Yu Gothic Light" w:hAnsi="Times New Roman" w:cs="Times New Roman"/>
          <w:b/>
          <w:kern w:val="0"/>
          <w:sz w:val="20"/>
          <w:szCs w:val="20"/>
          <w14:ligatures w14:val="none"/>
        </w:rPr>
      </w:pPr>
    </w:p>
    <w:p w14:paraId="037D6EE6" w14:textId="10C091F5" w:rsidR="00E71D86" w:rsidRPr="00EF319B" w:rsidRDefault="0025260D" w:rsidP="0025260D">
      <w:pPr>
        <w:keepNext/>
        <w:keepLines/>
        <w:numPr>
          <w:ilvl w:val="2"/>
          <w:numId w:val="0"/>
        </w:numPr>
        <w:spacing w:before="40" w:after="0" w:line="360" w:lineRule="auto"/>
        <w:jc w:val="both"/>
        <w:outlineLvl w:val="2"/>
        <w:rPr>
          <w:rFonts w:ascii="Times New Roman" w:eastAsia="Calibri" w:hAnsi="Times New Roman" w:cs="Times New Roman"/>
          <w:kern w:val="0"/>
          <w:sz w:val="20"/>
          <w:szCs w:val="20"/>
          <w14:ligatures w14:val="none"/>
        </w:rPr>
      </w:pPr>
      <w:r w:rsidRPr="00EF319B">
        <w:rPr>
          <w:rFonts w:ascii="Times New Roman" w:eastAsia="Calibri" w:hAnsi="Times New Roman" w:cs="Times New Roman"/>
          <w:kern w:val="0"/>
          <w:sz w:val="20"/>
          <w:szCs w:val="20"/>
          <w14:ligatures w14:val="none"/>
        </w:rPr>
        <w:t>Accurate prediction of adsorption performance is crucial for optimizing wastewater treatment systems</w:t>
      </w:r>
      <w:r w:rsidR="00A3194B" w:rsidRPr="00EF319B">
        <w:rPr>
          <w:rFonts w:ascii="Times New Roman" w:eastAsia="Calibri" w:hAnsi="Times New Roman" w:cs="Times New Roman"/>
          <w:kern w:val="0"/>
          <w:sz w:val="20"/>
          <w:szCs w:val="20"/>
          <w14:ligatures w14:val="none"/>
        </w:rPr>
        <w:t>,</w:t>
      </w:r>
      <w:r w:rsidRPr="00EF319B">
        <w:rPr>
          <w:rFonts w:ascii="Times New Roman" w:eastAsia="Calibri" w:hAnsi="Times New Roman" w:cs="Times New Roman"/>
          <w:kern w:val="0"/>
          <w:sz w:val="20"/>
          <w:szCs w:val="20"/>
          <w14:ligatures w14:val="none"/>
        </w:rPr>
        <w:t xml:space="preserve"> however, the complex interactions among operational variables and adsorbent properties often limit conventional modelling approaches. In this study, a machine learning framework was developed to predict the adsorption removal efficiency and kinetic capacity of anionic pollutants in aqueous systems. A comprehensive experimental dataset was generated using four representative pollutants</w:t>
      </w:r>
      <w:r w:rsidR="00655636" w:rsidRPr="00EF319B">
        <w:rPr>
          <w:rFonts w:ascii="Times New Roman" w:eastAsia="Calibri" w:hAnsi="Times New Roman" w:cs="Times New Roman"/>
          <w:kern w:val="0"/>
          <w:sz w:val="20"/>
          <w:szCs w:val="20"/>
          <w14:ligatures w14:val="none"/>
        </w:rPr>
        <w:t xml:space="preserve">, i.e., </w:t>
      </w:r>
      <w:r w:rsidRPr="00EF319B">
        <w:rPr>
          <w:rFonts w:ascii="Times New Roman" w:eastAsia="Calibri" w:hAnsi="Times New Roman" w:cs="Times New Roman"/>
          <w:kern w:val="0"/>
          <w:sz w:val="20"/>
          <w:szCs w:val="20"/>
          <w14:ligatures w14:val="none"/>
        </w:rPr>
        <w:t>bovine serum albumin, methyl orange, sulfate, and nitrate</w:t>
      </w:r>
      <w:r w:rsidR="00655636" w:rsidRPr="00EF319B">
        <w:rPr>
          <w:rFonts w:ascii="Times New Roman" w:eastAsia="Calibri" w:hAnsi="Times New Roman" w:cs="Times New Roman"/>
          <w:kern w:val="0"/>
          <w:sz w:val="20"/>
          <w:szCs w:val="20"/>
          <w14:ligatures w14:val="none"/>
        </w:rPr>
        <w:t xml:space="preserve"> </w:t>
      </w:r>
      <w:r w:rsidR="00707CD1" w:rsidRPr="00EF319B">
        <w:rPr>
          <w:rFonts w:ascii="Times New Roman" w:eastAsia="Calibri" w:hAnsi="Times New Roman" w:cs="Times New Roman"/>
          <w:kern w:val="0"/>
          <w:sz w:val="20"/>
          <w:szCs w:val="20"/>
          <w14:ligatures w14:val="none"/>
        </w:rPr>
        <w:t>and</w:t>
      </w:r>
      <w:r w:rsidRPr="00EF319B">
        <w:rPr>
          <w:rFonts w:ascii="Times New Roman" w:eastAsia="Calibri" w:hAnsi="Times New Roman" w:cs="Times New Roman"/>
          <w:kern w:val="0"/>
          <w:sz w:val="20"/>
          <w:szCs w:val="20"/>
          <w14:ligatures w14:val="none"/>
        </w:rPr>
        <w:t xml:space="preserve"> four adsorbent materials, including powdered activated carbon</w:t>
      </w:r>
      <w:r w:rsidR="00825B2B" w:rsidRPr="00EF319B">
        <w:rPr>
          <w:rFonts w:ascii="Times New Roman" w:eastAsia="Calibri" w:hAnsi="Times New Roman" w:cs="Times New Roman"/>
          <w:kern w:val="0"/>
          <w:sz w:val="20"/>
          <w:szCs w:val="20"/>
          <w14:ligatures w14:val="none"/>
        </w:rPr>
        <w:t xml:space="preserve"> (PAC)</w:t>
      </w:r>
      <w:r w:rsidRPr="00EF319B">
        <w:rPr>
          <w:rFonts w:ascii="Times New Roman" w:eastAsia="Calibri" w:hAnsi="Times New Roman" w:cs="Times New Roman"/>
          <w:kern w:val="0"/>
          <w:sz w:val="20"/>
          <w:szCs w:val="20"/>
          <w14:ligatures w14:val="none"/>
        </w:rPr>
        <w:t>, thermally modified PAC, chemically modified PA</w:t>
      </w:r>
      <w:r w:rsidR="00655636" w:rsidRPr="00EF319B">
        <w:rPr>
          <w:rFonts w:ascii="Times New Roman" w:eastAsia="Calibri" w:hAnsi="Times New Roman" w:cs="Times New Roman"/>
          <w:kern w:val="0"/>
          <w:sz w:val="20"/>
          <w:szCs w:val="20"/>
          <w14:ligatures w14:val="none"/>
        </w:rPr>
        <w:t>C</w:t>
      </w:r>
      <w:r w:rsidRPr="00EF319B">
        <w:rPr>
          <w:rFonts w:ascii="Times New Roman" w:eastAsia="Calibri" w:hAnsi="Times New Roman" w:cs="Times New Roman"/>
          <w:kern w:val="0"/>
          <w:sz w:val="20"/>
          <w:szCs w:val="20"/>
          <w14:ligatures w14:val="none"/>
        </w:rPr>
        <w:t>, and ion-exchange chitosan beads. Key operational parameters</w:t>
      </w:r>
      <w:r w:rsidR="00D36553" w:rsidRPr="00EF319B">
        <w:rPr>
          <w:rFonts w:ascii="Times New Roman" w:eastAsia="Calibri" w:hAnsi="Times New Roman" w:cs="Times New Roman"/>
          <w:kern w:val="0"/>
          <w:sz w:val="20"/>
          <w:szCs w:val="20"/>
          <w14:ligatures w14:val="none"/>
        </w:rPr>
        <w:t>, including pH, contact time, adsorbent dosage, BET surface area, solution volume, and pollutant concentration,</w:t>
      </w:r>
      <w:r w:rsidRPr="00EF319B">
        <w:rPr>
          <w:rFonts w:ascii="Times New Roman" w:eastAsia="Calibri" w:hAnsi="Times New Roman" w:cs="Times New Roman"/>
          <w:kern w:val="0"/>
          <w:sz w:val="20"/>
          <w:szCs w:val="20"/>
          <w14:ligatures w14:val="none"/>
        </w:rPr>
        <w:t xml:space="preserve"> were used as input features. Four ML algorithms</w:t>
      </w:r>
      <w:r w:rsidR="00825B2B" w:rsidRPr="00EF319B">
        <w:rPr>
          <w:rFonts w:ascii="Times New Roman" w:eastAsia="Calibri" w:hAnsi="Times New Roman" w:cs="Times New Roman"/>
          <w:kern w:val="0"/>
          <w:sz w:val="20"/>
          <w:szCs w:val="20"/>
          <w14:ligatures w14:val="none"/>
        </w:rPr>
        <w:t>, i.e.,</w:t>
      </w:r>
      <w:r w:rsidR="0005531B" w:rsidRPr="00EF319B">
        <w:rPr>
          <w:rFonts w:ascii="Times New Roman" w:eastAsia="Calibri" w:hAnsi="Times New Roman" w:cs="Times New Roman"/>
          <w:kern w:val="0"/>
          <w:sz w:val="20"/>
          <w:szCs w:val="20"/>
          <w14:ligatures w14:val="none"/>
        </w:rPr>
        <w:t xml:space="preserve"> </w:t>
      </w:r>
      <w:r w:rsidRPr="00EF319B">
        <w:rPr>
          <w:rFonts w:ascii="Times New Roman" w:eastAsia="Calibri" w:hAnsi="Times New Roman" w:cs="Times New Roman"/>
          <w:kern w:val="0"/>
          <w:sz w:val="20"/>
          <w:szCs w:val="20"/>
          <w14:ligatures w14:val="none"/>
        </w:rPr>
        <w:t>Decision Tree (DT), Gaussian Process Regression (GPR), Support Vector Machine (SVM), and Ensemble Learning Tree (ELT)</w:t>
      </w:r>
      <w:r w:rsidR="00C96D69" w:rsidRPr="00EF319B">
        <w:rPr>
          <w:rFonts w:ascii="Times New Roman" w:eastAsia="Calibri" w:hAnsi="Times New Roman" w:cs="Times New Roman"/>
          <w:kern w:val="0"/>
          <w:sz w:val="20"/>
          <w:szCs w:val="20"/>
          <w14:ligatures w14:val="none"/>
        </w:rPr>
        <w:t xml:space="preserve">, were developed and further </w:t>
      </w:r>
      <w:r w:rsidR="003A3710" w:rsidRPr="00EF319B">
        <w:rPr>
          <w:rFonts w:ascii="Times New Roman" w:eastAsia="Calibri" w:hAnsi="Times New Roman" w:cs="Times New Roman"/>
          <w:kern w:val="0"/>
          <w:sz w:val="20"/>
          <w:szCs w:val="20"/>
          <w14:ligatures w14:val="none"/>
        </w:rPr>
        <w:t>optimized</w:t>
      </w:r>
      <w:r w:rsidR="00C96D69" w:rsidRPr="00EF319B">
        <w:rPr>
          <w:rFonts w:ascii="Times New Roman" w:eastAsia="Calibri" w:hAnsi="Times New Roman" w:cs="Times New Roman"/>
          <w:kern w:val="0"/>
          <w:sz w:val="20"/>
          <w:szCs w:val="20"/>
          <w14:ligatures w14:val="none"/>
        </w:rPr>
        <w:t xml:space="preserve"> using Bayesian </w:t>
      </w:r>
      <w:r w:rsidR="003A3710" w:rsidRPr="00EF319B">
        <w:rPr>
          <w:rFonts w:ascii="Times New Roman" w:eastAsia="Calibri" w:hAnsi="Times New Roman" w:cs="Times New Roman"/>
          <w:kern w:val="0"/>
          <w:sz w:val="20"/>
          <w:szCs w:val="20"/>
          <w14:ligatures w14:val="none"/>
        </w:rPr>
        <w:t>optimization</w:t>
      </w:r>
      <w:r w:rsidRPr="00EF319B">
        <w:rPr>
          <w:rFonts w:ascii="Times New Roman" w:eastAsia="Calibri" w:hAnsi="Times New Roman" w:cs="Times New Roman"/>
          <w:kern w:val="0"/>
          <w:sz w:val="20"/>
          <w:szCs w:val="20"/>
          <w14:ligatures w14:val="none"/>
        </w:rPr>
        <w:t xml:space="preserve"> to improve predictive performance. Among the evaluated models, the optimized ELT model demonstrated the highest predictive accuracy with a coefficient of determination (</w:t>
      </w:r>
      <w:r w:rsidRPr="00EF319B">
        <w:rPr>
          <w:rFonts w:ascii="Times New Roman" w:eastAsia="Calibri" w:hAnsi="Times New Roman" w:cs="Times New Roman"/>
          <w:i/>
          <w:iCs/>
          <w:kern w:val="0"/>
          <w:sz w:val="20"/>
          <w:szCs w:val="20"/>
          <w14:ligatures w14:val="none"/>
        </w:rPr>
        <w:t>R</w:t>
      </w:r>
      <w:r w:rsidR="0005531B" w:rsidRPr="00EF319B">
        <w:rPr>
          <w:rFonts w:ascii="Times New Roman" w:eastAsia="Calibri" w:hAnsi="Times New Roman" w:cs="Times New Roman"/>
          <w:i/>
          <w:iCs/>
          <w:kern w:val="0"/>
          <w:sz w:val="20"/>
          <w:szCs w:val="20"/>
          <w:vertAlign w:val="superscript"/>
          <w14:ligatures w14:val="none"/>
        </w:rPr>
        <w:t>2</w:t>
      </w:r>
      <w:r w:rsidRPr="00EF319B">
        <w:rPr>
          <w:rFonts w:ascii="Times New Roman" w:eastAsia="Calibri" w:hAnsi="Times New Roman" w:cs="Times New Roman"/>
          <w:kern w:val="0"/>
          <w:sz w:val="20"/>
          <w:szCs w:val="20"/>
          <w14:ligatures w14:val="none"/>
        </w:rPr>
        <w:t xml:space="preserve">) of 0.78, indicating its strong capability in capturing nonlinear adsorption behavior. Model interpretation through partial dependence plots revealed significant influences of pH, adsorbent dosage, BET surface area, and initial pollutant concentration on adsorption performance, while Sobol sensitivity analysis confirmed the dominant role of initial concentration. Experimental validation using jojoba-derived biochar for the removal of methyl orange and Eriochrome Black T dyes showed strong agreement with model predictions. The developed ML </w:t>
      </w:r>
      <w:r w:rsidR="009E6DD9" w:rsidRPr="00EF319B">
        <w:rPr>
          <w:rFonts w:ascii="Times New Roman" w:eastAsia="Calibri" w:hAnsi="Times New Roman" w:cs="Times New Roman"/>
          <w:kern w:val="0"/>
          <w:sz w:val="20"/>
          <w:szCs w:val="20"/>
          <w14:ligatures w14:val="none"/>
        </w:rPr>
        <w:t>models</w:t>
      </w:r>
      <w:r w:rsidRPr="00EF319B">
        <w:rPr>
          <w:rFonts w:ascii="Times New Roman" w:eastAsia="Calibri" w:hAnsi="Times New Roman" w:cs="Times New Roman"/>
          <w:kern w:val="0"/>
          <w:sz w:val="20"/>
          <w:szCs w:val="20"/>
          <w14:ligatures w14:val="none"/>
        </w:rPr>
        <w:t xml:space="preserve"> provide</w:t>
      </w:r>
      <w:r w:rsidR="009E6DD9" w:rsidRPr="00EF319B">
        <w:rPr>
          <w:rFonts w:ascii="Times New Roman" w:eastAsia="Calibri" w:hAnsi="Times New Roman" w:cs="Times New Roman"/>
          <w:kern w:val="0"/>
          <w:sz w:val="20"/>
          <w:szCs w:val="20"/>
          <w14:ligatures w14:val="none"/>
        </w:rPr>
        <w:t xml:space="preserve"> a</w:t>
      </w:r>
      <w:r w:rsidRPr="00EF319B">
        <w:rPr>
          <w:rFonts w:ascii="Times New Roman" w:eastAsia="Calibri" w:hAnsi="Times New Roman" w:cs="Times New Roman"/>
          <w:kern w:val="0"/>
          <w:sz w:val="20"/>
          <w:szCs w:val="20"/>
          <w14:ligatures w14:val="none"/>
        </w:rPr>
        <w:t xml:space="preserve"> reliable tool for predicting adsorption performance and </w:t>
      </w:r>
      <w:r w:rsidR="00E96345" w:rsidRPr="00EF319B">
        <w:rPr>
          <w:rFonts w:ascii="Times New Roman" w:eastAsia="Calibri" w:hAnsi="Times New Roman" w:cs="Times New Roman"/>
          <w:kern w:val="0"/>
          <w:sz w:val="20"/>
          <w:szCs w:val="20"/>
          <w14:ligatures w14:val="none"/>
        </w:rPr>
        <w:t>designing</w:t>
      </w:r>
      <w:r w:rsidRPr="00EF319B">
        <w:rPr>
          <w:rFonts w:ascii="Times New Roman" w:eastAsia="Calibri" w:hAnsi="Times New Roman" w:cs="Times New Roman"/>
          <w:kern w:val="0"/>
          <w:sz w:val="20"/>
          <w:szCs w:val="20"/>
          <w14:ligatures w14:val="none"/>
        </w:rPr>
        <w:t xml:space="preserve"> efficient adsorbent-based wastewater treatment systems.</w:t>
      </w:r>
    </w:p>
    <w:p w14:paraId="64B4480B" w14:textId="77777777" w:rsidR="00E71D86" w:rsidRPr="00EF319B" w:rsidRDefault="00E71D86" w:rsidP="0022023A">
      <w:pPr>
        <w:keepNext/>
        <w:keepLines/>
        <w:numPr>
          <w:ilvl w:val="2"/>
          <w:numId w:val="0"/>
        </w:numPr>
        <w:spacing w:before="40" w:after="0" w:line="259" w:lineRule="auto"/>
        <w:outlineLvl w:val="2"/>
        <w:rPr>
          <w:rFonts w:ascii="Times New Roman" w:eastAsia="Yu Gothic Light" w:hAnsi="Times New Roman" w:cs="Times New Roman"/>
          <w:b/>
          <w:kern w:val="0"/>
          <w:sz w:val="20"/>
          <w:szCs w:val="20"/>
          <w14:ligatures w14:val="none"/>
        </w:rPr>
      </w:pPr>
    </w:p>
    <w:p w14:paraId="50E937BF" w14:textId="0764D79F" w:rsidR="00755DA4" w:rsidRPr="00EF319B" w:rsidRDefault="0022023A" w:rsidP="0022023A">
      <w:pPr>
        <w:spacing w:line="360" w:lineRule="auto"/>
        <w:jc w:val="both"/>
        <w:rPr>
          <w:rFonts w:ascii="Times New Roman" w:eastAsia="Calibri" w:hAnsi="Times New Roman" w:cs="Times New Roman"/>
          <w:kern w:val="0"/>
          <w:sz w:val="20"/>
          <w:szCs w:val="20"/>
          <w14:ligatures w14:val="none"/>
        </w:rPr>
      </w:pPr>
      <w:r w:rsidRPr="00EF319B">
        <w:rPr>
          <w:rFonts w:ascii="Times New Roman" w:eastAsia="Yu Gothic Light" w:hAnsi="Times New Roman" w:cs="Times New Roman"/>
          <w:b/>
          <w:kern w:val="0"/>
          <w:sz w:val="20"/>
          <w:szCs w:val="20"/>
          <w14:ligatures w14:val="none"/>
        </w:rPr>
        <w:t>Keywords</w:t>
      </w:r>
      <w:r w:rsidRPr="00EF319B">
        <w:rPr>
          <w:rFonts w:ascii="Times New Roman" w:eastAsia="Calibri" w:hAnsi="Times New Roman" w:cs="Times New Roman"/>
          <w:bCs/>
          <w:iCs/>
          <w:kern w:val="0"/>
          <w:sz w:val="20"/>
          <w:szCs w:val="20"/>
          <w14:ligatures w14:val="none"/>
        </w:rPr>
        <w:t>:</w:t>
      </w:r>
      <w:r w:rsidR="00E245D0" w:rsidRPr="00EF319B">
        <w:rPr>
          <w:rFonts w:ascii="Times New Roman" w:eastAsia="Calibri" w:hAnsi="Times New Roman" w:cs="Times New Roman"/>
          <w:b/>
          <w:i/>
          <w:kern w:val="0"/>
          <w:sz w:val="20"/>
          <w:szCs w:val="20"/>
          <w14:ligatures w14:val="none"/>
        </w:rPr>
        <w:t xml:space="preserve"> </w:t>
      </w:r>
      <w:r w:rsidR="00755DA4" w:rsidRPr="00EF319B">
        <w:rPr>
          <w:rFonts w:ascii="Times New Roman" w:eastAsia="Calibri" w:hAnsi="Times New Roman" w:cs="Times New Roman"/>
          <w:kern w:val="0"/>
          <w:sz w:val="20"/>
          <w:szCs w:val="20"/>
          <w14:ligatures w14:val="none"/>
        </w:rPr>
        <w:t>machine learning</w:t>
      </w:r>
      <w:r w:rsidR="00E245D0" w:rsidRPr="00EF319B">
        <w:rPr>
          <w:rFonts w:ascii="Times New Roman" w:eastAsia="Calibri" w:hAnsi="Times New Roman" w:cs="Times New Roman"/>
          <w:kern w:val="0"/>
          <w:sz w:val="20"/>
          <w:szCs w:val="20"/>
          <w14:ligatures w14:val="none"/>
        </w:rPr>
        <w:t>;</w:t>
      </w:r>
      <w:r w:rsidR="00755DA4" w:rsidRPr="00EF319B">
        <w:rPr>
          <w:rFonts w:ascii="Times New Roman" w:eastAsia="Calibri" w:hAnsi="Times New Roman" w:cs="Times New Roman"/>
          <w:kern w:val="0"/>
          <w:sz w:val="20"/>
          <w:szCs w:val="20"/>
          <w14:ligatures w14:val="none"/>
        </w:rPr>
        <w:t xml:space="preserve"> adsorption</w:t>
      </w:r>
      <w:r w:rsidR="00E245D0" w:rsidRPr="00EF319B">
        <w:rPr>
          <w:rFonts w:ascii="Times New Roman" w:eastAsia="Calibri" w:hAnsi="Times New Roman" w:cs="Times New Roman"/>
          <w:kern w:val="0"/>
          <w:sz w:val="20"/>
          <w:szCs w:val="20"/>
          <w14:ligatures w14:val="none"/>
        </w:rPr>
        <w:t>;</w:t>
      </w:r>
      <w:r w:rsidR="00755DA4" w:rsidRPr="00EF319B">
        <w:rPr>
          <w:rFonts w:ascii="Times New Roman" w:eastAsia="Calibri" w:hAnsi="Times New Roman" w:cs="Times New Roman"/>
          <w:kern w:val="0"/>
          <w:sz w:val="20"/>
          <w:szCs w:val="20"/>
          <w14:ligatures w14:val="none"/>
        </w:rPr>
        <w:t xml:space="preserve"> anionic pollutant</w:t>
      </w:r>
      <w:r w:rsidR="00E245D0" w:rsidRPr="00EF319B">
        <w:rPr>
          <w:rFonts w:ascii="Times New Roman" w:eastAsia="Calibri" w:hAnsi="Times New Roman" w:cs="Times New Roman"/>
          <w:kern w:val="0"/>
          <w:sz w:val="20"/>
          <w:szCs w:val="20"/>
          <w14:ligatures w14:val="none"/>
        </w:rPr>
        <w:t>;</w:t>
      </w:r>
      <w:r w:rsidR="00755DA4" w:rsidRPr="00EF319B">
        <w:rPr>
          <w:rFonts w:ascii="Times New Roman" w:eastAsia="Calibri" w:hAnsi="Times New Roman" w:cs="Times New Roman"/>
          <w:kern w:val="0"/>
          <w:sz w:val="20"/>
          <w:szCs w:val="20"/>
          <w14:ligatures w14:val="none"/>
        </w:rPr>
        <w:t xml:space="preserve"> wastewater treatment</w:t>
      </w:r>
      <w:r w:rsidR="00E245D0" w:rsidRPr="00EF319B">
        <w:rPr>
          <w:rFonts w:ascii="Times New Roman" w:eastAsia="Calibri" w:hAnsi="Times New Roman" w:cs="Times New Roman"/>
          <w:kern w:val="0"/>
          <w:sz w:val="20"/>
          <w:szCs w:val="20"/>
          <w14:ligatures w14:val="none"/>
        </w:rPr>
        <w:t>;</w:t>
      </w:r>
      <w:r w:rsidR="00755DA4" w:rsidRPr="00EF319B">
        <w:rPr>
          <w:rFonts w:ascii="Times New Roman" w:eastAsia="Calibri" w:hAnsi="Times New Roman" w:cs="Times New Roman"/>
          <w:kern w:val="0"/>
          <w:sz w:val="20"/>
          <w:szCs w:val="20"/>
          <w14:ligatures w14:val="none"/>
        </w:rPr>
        <w:t xml:space="preserve"> </w:t>
      </w:r>
      <w:r w:rsidR="00E143BA" w:rsidRPr="00EF319B">
        <w:rPr>
          <w:rFonts w:ascii="Times New Roman" w:eastAsia="Calibri" w:hAnsi="Times New Roman" w:cs="Times New Roman"/>
          <w:kern w:val="0"/>
          <w:sz w:val="20"/>
          <w:szCs w:val="20"/>
          <w14:ligatures w14:val="none"/>
        </w:rPr>
        <w:t>adsorbent materials</w:t>
      </w:r>
      <w:r w:rsidR="00E245D0" w:rsidRPr="00EF319B">
        <w:rPr>
          <w:rFonts w:ascii="Times New Roman" w:eastAsia="Calibri" w:hAnsi="Times New Roman" w:cs="Times New Roman"/>
          <w:kern w:val="0"/>
          <w:sz w:val="20"/>
          <w:szCs w:val="20"/>
          <w14:ligatures w14:val="none"/>
        </w:rPr>
        <w:t>.</w:t>
      </w:r>
    </w:p>
    <w:p w14:paraId="3EBD5869" w14:textId="77777777" w:rsidR="0022023A" w:rsidRPr="00EF319B" w:rsidRDefault="0022023A" w:rsidP="0022023A">
      <w:pPr>
        <w:keepNext/>
        <w:keepLines/>
        <w:numPr>
          <w:ilvl w:val="0"/>
          <w:numId w:val="7"/>
        </w:numPr>
        <w:spacing w:before="40" w:after="0" w:line="259" w:lineRule="auto"/>
        <w:contextualSpacing/>
        <w:outlineLvl w:val="2"/>
        <w:rPr>
          <w:rFonts w:ascii="Times New Roman" w:eastAsia="Yu Gothic Light" w:hAnsi="Times New Roman" w:cs="Times New Roman"/>
          <w:b/>
          <w:kern w:val="0"/>
          <w:sz w:val="20"/>
          <w:szCs w:val="20"/>
          <w14:ligatures w14:val="none"/>
        </w:rPr>
      </w:pPr>
      <w:r w:rsidRPr="00EF319B">
        <w:rPr>
          <w:rFonts w:ascii="Times New Roman" w:eastAsia="Yu Gothic Light" w:hAnsi="Times New Roman" w:cs="Times New Roman"/>
          <w:b/>
          <w:kern w:val="0"/>
          <w:sz w:val="20"/>
          <w:szCs w:val="20"/>
          <w14:ligatures w14:val="none"/>
        </w:rPr>
        <w:t>Introduction</w:t>
      </w:r>
    </w:p>
    <w:p w14:paraId="00F5848C" w14:textId="54E4CE63" w:rsidR="0022023A" w:rsidRPr="00EF319B" w:rsidRDefault="0022023A" w:rsidP="0022023A">
      <w:pPr>
        <w:spacing w:line="360" w:lineRule="auto"/>
        <w:jc w:val="both"/>
        <w:rPr>
          <w:rFonts w:ascii="Times New Roman" w:eastAsia="Calibri" w:hAnsi="Times New Roman" w:cs="Times New Roman"/>
          <w:kern w:val="0"/>
          <w:sz w:val="20"/>
          <w:szCs w:val="20"/>
          <w14:ligatures w14:val="none"/>
        </w:rPr>
      </w:pPr>
      <w:r w:rsidRPr="00EF319B">
        <w:rPr>
          <w:rFonts w:ascii="Times New Roman" w:eastAsia="Calibri" w:hAnsi="Times New Roman" w:cs="Times New Roman"/>
          <w:kern w:val="0"/>
          <w:sz w:val="20"/>
          <w:szCs w:val="20"/>
          <w14:ligatures w14:val="none"/>
        </w:rPr>
        <w:t>Anthropogenic activities over the last century have resulted in the release of various pollutants into the environment, greatly affecting global biodiversity and human</w:t>
      </w:r>
      <w:r w:rsidR="007B6334" w:rsidRPr="00EF319B">
        <w:rPr>
          <w:rFonts w:ascii="Times New Roman" w:eastAsia="Calibri" w:hAnsi="Times New Roman" w:cs="Times New Roman"/>
          <w:kern w:val="0"/>
          <w:sz w:val="20"/>
          <w:szCs w:val="20"/>
          <w14:ligatures w14:val="none"/>
        </w:rPr>
        <w:t>s</w:t>
      </w:r>
      <w:r w:rsidRPr="00EF319B">
        <w:rPr>
          <w:rFonts w:ascii="Times New Roman" w:eastAsia="Calibri" w:hAnsi="Times New Roman" w:cs="Times New Roman"/>
          <w:kern w:val="0"/>
          <w:sz w:val="20"/>
          <w:szCs w:val="20"/>
          <w14:ligatures w14:val="none"/>
        </w:rPr>
        <w:t xml:space="preserve">’ health alike. These pollutants, originating primarily from industrial processes, energy production, and transportation, pose grave risks to the planet’s ecosystems. Water pollution, which arises mainly from the discharge of untreated industrial effluents, agricultural runoff containing pesticides and fertilizers, and domestic sewage, degrades aquatic habitats and threatens biodiversity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{"citationID":"atuO2tcc","properties":{"formattedCitation":"[1]","plainCitation":"[1]","noteIndex":0},"citationItems":[{"id":745,"uris":["http://zotero.org/users/14115032/items/DICMBFQG"],"itemData":{"id":745,"type":"article-journal","abstract":"Water resources are crucial in developing any area as they serve as a major source of potable, agricultural, and industrial water. Water contamination, caused by natural and anthropogenic activities, poses a significant threat to public health globally. This review synthesizes data from various studies published in national and international journals, as well as reports from governmental and non-governmental organizations. Our primary objective is to understand and review previous research on water pollution, contamination types, and the effects of water contamination on public health. Water pollution studies generally involve a scientific understanding of the biological, chemical, and physical processes that control the movement of contaminants in the underground environment. The nature and severity of health consequences vary based on several factors, including the chemical composition, duration of exposure, and concentration of pollutants. This work highlights the human health risks associated with current research topics such as anthropogenic, geogenic, microplastics, pharmaceuticals, and heavy metals. A section on remedial measures and mitigation strategies is included to emphasize sustainable approaches to water conservation, replenishment, and sustainability. However, there is a lack of comprehensive knowledge regarding the distribution, toxic effects, and human health risks associated with different sources of contamination. This review thus establishes links between multiple sources of pollution, their toxicity to human health, and approaches to health risk assessment.","container-title":"Water","DOI":"10.3390/w15142532","ISSN":"2073-4441","issue":"14","journalAbbreviation":"Water","language":"en","page":"2532","source":"DOI.org (Crossref)","title":"Human Health Risks due to Exposure to Water Pollution: A Review","title-short":"Human Health Risks due to Exposure to Water Pollution","volume":"15","author":[{"family":"Babuji","given":"Preethi"},{"family":"Thirumalaisamy","given":"Subramani"},{"family":"Duraisamy","given":"Karunanidhi"},{"family":"Periyasamy","given":"Gopinathan"}],"issued":{"date-parts":[["2023",7,10]]}}}],"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[1]</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Industries often release toxic chemicals, heavy metals, and dyes into nearby water bodies without </w:t>
      </w:r>
      <w:r w:rsidRPr="00EF319B">
        <w:rPr>
          <w:rFonts w:ascii="Times New Roman" w:eastAsia="Calibri" w:hAnsi="Times New Roman" w:cs="Times New Roman"/>
          <w:kern w:val="0"/>
          <w:sz w:val="20"/>
          <w:szCs w:val="20"/>
          <w14:ligatures w14:val="none"/>
        </w:rPr>
        <w:lastRenderedPageBreak/>
        <w:t xml:space="preserve">adequate treatment, while agricultural activities contribute pollutants such as fertilizers, pesticides, and animal waste, which can lead to eutrophication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{"citationID":"hvpDEE2M","properties":{"formattedCitation":"[2,3]","plainCitation":"[2,3]","noteIndex":0},"citationItems":[{"id":747,"uris":["http://zotero.org/users/14115032/items/XAZG63NH"],"itemData":{"id":747,"type":"article-journal","container-title":"Waste Management Bulletin","DOI":"10.1016/j.wmb.2025.100240","ISSN":"29497507","issue":"4","journalAbbreviation":"Waste Management Bulletin","language":"en","page":"100240","source":"DOI.org (Crossref)","title":"Industrial effluents caused environmental pollution and its potential ecological and human health impacts in Ethiopia: A review","title-short":"Industrial effluents caused environmental pollution and its potential ecological and human health impacts in Ethiopia","volume":"3","author":[{"family":"Gezahegn","given":"Abiy"},{"family":"Merga","given":"Lemessa B."},{"family":"Mammo","given":"Siraj"}],"issued":{"date-parts":[["2025",12]]}}},{"id":748,"uris":["http://zotero.org/users/14115032/items/HMMLNNS6"],"itemData":{"id":748,"type":"article-journal","abstract":"Abstract\n            In recent years, rapid development in the industrial sector has offered console to the people but at the same time, generates numerous amounts of effluent composed of toxic elements like nitrogen, phosphorus, hydrocarbons, and heavy metals that influences the environment and mankind hazardously. While the technological advancements are made in industrial effluent treatment, there arising stretch in the techniques directing on hybrid system that are effective in resource recovery from effluent in an economical, less time consuming and viable manner. The key objective of this article is to study, propose and deliberate the process and products obtained from different industries and the quantity of effluents produced, and the most advanced and ultra-modern theoretical and scientific improvements in treatment methods to remove those dissolved matter and toxic substances and also the challenges and perspectives in these developments. The findings of this review appraise new eco-friendly technologies, provide intuition into the efficiency in contaminants removal and aids in interpreting degradation mechanism of toxic elements by various treatment assemblages.","container-title":"Applied Water Science","DOI":"10.1007/s13201-022-01594-7","ISSN":"2190-5487, 2190-5495","issue":"4","journalAbbreviation":"Appl Water Sci","language":"en","page":"70","source":"DOI.org (Crossref)","title":"A comprehensive review on comparison among effluent treatment methods and modern methods of treatment of industrial wastewater effluent from different sources","volume":"12","author":[{"family":"Sathya","given":"K."},{"family":"Nagarajan","given":"K."},{"family":"Carlin Geor Malar","given":"G."},{"family":"Rajalakshmi","given":"S."},{"family":"Raja Lakshmi","given":"P."}],"issued":{"date-parts":[["2022",4]]}}}],"schema":"https://github.com/citation-style-language/schema/raw/master/csl-citation.json"}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[2,3]</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This process causes excessive algal growth, </w:t>
      </w:r>
      <w:r w:rsidR="008D1F4F" w:rsidRPr="00EF319B">
        <w:rPr>
          <w:rFonts w:ascii="Times New Roman" w:eastAsia="Calibri" w:hAnsi="Times New Roman" w:cs="Times New Roman"/>
          <w:kern w:val="0"/>
          <w:sz w:val="20"/>
          <w:szCs w:val="20"/>
          <w14:ligatures w14:val="none"/>
        </w:rPr>
        <w:t>depletes oxygen levels, and results</w:t>
      </w:r>
      <w:r w:rsidRPr="00EF319B">
        <w:rPr>
          <w:rFonts w:ascii="Times New Roman" w:eastAsia="Calibri" w:hAnsi="Times New Roman" w:cs="Times New Roman"/>
          <w:kern w:val="0"/>
          <w:sz w:val="20"/>
          <w:szCs w:val="20"/>
          <w14:ligatures w14:val="none"/>
        </w:rPr>
        <w:t xml:space="preserve"> in the death of aquatic organisms. This uncontrolled level of environmental </w:t>
      </w:r>
      <w:r w:rsidR="00D30D2A" w:rsidRPr="00EF319B">
        <w:rPr>
          <w:rFonts w:ascii="Times New Roman" w:eastAsia="Calibri" w:hAnsi="Times New Roman" w:cs="Times New Roman"/>
          <w:kern w:val="0"/>
          <w:sz w:val="20"/>
          <w:szCs w:val="20"/>
          <w14:ligatures w14:val="none"/>
        </w:rPr>
        <w:t xml:space="preserve">pollution threatens environmental sustainability; therefore, tackling global environmental pollution has become one of the primary goals </w:t>
      </w:r>
      <w:r w:rsidRPr="00EF319B">
        <w:rPr>
          <w:rFonts w:ascii="Times New Roman" w:eastAsia="Calibri" w:hAnsi="Times New Roman" w:cs="Times New Roman"/>
          <w:kern w:val="0"/>
          <w:sz w:val="20"/>
          <w:szCs w:val="20"/>
          <w14:ligatures w14:val="none"/>
        </w:rPr>
        <w:t xml:space="preserve">to improve the quality of life for the entire global biodiversity of the planet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{"citationID":"DFt30oP9","properties":{"formattedCitation":"[4]","plainCitation":"[4]","noteIndex":0},"citationItems":[{"id":750,"uris":["http://zotero.org/users/14115032/items/6U4IDQI9"],"itemData":{"id":750,"type":"article-journal","abstract":"Abstract\n            New analyses are revealing the scale of pollution on global health, with a disproportionate share of the impact borne by lower‐income nations, minority and marginalized individuals. Common themes emerge on the drivers of this pollution impact, including a lack of regulation and its enforcement, research and expertise development, and innovative funding mechanisms for mitigation. Creative approaches need to be developed and applied to address and overcome these obstacles. The existing “business as usual” modus operandi continues to externalize human health costs related to pollution, which exerts a negative influence on global environmental health.\n          , \n            Plain Language Summary\n            The growing burden of pollution on global health cannot be ignored, particularly because it disproportionately impacts the health and future of those nations and peoples least capable of confronting and eliminating it.\n          , \n            Key Points\n            \n              \n                \n                  Pollution accounts for a high percent of total global health burdens, largely borne by low‐income nations and marginalized populations\n                \n                \n                  New approaches using citizen science and community‐engaged research have proven effective at reducing lead burdens in many communities\n                \n                \n                  Creative approaches need to be developed and adapted to provide tools for middle‐ and low‐income countries to confront pollution exposure","container-title":"GeoHealth","DOI":"10.1002/2017GH000119","ISSN":"2471-1403, 2471-1403","issue":"1","journalAbbreviation":"GeoHealth","language":"en","license":"http://creativecommons.org/licenses/by-nc-nd/4.0/","page":"2-5","source":"DOI.org (Crossref)","title":"Addressing Pollution‐Related Global Environmental Health Burdens","volume":"2","author":[{"family":"Filippelli","given":"Gabriel M."},{"family":"Taylor","given":"Mark P."}],"issued":{"date-parts":[["2018",1]]}}}],"schema":"https://github.com/citation-style-language/schema/raw/master/csl-citation.json"}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[4]</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Therefore, </w:t>
      </w:r>
      <w:r w:rsidR="00191BF0" w:rsidRPr="00EF319B">
        <w:rPr>
          <w:rFonts w:ascii="Times New Roman" w:eastAsia="Calibri" w:hAnsi="Times New Roman" w:cs="Times New Roman"/>
          <w:kern w:val="0"/>
          <w:sz w:val="20"/>
          <w:szCs w:val="20"/>
          <w14:ligatures w14:val="none"/>
        </w:rPr>
        <w:t>stringent regulations have been implemented to prevent the unregulated release of environmental toxicants</w:t>
      </w:r>
      <w:r w:rsidRPr="00EF319B">
        <w:rPr>
          <w:rFonts w:ascii="Times New Roman" w:eastAsia="Calibri" w:hAnsi="Times New Roman" w:cs="Times New Roman"/>
          <w:kern w:val="0"/>
          <w:sz w:val="20"/>
          <w:szCs w:val="20"/>
          <w14:ligatures w14:val="none"/>
        </w:rPr>
        <w:t xml:space="preserve">. For example, the UN’s Sustainable Development Goals No. 6 and 14 directly address this issue by providing guidance on how to tackle </w:t>
      </w:r>
      <w:r w:rsidR="00132CC2" w:rsidRPr="00EF319B">
        <w:rPr>
          <w:rFonts w:ascii="Times New Roman" w:eastAsia="Calibri" w:hAnsi="Times New Roman" w:cs="Times New Roman"/>
          <w:kern w:val="0"/>
          <w:sz w:val="20"/>
          <w:szCs w:val="20"/>
          <w14:ligatures w14:val="none"/>
        </w:rPr>
        <w:t>it</w:t>
      </w:r>
      <w:r w:rsidRPr="00EF319B">
        <w:rPr>
          <w:rFonts w:ascii="Times New Roman" w:eastAsia="Calibri" w:hAnsi="Times New Roman" w:cs="Times New Roman"/>
          <w:kern w:val="0"/>
          <w:sz w:val="20"/>
          <w:szCs w:val="20"/>
          <w14:ligatures w14:val="none"/>
        </w:rPr>
        <w:t xml:space="preserve">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{"citationID":"BvMHiye7","properties":{"formattedCitation":"[5]","plainCitation":"[5]","noteIndex":0},"citationItems":[{"id":706,"uris":["http://zotero.org/users/14115032/items/LMDLXCJS"],"itemData":{"id":706,"type":"article-journal","container-title":"Sustainable Futures","DOI":"10.1016/j.sftr.2024.100192","ISSN":"26661888","journalAbbreviation":"Sustainable Futures","language":"en","page":"100192","source":"DOI.org (Crossref)","title":"A systematic bibliometric review of the global research dynamics of United Nations Sustainable Development Goals 2030","volume":"7","author":[{"family":"Yumnam","given":"Gyanajeet"},{"family":"Gyanendra","given":"Yumnam"},{"family":"Singh","given":"Charoibam Ibohal"}],"issued":{"date-parts":[["2024",6]]}}}],"schema":"https://github.com/citation-style-language/schema/raw/master/csl-citation.json"}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[5]</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To date, various technologies have been explored to address water pollution, including sedimentation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{"citationID":"L7N4oRGY","properties":{"formattedCitation":"[6]","plainCitation":"[6]","noteIndex":0},"citationItems":[{"id":741,"uris":["http://zotero.org/users/14115032/items/RQ9SS3BS"],"itemData":{"id":741,"type":"article-journal","container-title":"Journal of Environmental Sciences","DOI":"10.1016/j.jes.2023.11.026","ISSN":"10010742","journalAbbreviation":"Journal of Environmental Sciences","language":"en","page":"409-419","source":"DOI.org (Crossref)","title":"Removal of particulate matter and dissolved organic matter from sedimentation sludge water during pre-sedimentation process: Performances and mechanisms","title-short":"Removal of particulate matter and dissolved organic matter from sedimentation sludge water during pre-sedimentation process","volume":"148","author":[{"family":"Duan","given":"Shule"},{"family":"Dong","given":"Huiyu"},{"family":"Jiang","given":"Caifang"},{"family":"Liang","given":"Hong"},{"family":"Jiang","given":"Ling"},{"family":"Xu","given":"Qian"},{"family":"Cheng","given":"Xiaoyu"},{"family":"Qiang","given":"Zhimin"}],"issued":{"date-parts":[["2025",2]]}}}],"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[6]</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reverse osmosis, ozonation, ion-exchange resins, adsorption, biological treatment, and advanced oxidation processes (AOPs)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jjqwYI5f","properties":{"formattedCitation":"[7,8]","plainCitation":"[7,8]","noteIndex":0},"citationItems":[{"id":742,"uris":["http://zotero.org/users/14115032/items/THC9S643"],"itemData":{"id":742,"type":"article-journal","container-title":"Chemosphere","DOI":"10.1016/j.chemosphere.2020.127549","ISSN":"00456535","journalAbbreviation":"Chemosphere","language":"en","page":"127549","source":"DOI.org (Crossref)","title":"Removal of organic matter from wastewater reverse osmosis concentrate using granular activated carbon and anion exchange resin adsorbent columns in sequence","volume":"261","author":[{"family":"Jamil","given":"Shahzad"},{"family":"Loganathan","given":"Paripurnanda"},{"family":"Kandasamy","given":"Jaya"},{"family":"Listowski","given":"Andrzej"},{"family":"McDonald","given":"James A."},{"family":"Khan","given":"Stuart J."},{"family":"Vigneswaran","given":"Saravanamuthu"}],"issued":{"date-parts":[["2020",12]]}}},{"id":744,"uris":["http://zotero.org/users/14115032/items/AJEVY2YJ"],"itemData":{"id":744,"type":"article-journal","abstract":"Abstract\n            \n              In this study, the removal of microplastics (MPs) in secondary treatment effluent by ozone (O\n              3\n              ) oxidation was evaluated. The study was carried out with three samples taken from Wastewater Treatment Plant (WWTP) discharge point. MPs between 200–5000 µm were identified in terms of number, shape, colour and type and then treated by O\n              3\n              oxidation in batch experiments. Taguchi design method was applied for process optimization. The parameters pH, ozone dose and reaction time were selected as the main factors affecting O\n              3\n              oxidation. The optimal conditions for MPs removal were pH 7, reaction time 60 min and O\n              3\n              dose 10 ppm. In the verification experiments carried out under this conditions, an average MP removal efficiency of 83% was obtained. FTIR analyses were performed on raw and treated wastewater. Five different polymer structures, Polyethylene (PE), Polypropylene (PP), Polyester (PES), Polyethylene terephthalate (PET) and Polyurethane (PUR) were determined in raw wastewater. It was determined that these species were converted into low molecular weight organic compounds after ozone treatment. The results of kinetic studies were found to be in accordance with first order reaction kinetics (k = 0.02243 min\n              −1\n              ). The cost of MP removal by ozone oxidation at the optimum experimental condition was 0.094 €/m\n              3\n              .","container-title":"Water, Air, &amp; Soil Pollution","DOI":"10.1007/s11270-025-08249-8","ISSN":"0049-6979, 1573-2932","issue":"9","journalAbbreviation":"Water Air Soil Pollut","language":"en","page":"606","source":"DOI.org (Crossref)","title":"Removal of Microplastics By Ozone Oxidation from Urban Wastewater Using Taguchi Experimental Design","volume":"236","author":[{"family":"Topkaya","given":"Eylem"},{"family":"Arslan","given":"Ayla"},{"family":"Veli","given":"Sevil"},{"family":"Kuru","given":"Sinem"},{"family":"Sezer","given":"Mesut"}],"issued":{"date-parts":[["2025",9]]}}}],"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[7,8]</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Each method provides different rates of pollutant removal efficiency and flexibility. Among these techniques, adsorption is widely regarded as one of the most effective and versatile technologies for removing pollutants from water, offering several advantages over other treatment methods. Unlike chemical or biological treatments that may require complex reactions or specific environmental conditions, adsorption is simple, efficient, and easy to operate, as it requires mainly a suitable adsorbent with high affinity to adsorb pollutants to the surface, such as activated carbon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{"citationID":"rtzAooRx","properties":{"formattedCitation":"[9]","plainCitation":"[9]","noteIndex":0},"citationItems":[{"id":752,"uris":["http://zotero.org/users/14115032/items/BDB587R3"],"itemData":{"id":752,"type":"article-journal","container-title":"Carbon Letters","DOI":"10.1007/s42823-024-00803-4","ISSN":"1976-4251, 2233-4998","issue":"1","journalAbbreviation":"Carbon Lett.","language":"en","page":"21-44","source":"DOI.org (Crossref)","title":"Recent advances in activated carbon fibers for pollutant removal","volume":"35","author":[{"family":"Joo","given":"Jong-Hyun"},{"family":"Kim","given":"Seong-Hwang"},{"family":"Kim","given":"Jee Hoon"},{"family":"Kang","given":"Hyun-Ju"},{"family":"Lee","given":"Jeong Hoon"},{"family":"Jeon","given":"Hye-Ji"},{"family":"Jang","given":"Yeon Hee"},{"family":"Lee","given":"Jong-Hoon"},{"family":"Lee","given":"Seul-Yi"},{"family":"Park","given":"Soo-Jin"},{"family":"Seo","given":"Min-Kang"}],"issued":{"date-parts":[["2025",2]]}}}],"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[9]</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biochar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{"citationID":"78WvOYeL","properties":{"formattedCitation":"[10]","plainCitation":"[10]","noteIndex":0},"citationItems":[{"id":753,"uris":["http://zotero.org/users/14115032/items/NTBET9LI"],"itemData":{"id":753,"type":"article-journal","abstract":"Abstract\n            \n              The textile industry causes lots of pollution due to its discharge of untreated coloured effluents into water bodies, impacting the environment. The present study includes a slow pyrolysis technique to produce magnetic biochar derived from waste areca nut husk (ANH)) biomass to adsorb methylene blue dye. The biochar and biomass were characterised via proximate analysis, ultimate analysis, bulk density, heating value, extractive content, biochemical analysis, thermogravimetric analysis (TGA), Fourier transform infrared spectroscopy (FTIR), SEM, BET surface area, pH, water holding capacity (WHC) and X-ray diffraction (XRD). A semi-batch reactor was used to produce biochar (ANHB) at 600 and 800\n              o\n              C at 10\n              o\n              C min\n              − 1\n              heating rate and 45 min holding time in an inert atmosphere. The produced biochar was magnetised by blending aqueous biochar suspensions with aqueous Fe\n              3+\n              /Fe\n              2+\n              solutions. Further, magnetised biochar is employed to eliminate methylene blue (MB) dyes at different pHs, contact times, temperatures, dosages and concentrations. Biochar derived at 800\n              o\n              C (ANHB800) gave increased carbon content (62.93%), heating value (33.02 MJ/kg), and BET surface area (112 m\n              2\n              /g) over biochar derived at 600\n              o\n              C. The results of the acid treatment biochar (ANHBA800) demonstrated that 5M H\n              2\n              SO\n              4\n              causes a BET surface area increase (265 m\n              2\n              /g) and a ash content decrease (9.96%). However, when magnetic biochar was produced at 800\n              o\n              C it shows an additional increase in BET surface area upto 385 m\n              2\n              /g. The MB dye absorption analysis confirmed 85.47% adsorption at 0.3 g/l dosage, 100 ppm concentration, 30\n              o\n              C, 60 min contact time, and pH 7. The adsorption capacity was 785.34 mg/g when fit by the Langmuir isotherm model. Magnetic nanoparticles enhance active sites, electrostatic interactions, and recovery, improving efficiency, cost-effectiveness, and sustainability in dye removal. The adsorption kinetics results suggested that the pseudo-second-order model best explains the experimental data with an R\n              2\n              value of 0.994. Additionally, the adsorption isotherm studies were best fitted by the Langmuir model adsorption conforming monolayer adsorption of MB on biochar surface.","container-title":"Scientific Reports","DOI":"10.1038/s41598-025-03359-z","ISSN":"2045-2322","issue":"1","journalAbbreviation":"Sci Rep","language":"en","page":"23209","source":"DOI.org (Crossref)","title":"Production and characterization of magnetic Biochar derived from pyrolysis of waste areca nut husk for removal of methylene blue dye from wastewater","volume":"15","author":[{"family":"Chistie","given":"Syeda Minnat"},{"family":"Naik","given":"Sneha Ullhas"},{"family":"Rajendra","given":"Pragathi"},{"literal":"Apeksha"},{"family":"Mishra","given":"Ranjeet Kumar"},{"family":"Albasher","given":"Gadah"},{"family":"Chinnam","given":"Sampath"},{"family":"Jeppu","given":"Gautham P."},{"family":"Arif","given":"Zeenat"},{"family":"Hameed","given":"Javaria"}],"issued":{"date-parts":[["2025",7,2]]}}}],"schema":"https://github.com/citation-style-language/schema/raw/master/csl-citation.json"}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[10]</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zeolites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{"citationID":"yXQOfUr1","properties":{"formattedCitation":"[11]","plainCitation":"[11]","noteIndex":0},"citationItems":[{"id":754,"uris":["http://zotero.org/users/14115032/items/6MIM6FMP"],"itemData":{"id":754,"type":"article-journal","abstract":"Abstract\n            \n              Natural and synthetic zeolites have been considered as capable candidates for removal of pollutants from water and wastewater due to their high surface area and porous structure. In this work, borosilicate zeolite (BZ) with ZSM-5 structure, graphene quantum dots (GQDs)/BZ and Fe\n              3\n              O\n              4\n              /BZ as two component, and Fe\n              3\n              O\n              4\n              -GQDs/BZ as three component nanocomposites were prepared using hydrothermal, solid state dispersion, and ultrasound-assisted co-precipitation methods. The prepared samples were characterized by X-ray diffraction (XRD), Fourier transform infrared spectroscopy (FT-IR), field emission scanning electron microscopy (FE-SEM), energy dispersive X-Ray spectroscopy (EDX), N\n              2\n              adsorption-desorption, and vibrating sample magnetometer (VSM) techniques. The synthesized composites were used for the removal of nitrate, methylene blue (MB), 4-nitrophenol (4-NPh), biological oxygen demand (BOD), and chemical oxygen demand (COD) from water and industrial wastewater. Among the studied adsorbents, the three-component nanocomposites demonstrated superior performance in removing nitrate and cationic and anionic dyes, achieving removal efficiencies of 85.5% for nitrate, 98.4% for MB, 91.0% for 4-NPh, 100.0% for BOD, and 60.0% for COD. The kinetics studies revealed that all adsorbents obey the pseudo-second-order kinetic model. The prepared new multifunctional magnetic nanocomposites composed of graphene quantum dots is expected to be promising adsorbents for the removal of pollutants from water and wastewater.","container-title":"Scientific Reports","DOI":"10.1038/s41598-025-07746-4","ISSN":"2045-2322","issue":"1","journalAbbreviation":"Sci Rep","language":"en","page":"20726","source":"DOI.org (Crossref)","title":"Synthesis of magnetic borosilicate zeolite/graphene quantum dots nanocomposites for removal of nitrate and organic pollutants from water","volume":"15","author":[{"family":"Shahi","given":"Robab"},{"family":"Khatamian","given":"Maasoumeh"}],"issued":{"date-parts":[["2025",7,1]]}}}],"schema":"https://github.com/citation-style-language/schema/raw/master/csl-citation.json"}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[11]</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or nanomaterials, without altering the chemical structure of the pollutants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{"citationID":"4HE3z7WJ","properties":{"formattedCitation":"[12]","plainCitation":"[12]","noteIndex":0},"citationItems":[{"id":755,"uris":["http://zotero.org/users/14115032/items/9ADWUHMD"],"itemData":{"id":755,"type":"article-journal","abstract":"The rise in population growth that necessitates an increase in animal husbandry activities has led to overconsumption, improper use, and disposal of pharmaceuticals such as antibiotics leading to environmental pollution. In developing countries where we have inefficient and outdated wastewater treatment facilities that are unable to effectively remove these pollutants from domestic wastewater, the effect is the contamination of groundwater supply used for domestic purposes, necessitating the development of advanced techniques. The adoption of adsorption‐based technologies with the use of adsorbents such as carbon‐based nanomaterials, biochar, and functionalized nanomaterials has proven to be effective in removing these contaminants from aqueous solutions. For instance, a 3D boron‐doped graphene composite has been reported to effectively remove amitriptyline from water with a maximum adsorption capacity of adsorption capacity of 737.4 mg/g. Magnetic starch has proven to be effective in removing diclofenac from aqueous solutions, with a reported maximum adsorption capacity of 620.51 mg/g. However, current studies have a limited understanding of the adsorption process, adsorption mechanisms, and universality of the adsorbents used. Future studies should focus on developing cost‐effective and sustainable adsorbents as well as exploring integrated approaches and technologies that combine adsorption with other technologies and techniques for effective removal of pharmaceutical contaminants, ensuring cleaner and safer water resources. To this effect, this review highlights the impact of the overconsumption of pharmaceutical compounds and the different adsorbents thereof that have been incorporated in wastewater treatment for the removal of pharmaceutical compounds from water using the adsorption method. It discusses in detail the increase in adoption of the use of various nanocomposites in the removal of these pollutants from surface waters and the removal efficiencies.","container-title":"Journal of Chemistry","DOI":"10.1155/joch/4477822","ISSN":"2090-9063, 2090-9071","issue":"1","journalAbbreviation":"Journal of Chemistry","language":"en","page":"4477822","source":"DOI.org (Crossref)","title":"Advances in Adsorbent Materials for Pharmaceutical Pollutant Removal: A Review of Occurrence, Fate, and State‐of‐the‐Art Remediation","title-short":"Advances in Adsorbent Materials for Pharmaceutical Pollutant Removal","volume":"2025","author":[{"family":"Munuhe","given":"Lucy Nyambura"},{"family":"Madivoli","given":"Edwin Shigwenya"},{"family":"Nzilu","given":"Dennis Mwanza"},{"family":"Lemeitaron","given":"Peter Njenga"},{"family":"Kimani","given":"Paul Kinyanjui"}],"editor":[{"family":"Severino","given":"Beatrice"}],"issued":{"date-parts":[["2025",1]]}}}],"schema":"https://github.com/citation-style-language/schema/raw/master/csl-citation.json"}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[12]</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Moreover, adsorption systems generally produce minimal secondary waste, unlike other methods, which mostly generate secondary pollutants after pollutant degradation or decomposition, such as from ozonation or AOPs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yuNKQ3BS","properties":{"formattedCitation":"[13]","plainCitation":"[13]","noteIndex":0},"citationItems":[{"id":756,"uris":["http://zotero.org/users/14115032/items/GLPK39MF"],"itemData":{"id":756,"type":"article-journal","container-title":"Chemosphere","DOI":"10.1016/j.chemosphere.2019.124550","ISSN":"00456535","journalAbbreviation":"Chemosphere","language":"en","page":"124550","source":"DOI.org (Crossref)","title":"Functional categories of microbial toxicity resulting from three advanced oxidation process treatments during management and disposal of contaminated water","volume":"238","author":[{"family":"Phillips","given":"Rebecca B."},{"family":"James","given":"Ryan R."},{"family":"Magnuson","given":"Matthew L."}],"issued":{"date-parts":[["2020",1]]}}}],"schema":"https://github.com/citation-style-language/schema/raw/master/csl-citation.json"}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[13]</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To date, </w:t>
      </w:r>
      <w:r w:rsidR="00313D5D" w:rsidRPr="00EF319B">
        <w:rPr>
          <w:rFonts w:ascii="Times New Roman" w:eastAsia="Calibri" w:hAnsi="Times New Roman" w:cs="Times New Roman"/>
          <w:kern w:val="0"/>
          <w:sz w:val="20"/>
          <w:szCs w:val="20"/>
          <w14:ligatures w14:val="none"/>
        </w:rPr>
        <w:t>research in this field is primarily focused on developing</w:t>
      </w:r>
      <w:r w:rsidRPr="00EF319B">
        <w:rPr>
          <w:rFonts w:ascii="Times New Roman" w:eastAsia="Calibri" w:hAnsi="Times New Roman" w:cs="Times New Roman"/>
          <w:kern w:val="0"/>
          <w:sz w:val="20"/>
          <w:szCs w:val="20"/>
          <w14:ligatures w14:val="none"/>
        </w:rPr>
        <w:t xml:space="preserve"> highly porous, </w:t>
      </w:r>
      <w:r w:rsidR="00FE493A" w:rsidRPr="00EF319B">
        <w:rPr>
          <w:rFonts w:ascii="Times New Roman" w:eastAsia="Calibri" w:hAnsi="Times New Roman" w:cs="Times New Roman"/>
          <w:kern w:val="0"/>
          <w:sz w:val="20"/>
          <w:szCs w:val="20"/>
          <w14:ligatures w14:val="none"/>
        </w:rPr>
        <w:t>high-surface-area materials with tailored surface chemistry to improve adsorption, adsorption capacity</w:t>
      </w:r>
      <w:r w:rsidRPr="00EF319B">
        <w:rPr>
          <w:rFonts w:ascii="Times New Roman" w:eastAsia="Calibri" w:hAnsi="Times New Roman" w:cs="Times New Roman"/>
          <w:kern w:val="0"/>
          <w:sz w:val="20"/>
          <w:szCs w:val="20"/>
          <w14:ligatures w14:val="none"/>
        </w:rPr>
        <w:t xml:space="preserve">, selectivity, kinetics, and regeneration. These materials include carbon-based materials, such as carbon quantum dots and metal-organic frameworks, as well as bio-based materials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{"citationID":"aE1oAQu6","properties":{"formattedCitation":"[14,15]","plainCitation":"[14,15]","noteIndex":0},"citationItems":[{"id":761,"uris":["http://zotero.org/users/14115032/items/KHJYLZ28"],"itemData":{"id":761,"type":"chapter","container-title":"ACS Symposium Series","event-place":"Washington, DC","ISBN":"978-0-8412-9677-0","language":"en","note":"DOI: 10.1021/bk-2025-1506.ch006","page":"141-160","publisher":"American Chemical Society","publisher-place":"Washington, DC","source":"DOI.org (Crossref)","title":"Green Carbon Dots as Adsorbents for Removal of Toxic Chemicals","URL":"https://pubs.acs.org/doi/abs/10.1021/bk-2025-1506.ch006","volume":"1506","editor":[{"family":"Islam","given":"Shahid Ul"},{"family":"Hussain","given":"Chaudhery Mustansar"}],"author":[{"family":"Ashraf","given":"Waseem"},{"family":"Sharma","given":"Diksha"},{"family":"Khan","given":"Asim"},{"family":"Khanuja","given":"Manika"}],"accessed":{"date-parts":[["2025",11,5]]},"issued":{"date-parts":[["2025",4,8]]}}},{"id":762,"uris":["http://zotero.org/users/14115032/items/XCZDFKNT"],"itemData":{"id":762,"type":"article-journal","container-title":"ACS Sustainable Chemistry &amp; Engineering","DOI":"10.1021/acssuschemeng.5c02222","ISSN":"2168-0485, 2168-0485","issue":"25","journalAbbreviation":"ACS Sustainable Chem. Eng.","language":"en","license":"https://creativecommons.org/licenses/by-nc-nd/4.0/","page":"9576-9587","source":"DOI.org (Crossref)","title":"Magnetic Metal–Organic Frameworks (MOFs) from Waste: A Solvent-Free Rapid Synthesis of Green Catalyst for Environmental Cleanup","title-short":"Magnetic Metal–Organic Frameworks (MOFs) from Waste","volume":"13","author":[{"family":"Waribam","given":"Preeti"},{"family":"Katugampalage","given":"Thilina Rajeendre"},{"family":"Ogawa","given":"Makoto"},{"family":"Opaprakasit","given":"Pakorn"},{"family":"Chooaksorn","given":"Wanida"},{"family":"Sooksaen","given":"Pat"},{"family":"Puathawee","given":"Pathompong"},{"family":"Sreearunothai","given":"Paiboon"}],"issued":{"date-parts":[["2025",6,30]]}}}],"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[14,15]</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w:t>
      </w:r>
      <w:r w:rsidR="00313D5D" w:rsidRPr="00EF319B">
        <w:rPr>
          <w:rFonts w:ascii="Times New Roman" w:eastAsia="Calibri" w:hAnsi="Times New Roman" w:cs="Times New Roman"/>
          <w:kern w:val="0"/>
          <w:sz w:val="20"/>
          <w:szCs w:val="20"/>
          <w14:ligatures w14:val="none"/>
        </w:rPr>
        <w:t>In addition to structurally engineered adsorptive materials for pollutant removal based on the preceding strategies, various operational parameters also affect the rate and extent</w:t>
      </w:r>
      <w:r w:rsidRPr="00EF319B">
        <w:rPr>
          <w:rFonts w:ascii="Times New Roman" w:eastAsia="Calibri" w:hAnsi="Times New Roman" w:cs="Times New Roman"/>
          <w:kern w:val="0"/>
          <w:sz w:val="20"/>
          <w:szCs w:val="20"/>
          <w14:ligatures w14:val="none"/>
        </w:rPr>
        <w:t xml:space="preserve"> of adsorptive removal. These factors include contact time, pollutant concentration, pH, solution volume, surface area, </w:t>
      </w:r>
      <w:r w:rsidR="00172B93" w:rsidRPr="00EF319B">
        <w:rPr>
          <w:rFonts w:ascii="Times New Roman" w:eastAsia="Calibri" w:hAnsi="Times New Roman" w:cs="Times New Roman"/>
          <w:kern w:val="0"/>
          <w:sz w:val="20"/>
          <w:szCs w:val="20"/>
          <w14:ligatures w14:val="none"/>
        </w:rPr>
        <w:t>adsorbent dosage, and others</w:t>
      </w:r>
      <w:r w:rsidRPr="00EF319B">
        <w:rPr>
          <w:rFonts w:ascii="Times New Roman" w:eastAsia="Calibri" w:hAnsi="Times New Roman" w:cs="Times New Roman"/>
          <w:kern w:val="0"/>
          <w:sz w:val="20"/>
          <w:szCs w:val="20"/>
          <w14:ligatures w14:val="none"/>
        </w:rPr>
        <w:t xml:space="preserve">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I0SPqIVH","properties":{"formattedCitation":"[16,17]","plainCitation":"[16,17]","noteIndex":0},"citationItems":[{"id":757,"uris":["http://zotero.org/users/14115032/items/6NNCFWKX"],"itemData":{"id":757,"type":"article-journal","container-title":"Chemosphere","DOI":"10.1016/j.chemosphere.2021.131958","ISSN":"00456535","journalAbbreviation":"Chemosphere","language":"en","page":"131958","source":"DOI.org (Crossref)","title":"Understanding the factors affecting adsorption of pharmaceuticals on different adsorbents – A critical literature update","volume":"287","author":[{"family":"Natarajan","given":"Ramesh"},{"family":"Saikia","given":"Kongkona"},{"family":"Ponnusamy","given":"Senthil Kumar"},{"family":"Rathankumar","given":"Abiram Karanam"},{"family":"Rajendran","given":"Devi Sri"},{"family":"Venkataraman","given":"Swethaa"},{"family":"Tannani","given":"Diya Bharat"},{"family":"Arvind","given":"Varshni"},{"family":"Somanna","given":"Tanya"},{"family":"Banerjee","given":"Koyena"},{"family":"Mohideen","given":"Nizar"},{"family":"Vaidyanathan","given":"Vinoth Kumar"}],"issued":{"date-parts":[["2022",1]]}}},{"id":758,"uris":["http://zotero.org/users/14115032/items/V5STPGQ8"],"itemData":{"id":758,"type":"article-journal","container-title":"Journal of Environmental Engineering","DOI":"10.1061/JOEEDU.EEENG-7606","ISSN":"0733-9372, 1943-7870","issue":"7","journalAbbreviation":"J. Environ. Eng.","language":"en","page":"04024024","source":"DOI.org (Crossref)","title":"Study of the Factors Influencing the Adsorption of Heavy Metal Pollutants in Water by Activated Carbon Gel Particles","volume":"150","author":[{"family":"Li","given":"Risheng"},{"family":"Cao","given":"Xinyi"},{"family":"Fan","given":"Xiaofeng"},{"family":"Shi","given":"Jihe"},{"family":"Meng","given":"Bin"},{"family":"Zhang","given":"Jin"},{"family":"Wang","given":"Yuan"},{"family":"Du","given":"Jinzeyu"},{"family":"Deng","given":"Xu"},{"family":"Zheng","given":"Chunli"}],"issued":{"date-parts":[["2024",7]]}}}],"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[16,17]</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These factors, along with others, greatly influence and control the adsorptive performance of the adsorbent material. However, it is challenging to analyze the influence of each factor on determining the adsorptive rate of pollutant removal, as it proceeds through multivariable interactions. In this regard, an investigation into the influence of each operational parameter on the adsorptive removal of pollutants can provide valuable insights into achieving highly cost-effective</w:t>
      </w:r>
      <w:r w:rsidR="00172B93" w:rsidRPr="00EF319B">
        <w:rPr>
          <w:rFonts w:ascii="Times New Roman" w:eastAsia="Calibri" w:hAnsi="Times New Roman" w:cs="Times New Roman"/>
          <w:kern w:val="0"/>
          <w:sz w:val="20"/>
          <w:szCs w:val="20"/>
          <w14:ligatures w14:val="none"/>
        </w:rPr>
        <w:t>, efficient pollutant removal with</w:t>
      </w:r>
      <w:r w:rsidRPr="00EF319B">
        <w:rPr>
          <w:rFonts w:ascii="Times New Roman" w:eastAsia="Calibri" w:hAnsi="Times New Roman" w:cs="Times New Roman"/>
          <w:kern w:val="0"/>
          <w:sz w:val="20"/>
          <w:szCs w:val="20"/>
          <w14:ligatures w14:val="none"/>
        </w:rPr>
        <w:t xml:space="preserve"> adsorbent materials.</w:t>
      </w:r>
    </w:p>
    <w:p w14:paraId="65EA9E83" w14:textId="42883F1B" w:rsidR="0022023A" w:rsidRPr="00EF319B" w:rsidRDefault="0022023A" w:rsidP="0022023A">
      <w:pPr>
        <w:spacing w:line="360" w:lineRule="auto"/>
        <w:jc w:val="both"/>
        <w:rPr>
          <w:rFonts w:ascii="Times New Roman" w:eastAsia="Calibri" w:hAnsi="Times New Roman" w:cs="Times New Roman"/>
          <w:kern w:val="0"/>
          <w:sz w:val="20"/>
          <w:szCs w:val="20"/>
          <w14:ligatures w14:val="none"/>
        </w:rPr>
      </w:pPr>
      <w:r w:rsidRPr="00EF319B">
        <w:rPr>
          <w:rFonts w:ascii="Times New Roman" w:eastAsia="Calibri" w:hAnsi="Times New Roman" w:cs="Times New Roman"/>
          <w:kern w:val="0"/>
          <w:sz w:val="20"/>
          <w:szCs w:val="20"/>
          <w14:ligatures w14:val="none"/>
        </w:rPr>
        <w:tab/>
        <w:t xml:space="preserve">Fortunately, owing to recent advances in computer </w:t>
      </w:r>
      <w:r w:rsidR="00172B93" w:rsidRPr="00EF319B">
        <w:rPr>
          <w:rFonts w:ascii="Times New Roman" w:eastAsia="Calibri" w:hAnsi="Times New Roman" w:cs="Times New Roman"/>
          <w:kern w:val="0"/>
          <w:sz w:val="20"/>
          <w:szCs w:val="20"/>
          <w14:ligatures w14:val="none"/>
        </w:rPr>
        <w:t>modelling</w:t>
      </w:r>
      <w:r w:rsidRPr="00EF319B">
        <w:rPr>
          <w:rFonts w:ascii="Times New Roman" w:eastAsia="Calibri" w:hAnsi="Times New Roman" w:cs="Times New Roman"/>
          <w:kern w:val="0"/>
          <w:sz w:val="20"/>
          <w:szCs w:val="20"/>
          <w14:ligatures w14:val="none"/>
        </w:rPr>
        <w:t xml:space="preserve"> and the implementation of machine learning (ML), the complex interplay between various operational parameters can be elucidated using ML. In ML, various algorithms are applied to a collected dataset to analyze patterns and draw predictions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{"citationID":"7wLDDcGm","properties":{"formattedCitation":"[18]","plainCitation":"[18]","noteIndex":0},"citationItems":[{"id":759,"uris":["http://zotero.org/users/14115032/items/RKASC9JK"],"itemData":{"id":759,"type":"article-journal","container-title":"Artificial Intelligence Review","DOI":"10.1007/s10462-023-10391-w","ISSN":"0269-2821, 1573-7462","issue":"9","journalAbbreviation":"Artif Intell Rev","language":"en","page":"9089-9114","source":"DOI.org (Crossref)","title":"Navigating with chemometrics and machine learning in chemistry","volume":"56","author":[{"family":"Joshi","given":"Payal B."}],"issued":{"date-parts":[["2023",9]]}}}],"schema":"https://github.com/citation-style-language/schema/raw/master/csl-citation.json"}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[18]</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To obtain highly accurate ML models that can predict required output values, it is necessary to acquire a large dataset, select suitable ML models, train them, and validate </w:t>
      </w:r>
      <w:r w:rsidR="00F64C07" w:rsidRPr="00EF319B">
        <w:rPr>
          <w:rFonts w:ascii="Times New Roman" w:eastAsia="Calibri" w:hAnsi="Times New Roman" w:cs="Times New Roman"/>
          <w:kern w:val="0"/>
          <w:sz w:val="20"/>
          <w:szCs w:val="20"/>
          <w14:ligatures w14:val="none"/>
        </w:rPr>
        <w:t>them by testing them on randomly selected parameter values</w:t>
      </w:r>
      <w:r w:rsidRPr="00EF319B">
        <w:rPr>
          <w:rFonts w:ascii="Times New Roman" w:eastAsia="Calibri" w:hAnsi="Times New Roman" w:cs="Times New Roman"/>
          <w:kern w:val="0"/>
          <w:sz w:val="20"/>
          <w:szCs w:val="20"/>
          <w14:ligatures w14:val="none"/>
        </w:rPr>
        <w:t xml:space="preserve">. So far, ML has been successfully implemented in various fields, including chemistry, for materials discovery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{"citationID":"sc94e18Z","properties":{"formattedCitation":"[19]","plainCitation":"[19]","noteIndex":0},"citationItems":[{"id":720,"uris":["http://zotero.org/users/14115032/items/IQEKPEMI"],"itemData":{"id":720,"type":"article-journal","container-title":"Chemistry of Materials","DOI":"10.1021/acs.chemmater.4c00643","ISSN":"0897-4756, 1520-5002","issue":"8","journalAbbreviation":"Chem. Mater.","language":"en","license":"https://creativecommons.org/licenses/by/4.0/","page":"3490-3495","source":"DOI.org (Crossref)","title":"Artificial Intelligence Driving Materials Discovery? Perspective on the Article: Scaling Deep Learning for Materials Discovery","title-short":"Artificial Intelligence Driving Materials Discovery?","volume":"36","author":[{"family":"Cheetham","given":"Anthony K."},{"family":"Seshadri","given":"Ram"}],"issued":{"date-parts":[["2024",4,23]]}}}],"schema":"https://github.com/citation-style-language/schema/raw/master/csl-citation.json"}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[19]</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prediction of chemical reactions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{"citationID":"5p7LTJ3D","properties":{"formattedCitation":"[20]","plainCitation":"[20]","noteIndex":0},"citationItems":[{"id":723,"uris":["http://zotero.org/users/14115032/items/FWQNREFA"],"itemData":{"id":723,"type":"article-journal","container-title":"Combustion and Flame","DOI":"10.1016/j.combustflame.2024.113375","ISSN":"00102180","journalAbbreviation":"Combustion and Flame","language":"en","page":"113375","source":"DOI.org (Crossref)","title":"A machine learning method to predict rate constants for various reactions in combustion kinetic models","volume":"263","author":[{"family":"Li","given":"Ning"},{"family":"Girhe","given":"Sanket"},{"family":"Zhang","given":"Mingzhi"},{"family":"Chen","given":"Bingjie"},{"family":"Zhang","given":"Yingjia"},{"family":"Liu","given":"Shenghua"},{"family":"Pitsch","given":"Heinz"}],"issued":{"date-parts":[["2024",5]]}}}],"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[20]</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optimization of reactions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{"citationID":"QgBugUHJ","properties":{"formattedCitation":"[21]","plainCitation":"[21]","noteIndex":0},"citationItems":[{"id":724,"uris":["http://zotero.org/users/14115032/items/WDFMLFGE"],"itemData":{"id":724,"type":"article-journal","abstract":"This paper offers a thorough investigation of hyperparameter tuning for neural network architectures using datasets encompassing various combinations of Methylene Blue (MB) Reduction by Ascorbic Acid (AA) reactions with different solvents and concentrations. The aim is to predict coefficients of decay plots for MB absorbance, shedding light on the complex dynamics of chemical reactions. Our findings reveal that the optimal model, determined through our investigation, consists of five hidden layers, each with sixteen neurons and employing the Swish activation function. This model yields an NMSE of 0.05, 0.03, and 0.04 for predicting the coefficients A, B, and C, respectively, in the exponential decay equation A + B · e−x/C. These findings contribute to the realm of drug design based on machine learning, providing valuable insights into optimizing chemical reaction predictions.","container-title":"International Journal of Molecular Sciences","DOI":"10.3390/ijms25073860","ISSN":"1422-0067","issue":"7","journalAbbreviation":"IJMS","language":"en","page":"3860","source":"DOI.org (Crossref)","title":"Optimizing Neural Networks for Chemical Reaction Prediction: Insights from Methylene Blue Reduction Reactions","title-short":"Optimizing Neural Networks for Chemical Reaction Prediction","volume":"25","author":[{"family":"Malashin","given":"Ivan"},{"family":"Tynchenko","given":"Vadim"},{"family":"Gantimurov","given":"Andrei"},{"family":"Nelyub","given":"Vladimir"},{"family":"Borodulin","given":"Aleksei"}],"issued":{"date-parts":[["2024",3,29]]}}}],"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[21]</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photocatalytic dye removal optimization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{"citationID":"PVKplqmQ","properties":{"formattedCitation":"[22]","plainCitation":"[22]","noteIndex":0},"citationItems":[{"id":727,"uris":["http://zotero.org/users/14115032/items/MS2CV57K"],"itemData":{"id":727,"type":"article-journal","container-title":"Journal of Environmental Management","DOI":"10.1016/j.jenvman.2025.125683","ISSN":"03014797","journalAbbreviation":"Journal of Environmental Management","language":"en","page":"125683","source":"DOI.org (Crossref)","title":"Machine learning approach for photocatalysis: An experimentally validated case study of photocatalytic dye degradation","title-short":"Machine learning approach for photocatalysis","volume":"386","author":[{"family":"Ali","given":"Hassan"},{"family":"Yasir","given":"Muhammad"},{"family":"Haq","given":"Hamza Ul"},{"family":"Guler","given":"Ali Can"},{"family":"Masar","given":"Milan"},{"family":"Khan","given":"Muhammad Nouman Aslam"},{"family":"Machovsky","given":"Michal"},{"family":"Sedlarik","given":"Vladimir"},{"family":"Kuritka","given":"Ivo"}],"issued":{"date-parts":[["2025",6]]}}}],"schema":"https://github.com/citation-style-language/schema/raw/master/csl-citation.json"}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[22]</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and adsorptive removal of pollutants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{"citationID":"HDZOXIay","properties":{"formattedCitation":"[23]","plainCitation":"[23]","noteIndex":0},"citationItems":[{"id":726,"uris":["http://zotero.org/users/14115032/items/96LWCYEX"],"itemData":{"id":726,"type":"article-journal","container-title":"Separation and Purification Technology","DOI":"10.1016/j.seppur.2025.131421","ISSN":"13835866","journalAbbreviation":"Separation and Purification Technology","language":"en","page":"131421","source":"DOI.org (Crossref)","title":"Machine learning-aided biochar design for the adsorptive removal of emerging inorganic pollutants in water","volume":"362","author":[{"family":"Ullah","given":"Habib"},{"family":"Khan","given":"Sangar"},{"family":"Zhu","given":"Xiaoying"},{"family":"Chen","given":"Baoliang"},{"family":"Rao","given":"Zepeng"},{"family":"Wu","given":"Naicheng"},{"family":"Idris","given":"Abubakr M"}],"issued":{"date-parts":[["2025",7]]}}}],"schema":"https://github.com/citation-style-language/schema/raw/master/csl-citation.json"}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[23]</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However, the accuracy and feasibility of each ML is different from application to application, with each model having its own degree of applicability, versatility, and suitability. Some </w:t>
      </w:r>
      <w:r w:rsidR="008F6131" w:rsidRPr="00EF319B">
        <w:rPr>
          <w:rFonts w:ascii="Times New Roman" w:eastAsia="Calibri" w:hAnsi="Times New Roman" w:cs="Times New Roman"/>
          <w:kern w:val="0"/>
          <w:sz w:val="20"/>
          <w:szCs w:val="20"/>
          <w14:ligatures w14:val="none"/>
        </w:rPr>
        <w:t xml:space="preserve">common ML models </w:t>
      </w:r>
      <w:r w:rsidRPr="00EF319B">
        <w:rPr>
          <w:rFonts w:ascii="Times New Roman" w:eastAsia="Calibri" w:hAnsi="Times New Roman" w:cs="Times New Roman"/>
          <w:kern w:val="0"/>
          <w:sz w:val="20"/>
          <w:szCs w:val="20"/>
          <w14:ligatures w14:val="none"/>
        </w:rPr>
        <w:t xml:space="preserve">investigated for various </w:t>
      </w:r>
      <w:r w:rsidR="00170D20" w:rsidRPr="00EF319B">
        <w:rPr>
          <w:rFonts w:ascii="Times New Roman" w:eastAsia="Calibri" w:hAnsi="Times New Roman" w:cs="Times New Roman"/>
          <w:kern w:val="0"/>
          <w:sz w:val="20"/>
          <w:szCs w:val="20"/>
          <w14:ligatures w14:val="none"/>
        </w:rPr>
        <w:t>use cases include decision trees (DT) [24], random forests (RF) [25], support vector machines (SVM) [26], and linear regression (LR) [27]</w:t>
      </w:r>
      <w:r w:rsidRPr="00EF319B">
        <w:rPr>
          <w:rFonts w:ascii="Times New Roman" w:eastAsia="Calibri" w:hAnsi="Times New Roman" w:cs="Times New Roman"/>
          <w:kern w:val="0"/>
          <w:sz w:val="20"/>
          <w:szCs w:val="20"/>
          <w14:ligatures w14:val="none"/>
        </w:rPr>
        <w:t xml:space="preserve">. As in the case of other chemical </w:t>
      </w:r>
      <w:r w:rsidRPr="00EF319B">
        <w:rPr>
          <w:rFonts w:ascii="Times New Roman" w:eastAsia="Calibri" w:hAnsi="Times New Roman" w:cs="Times New Roman"/>
          <w:kern w:val="0"/>
          <w:sz w:val="20"/>
          <w:szCs w:val="20"/>
          <w14:ligatures w14:val="none"/>
        </w:rPr>
        <w:lastRenderedPageBreak/>
        <w:t xml:space="preserve">science-based applications, the literature survey suggests that ML has been implemented to investigate various aspects of the adsorptive removal of pollutants. For instance, </w:t>
      </w:r>
      <w:r w:rsidR="00E03554" w:rsidRPr="00EF319B">
        <w:rPr>
          <w:rFonts w:ascii="Times New Roman" w:eastAsia="Calibri" w:hAnsi="Times New Roman" w:cs="Times New Roman"/>
          <w:kern w:val="0"/>
          <w:sz w:val="20"/>
          <w:szCs w:val="20"/>
          <w14:ligatures w14:val="none"/>
        </w:rPr>
        <w:t>the Venegas group reported on utili</w:t>
      </w:r>
      <w:r w:rsidR="007C6E4A" w:rsidRPr="00EF319B">
        <w:rPr>
          <w:rFonts w:ascii="Times New Roman" w:eastAsia="Calibri" w:hAnsi="Times New Roman" w:cs="Times New Roman"/>
          <w:kern w:val="0"/>
          <w:sz w:val="20"/>
          <w:szCs w:val="20"/>
          <w14:ligatures w14:val="none"/>
        </w:rPr>
        <w:t>z</w:t>
      </w:r>
      <w:r w:rsidR="00E03554" w:rsidRPr="00EF319B">
        <w:rPr>
          <w:rFonts w:ascii="Times New Roman" w:eastAsia="Calibri" w:hAnsi="Times New Roman" w:cs="Times New Roman"/>
          <w:kern w:val="0"/>
          <w:sz w:val="20"/>
          <w:szCs w:val="20"/>
          <w14:ligatures w14:val="none"/>
        </w:rPr>
        <w:t>ing an ML approach to predict adsorptive removal of ciprofloxacin, a highly bioactive drug detected in high concentrations</w:t>
      </w:r>
      <w:r w:rsidR="006B4DD9" w:rsidRPr="00EF319B">
        <w:rPr>
          <w:rFonts w:ascii="Times New Roman" w:eastAsia="Calibri" w:hAnsi="Times New Roman" w:cs="Times New Roman"/>
          <w:kern w:val="0"/>
          <w:sz w:val="20"/>
          <w:szCs w:val="20"/>
          <w14:ligatures w14:val="none"/>
        </w:rPr>
        <w:t xml:space="preserve"> in wastewaters,</w:t>
      </w:r>
      <w:r w:rsidRPr="00EF319B">
        <w:rPr>
          <w:rFonts w:ascii="Times New Roman" w:eastAsia="Calibri" w:hAnsi="Times New Roman" w:cs="Times New Roman"/>
          <w:kern w:val="0"/>
          <w:sz w:val="20"/>
          <w:szCs w:val="20"/>
          <w14:ligatures w14:val="none"/>
        </w:rPr>
        <w:t xml:space="preserve"> using sugarcane bagasse biomass. Based on their experimental data, the developed ML models achieved great prediction capability at both laboratory and pilot scale experiments. The authors reported </w:t>
      </w:r>
      <w:r w:rsidR="009516E7" w:rsidRPr="00EF319B">
        <w:rPr>
          <w:rFonts w:ascii="Times New Roman" w:eastAsia="Calibri" w:hAnsi="Times New Roman" w:cs="Times New Roman"/>
          <w:kern w:val="0"/>
          <w:sz w:val="20"/>
          <w:szCs w:val="20"/>
          <w14:ligatures w14:val="none"/>
        </w:rPr>
        <w:t>optimi</w:t>
      </w:r>
      <w:r w:rsidR="007C6E4A" w:rsidRPr="00EF319B">
        <w:rPr>
          <w:rFonts w:ascii="Times New Roman" w:eastAsia="Calibri" w:hAnsi="Times New Roman" w:cs="Times New Roman"/>
          <w:kern w:val="0"/>
          <w:sz w:val="20"/>
          <w:szCs w:val="20"/>
          <w14:ligatures w14:val="none"/>
        </w:rPr>
        <w:t>z</w:t>
      </w:r>
      <w:r w:rsidR="009516E7" w:rsidRPr="00EF319B">
        <w:rPr>
          <w:rFonts w:ascii="Times New Roman" w:eastAsia="Calibri" w:hAnsi="Times New Roman" w:cs="Times New Roman"/>
          <w:kern w:val="0"/>
          <w:sz w:val="20"/>
          <w:szCs w:val="20"/>
          <w14:ligatures w14:val="none"/>
        </w:rPr>
        <w:t>ed adsorptive capacities of 2.19 mg/g and 2.53 mg/g, for laboratory and pilot scale experiments, respectively, by which optimi</w:t>
      </w:r>
      <w:r w:rsidR="007C6E4A" w:rsidRPr="00EF319B">
        <w:rPr>
          <w:rFonts w:ascii="Times New Roman" w:eastAsia="Calibri" w:hAnsi="Times New Roman" w:cs="Times New Roman"/>
          <w:kern w:val="0"/>
          <w:sz w:val="20"/>
          <w:szCs w:val="20"/>
          <w14:ligatures w14:val="none"/>
        </w:rPr>
        <w:t>z</w:t>
      </w:r>
      <w:r w:rsidR="009516E7" w:rsidRPr="00EF319B">
        <w:rPr>
          <w:rFonts w:ascii="Times New Roman" w:eastAsia="Calibri" w:hAnsi="Times New Roman" w:cs="Times New Roman"/>
          <w:kern w:val="0"/>
          <w:sz w:val="20"/>
          <w:szCs w:val="20"/>
          <w14:ligatures w14:val="none"/>
        </w:rPr>
        <w:t>ed</w:t>
      </w:r>
      <w:r w:rsidRPr="00EF319B">
        <w:rPr>
          <w:rFonts w:ascii="Times New Roman" w:eastAsia="Calibri" w:hAnsi="Times New Roman" w:cs="Times New Roman"/>
          <w:kern w:val="0"/>
          <w:sz w:val="20"/>
          <w:szCs w:val="20"/>
          <w14:ligatures w14:val="none"/>
        </w:rPr>
        <w:t xml:space="preserve"> operational parameters of both different experiments were obtained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{"citationID":"1tEVLkfy","properties":{"formattedCitation":"[28]","plainCitation":"[28]","noteIndex":0},"citationItems":[{"id":734,"uris":["http://zotero.org/users/14115032/items/EKWVIVZS"],"itemData":{"id":734,"type":"article-journal","container-title":"Environmental Science and Pollution Research","DOI":"10.1007/s11356-024-34345-z","ISSN":"1614-7499","issue":"35","journalAbbreviation":"Environ Sci Pollut Res","language":"en","page":"48674-48686","source":"DOI.org (Crossref)","title":"Machine learning for the adsorptive removal of ciprofloxacin using sugarcane bagasse as a low-cost biosorbent: comparison of analytic, mechanistic, and neural network modeling","title-short":"Machine learning for the adsorptive removal of ciprofloxacin using sugarcane bagasse as a low-cost biosorbent","volume":"31","author":[{"family":"Vera","given":"Mayra"},{"family":"Aguilar","given":"Jonnathan"},{"family":"Coronel","given":"Stalin"},{"family":"Juela","given":"Diego"},{"family":"Vanegas","given":"Eulalia"},{"family":"Cruzat","given":"Christian"}],"issued":{"date-parts":[["2024",7,22]]}}}],"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[28]</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Similarly, other groups </w:t>
      </w:r>
      <w:r w:rsidR="007C6E4A" w:rsidRPr="00EF319B">
        <w:rPr>
          <w:rFonts w:ascii="Times New Roman" w:eastAsia="Calibri" w:hAnsi="Times New Roman" w:cs="Times New Roman"/>
          <w:kern w:val="0"/>
          <w:sz w:val="20"/>
          <w:szCs w:val="20"/>
          <w14:ligatures w14:val="none"/>
        </w:rPr>
        <w:t xml:space="preserve">have reported applying ML models to predict </w:t>
      </w:r>
      <w:r w:rsidRPr="00EF319B">
        <w:rPr>
          <w:rFonts w:ascii="Times New Roman" w:eastAsia="Calibri" w:hAnsi="Times New Roman" w:cs="Times New Roman"/>
          <w:kern w:val="0"/>
          <w:sz w:val="20"/>
          <w:szCs w:val="20"/>
          <w14:ligatures w14:val="none"/>
        </w:rPr>
        <w:t xml:space="preserve">adsorptive removal of pollutants such as Lindane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{"citationID":"khSk49qA","properties":{"formattedCitation":"[29]","plainCitation":"[29]","noteIndex":0},"citationItems":[{"id":735,"uris":["http://zotero.org/users/14115032/items/HBLCUDSV"],"itemData":{"id":735,"type":"article-journal","abstract":"It is challenging to use conventional one-variable-at-time (OVAT) batch experiments to evaluate multivariate/inter-parametric interactions between physico-chemical variables that contribute to the adsorptive removal of contaminants. Thus, chemometric prediction approaches for multivariate calibration and analysis reveal the impact of multi-parametric variation on the process of concern. Hence, we aim to develop an artificial neural network (ANN), and stepwise regression (SR) models for multivariate calibration and analysis utilizing OVAT data prepared through experimentation. After comparing the models’ performance, ANN was the superior model for this application in our work. The standard deviations (SD) between the observed and ANN-predicted values were very close. The average correlation coefficient (R2) between observed and ANN-predicted values for the training dataset was 96.9%. This confirms the ability of our developed ANN model to forecast lindane removal accurately. The testing dataset correlation coefficients (89.9% for ANN and 67.75% for SR) demonstrated a better correlation between observed and predicted ANN values. The ANN model training and testing dataset RMSE values were 1.482 and 2.402, lower than the SR values of 4.035 and 3.890. The MAPE values for the ANN model’s training and testing datasets, 0.018 and 0.031, were lower than those for the SR model. The training and testing datasets have low RSR and PBIAS values, implying model strength. The R2 and WIA values are above 0.90 for both datasets, proving the ANN model’s accuracy. Applying our developed ANN model will reduce the cost of removing inorganic and organic impurities, including lindane, and optimize chemical utilization.","container-title":"Applied Sciences","DOI":"10.3390/app13127086","ISSN":"2076-3417","issue":"12","journalAbbreviation":"Applied Sciences","language":"en","page":"7086","source":"DOI.org (Crossref)","title":"A Multivariate Machine Learning Model of Adsorptive Lindane Removal from Contaminated Water","volume":"13","author":[{"family":"Akinpelu","given":"Adeola Akeem"},{"family":"Nazal","given":"Mazen K."},{"family":"Shafiullah","given":"Md"},{"family":"Islam","given":"Md Kamrul"},{"family":"Islam","given":"Mohammed Monirul"},{"family":"Rahman","given":"Aminur"},{"family":"Rahman","given":"Syed Masiur"},{"family":"Rahman","given":"Muhammad Muhitur"}],"issued":{"date-parts":[["2023",6,13]]}}}],"schema":"https://github.com/citation-style-language/schema/raw/master/csl-citation.json"}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[29]</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organic pollutants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{"citationID":"BbDewOPs","properties":{"formattedCitation":"[30]","plainCitation":"[30]","noteIndex":0},"citationItems":[{"id":737,"uris":["http://zotero.org/users/14115032/items/87ABFJ6Q"],"itemData":{"id":737,"type":"article-journal","container-title":"ACS ES&amp;T Engineering","DOI":"10.1021/acsestengg.3c00086","ISSN":"2690-0645, 2690-0645","issue":"9","journalAbbreviation":"ACS EST Eng.","language":"en","license":"https://doi.org/10.15223/policy-029","page":"1258-1266","source":"DOI.org (Crossref)","title":"Prediction of Adsorptive Activities of MOFs for Pollutants in Aqueous Phase Based on Machine Learning","volume":"3","author":[{"family":"Li","given":"Jiahao"},{"family":"Wang","given":"Jiawei"},{"family":"Mu","given":"Hongxin"},{"family":"Hu","given":"Haidong"},{"family":"Wang","given":"Jinfeng"},{"family":"Ren","given":"Hongqiang"},{"family":"Wu","given":"Bing"}],"issued":{"date-parts":[["2023",9,8]]}}}],"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[30]</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 xml:space="preserve">, and selenium </w:t>
      </w:r>
      <w:r w:rsidRPr="00EF319B">
        <w:rPr>
          <w:rFonts w:ascii="Times New Roman" w:eastAsia="Calibri" w:hAnsi="Times New Roman" w:cs="Times New Roman"/>
          <w:kern w:val="0"/>
          <w:sz w:val="20"/>
          <w:szCs w:val="20"/>
          <w14:ligatures w14:val="none"/>
        </w:rPr>
        <w:fldChar w:fldCharType="begin"/>
      </w:r>
      <w:r w:rsidRPr="00EF319B">
        <w:rPr>
          <w:rFonts w:ascii="Times New Roman" w:eastAsia="Calibri" w:hAnsi="Times New Roman" w:cs="Times New Roman"/>
          <w:kern w:val="0"/>
          <w:sz w:val="20"/>
          <w:szCs w:val="20"/>
          <w14:ligatures w14:val="none"/>
        </w:rPr>
        <w:instrText xml:space="preserve"> ADDIN ZOTERO_ITEM CSL_CITATION {"citationID":"7g9XRq7S","properties":{"formattedCitation":"[31]","plainCitation":"[31]","noteIndex":0},"citationItems":[{"id":738,"uris":["http://zotero.org/users/14115032/items/PQMD5I9U"],"itemData":{"id":738,"type":"article-journal","abstract":"Abstract\n            \n              The accurate prediction of environmental Se (selenium) adsorption levels is critical for sustainable development and management perception. The concept of sorting massive quantities of data to find important information using machine learning (ML) has recently been applied to environmental remediation, particularly the science-based design of a 'green' carbonaceous and an effective functional material (e.g., biochar and Fe modified biochar) with high Selenium (Se) removal capacity. The present study focuses on presenting ML models that utilize the random-forest (RF) support vector regression (SVR) and SHAP (SHapley Additive exPlanations) models to forecast the adsorption of Se by modified biochar. The RF, SVR and SHAP models, which were constructed using basic surface properties of Fe-modified biochar and environmental conditions showed accuracy and predictive performance for Se (removal capacity in the test group with\n              R\n              2\n              of 0.98, 0.98 and 0.95 and RMSE of 0.35, 0.14 and 0.23 mg-kg\n              −1\n              , respectively). The SVR model was highly effective for predicting Se adsorption, indicating potentially higher accuracy than the RF and SHAP models. This may be due to the small size of our data. According to the feature analysis and partial dependence plot analysis of all three models, the most significant component regulating Se adsorption was oxygen (%) followed by carbon (%), temperature, pH and Fe in all three models. The relative importance of variables may offer guidance for researchers to develop improved Se treatment of actual water and wastewater. Moreover, the ML models developed in this study took into account the surface functionalities of biochar and Fe-modified biochar to provide a more accurate prediction of Se removal, and offer a comprehensive guideline for the long-term development of biochar adsorbents for Se removal.\n            \n            \n              Graphical Abstract","container-title":"Carbon Research","DOI":"10.1007/s44246-023-00061-5","ISSN":"2731-6696","issue":"1","journalAbbreviation":"Carbon Res.","language":"en","page":"29","source":"DOI.org (Crossref)","title":"Machine learning approach to predict adsorption capacity of Fe-modified biochar for selenium","volume":"2","author":[{"family":"Ullah","given":"Habib"},{"family":"Khan","given":"Sangar"},{"family":"Chen","given":"Baoliang"},{"family":"Shahab","given":"Asfandyar"},{"family":"Riaz","given":"Luqman"},{"family":"Lun","given":"Lu"},{"family":"Wu","given":"Naicheng"}],"issued":{"date-parts":[["2023",8,15]]}}}],"schema":"https://github.com/citation-style-language/schema/raw/master/csl-citation.json"} </w:instrText>
      </w:r>
      <w:r w:rsidRPr="00EF319B">
        <w:rPr>
          <w:rFonts w:ascii="Times New Roman" w:eastAsia="Calibri" w:hAnsi="Times New Roman" w:cs="Times New Roman"/>
          <w:kern w:val="0"/>
          <w:sz w:val="20"/>
          <w:szCs w:val="20"/>
          <w14:ligatures w14:val="none"/>
        </w:rPr>
        <w:fldChar w:fldCharType="separate"/>
      </w:r>
      <w:r w:rsidRPr="00EF319B">
        <w:rPr>
          <w:rFonts w:ascii="Times New Roman" w:hAnsi="Times New Roman" w:cs="Times New Roman"/>
          <w:sz w:val="20"/>
        </w:rPr>
        <w:t>[31]</w:t>
      </w:r>
      <w:r w:rsidRPr="00EF319B">
        <w:rPr>
          <w:rFonts w:ascii="Times New Roman" w:eastAsia="Calibri" w:hAnsi="Times New Roman" w:cs="Times New Roman"/>
          <w:kern w:val="0"/>
          <w:sz w:val="20"/>
          <w:szCs w:val="20"/>
          <w14:ligatures w14:val="none"/>
        </w:rPr>
        <w:fldChar w:fldCharType="end"/>
      </w:r>
      <w:r w:rsidRPr="00EF319B">
        <w:rPr>
          <w:rFonts w:ascii="Times New Roman" w:eastAsia="Calibri" w:hAnsi="Times New Roman" w:cs="Times New Roman"/>
          <w:kern w:val="0"/>
          <w:sz w:val="20"/>
          <w:szCs w:val="20"/>
          <w14:ligatures w14:val="none"/>
        </w:rPr>
        <w:t>.</w:t>
      </w:r>
      <w:r w:rsidR="00094FBB" w:rsidRPr="00EF319B">
        <w:rPr>
          <w:rFonts w:ascii="Times New Roman" w:eastAsia="Calibri" w:hAnsi="Times New Roman" w:cs="Times New Roman"/>
          <w:kern w:val="0"/>
          <w:sz w:val="20"/>
          <w:szCs w:val="20"/>
          <w14:ligatures w14:val="none"/>
        </w:rPr>
        <w:t xml:space="preserve"> </w:t>
      </w:r>
      <w:r w:rsidRPr="00EF319B">
        <w:rPr>
          <w:rFonts w:ascii="Times New Roman" w:eastAsia="Calibri" w:hAnsi="Times New Roman" w:cs="Times New Roman"/>
          <w:kern w:val="0"/>
          <w:sz w:val="20"/>
          <w:szCs w:val="20"/>
          <w14:ligatures w14:val="none"/>
        </w:rPr>
        <w:t xml:space="preserve">However, the preceding studies, while novel themselves, have been conducted on a limited scale and </w:t>
      </w:r>
      <w:r w:rsidR="00AC7AE3" w:rsidRPr="00EF319B">
        <w:rPr>
          <w:rFonts w:ascii="Times New Roman" w:eastAsia="Calibri" w:hAnsi="Times New Roman" w:cs="Times New Roman"/>
          <w:kern w:val="0"/>
          <w:sz w:val="20"/>
          <w:szCs w:val="20"/>
          <w14:ligatures w14:val="none"/>
        </w:rPr>
        <w:t xml:space="preserve">with a limited </w:t>
      </w:r>
      <w:r w:rsidRPr="00EF319B">
        <w:rPr>
          <w:rFonts w:ascii="Times New Roman" w:eastAsia="Calibri" w:hAnsi="Times New Roman" w:cs="Times New Roman"/>
          <w:kern w:val="0"/>
          <w:sz w:val="20"/>
          <w:szCs w:val="20"/>
          <w14:ligatures w14:val="none"/>
        </w:rPr>
        <w:t xml:space="preserve">variety of pollutants. Therefore, considering the current state of the art in this field, we report on the implementation of ML models on a large dataset to remove various anionic pollutants using adsorptive materials. Four commonly encountered anionic pollutants in wastewater, i.e., bovine serum albumin (BVA), </w:t>
      </w:r>
      <w:r w:rsidR="00342888" w:rsidRPr="00EF319B">
        <w:rPr>
          <w:rFonts w:ascii="Times New Roman" w:eastAsia="Calibri" w:hAnsi="Times New Roman" w:cs="Times New Roman"/>
          <w:kern w:val="0"/>
          <w:sz w:val="20"/>
          <w:szCs w:val="20"/>
          <w14:ligatures w14:val="none"/>
        </w:rPr>
        <w:t>methyl</w:t>
      </w:r>
      <w:r w:rsidRPr="00EF319B">
        <w:rPr>
          <w:rFonts w:ascii="Times New Roman" w:eastAsia="Calibri" w:hAnsi="Times New Roman" w:cs="Times New Roman"/>
          <w:kern w:val="0"/>
          <w:sz w:val="20"/>
          <w:szCs w:val="20"/>
          <w14:ligatures w14:val="none"/>
        </w:rPr>
        <w:t xml:space="preserve"> orange (MO), SO</w:t>
      </w:r>
      <w:r w:rsidRPr="00EF319B">
        <w:rPr>
          <w:rFonts w:ascii="Times New Roman" w:eastAsia="Calibri" w:hAnsi="Times New Roman" w:cs="Times New Roman"/>
          <w:kern w:val="0"/>
          <w:sz w:val="20"/>
          <w:szCs w:val="20"/>
          <w:vertAlign w:val="subscript"/>
          <w14:ligatures w14:val="none"/>
        </w:rPr>
        <w:t>4</w:t>
      </w:r>
      <w:r w:rsidRPr="00EF319B">
        <w:rPr>
          <w:rFonts w:ascii="Times New Roman" w:eastAsia="Calibri" w:hAnsi="Times New Roman" w:cs="Times New Roman"/>
          <w:kern w:val="0"/>
          <w:sz w:val="20"/>
          <w:szCs w:val="20"/>
          <w:vertAlign w:val="superscript"/>
          <w14:ligatures w14:val="none"/>
        </w:rPr>
        <w:t>-2</w:t>
      </w:r>
      <w:r w:rsidR="00D66719" w:rsidRPr="00EF319B">
        <w:rPr>
          <w:rFonts w:ascii="Times New Roman" w:eastAsia="Calibri" w:hAnsi="Times New Roman" w:cs="Times New Roman"/>
          <w:kern w:val="0"/>
          <w:sz w:val="20"/>
          <w:szCs w:val="20"/>
          <w14:ligatures w14:val="none"/>
        </w:rPr>
        <w:t>,</w:t>
      </w:r>
      <w:r w:rsidRPr="00EF319B">
        <w:rPr>
          <w:rFonts w:ascii="Times New Roman" w:eastAsia="Calibri" w:hAnsi="Times New Roman" w:cs="Times New Roman"/>
          <w:kern w:val="0"/>
          <w:sz w:val="20"/>
          <w:szCs w:val="20"/>
          <w14:ligatures w14:val="none"/>
        </w:rPr>
        <w:t xml:space="preserve"> and NO</w:t>
      </w:r>
      <w:r w:rsidRPr="00EF319B">
        <w:rPr>
          <w:rFonts w:ascii="Times New Roman" w:eastAsia="Calibri" w:hAnsi="Times New Roman" w:cs="Times New Roman"/>
          <w:kern w:val="0"/>
          <w:sz w:val="20"/>
          <w:szCs w:val="20"/>
          <w:vertAlign w:val="subscript"/>
          <w14:ligatures w14:val="none"/>
        </w:rPr>
        <w:t>3</w:t>
      </w:r>
      <w:r w:rsidR="004461F3">
        <w:rPr>
          <w:rFonts w:ascii="Times New Roman" w:eastAsia="Calibri" w:hAnsi="Times New Roman" w:cs="Times New Roman"/>
          <w:kern w:val="0"/>
          <w:sz w:val="20"/>
          <w:szCs w:val="20"/>
          <w:vertAlign w:val="superscript"/>
          <w14:ligatures w14:val="none"/>
        </w:rPr>
        <w:t>1-</w:t>
      </w:r>
      <w:r w:rsidRPr="00EF319B">
        <w:rPr>
          <w:rFonts w:ascii="Times New Roman" w:eastAsia="Calibri" w:hAnsi="Times New Roman" w:cs="Times New Roman"/>
          <w:kern w:val="0"/>
          <w:sz w:val="20"/>
          <w:szCs w:val="20"/>
          <w14:ligatures w14:val="none"/>
        </w:rPr>
        <w:t xml:space="preserve"> were selected, while four different adsorptive materials</w:t>
      </w:r>
      <w:r w:rsidR="00152C70" w:rsidRPr="00EF319B">
        <w:rPr>
          <w:rFonts w:ascii="Times New Roman" w:eastAsia="Calibri" w:hAnsi="Times New Roman" w:cs="Times New Roman"/>
          <w:kern w:val="0"/>
          <w:sz w:val="20"/>
          <w:szCs w:val="20"/>
          <w14:ligatures w14:val="none"/>
        </w:rPr>
        <w:t>, i.e.,</w:t>
      </w:r>
      <w:r w:rsidR="00C85A23" w:rsidRPr="00EF319B">
        <w:rPr>
          <w:rFonts w:ascii="Times New Roman" w:eastAsia="Calibri" w:hAnsi="Times New Roman" w:cs="Times New Roman"/>
          <w:kern w:val="0"/>
          <w:sz w:val="20"/>
          <w:szCs w:val="20"/>
          <w14:ligatures w14:val="none"/>
        </w:rPr>
        <w:t xml:space="preserve"> </w:t>
      </w:r>
      <w:r w:rsidR="00562D19" w:rsidRPr="00EF319B">
        <w:rPr>
          <w:rFonts w:ascii="Times New Roman" w:eastAsia="Calibri" w:hAnsi="Times New Roman" w:cs="Times New Roman"/>
          <w:kern w:val="0"/>
          <w:sz w:val="20"/>
          <w:szCs w:val="20"/>
          <w14:ligatures w14:val="none"/>
        </w:rPr>
        <w:t>powdered activated carbon (PAC), thermally modified PAC (TPAC)</w:t>
      </w:r>
      <w:r w:rsidR="00163384" w:rsidRPr="00EF319B">
        <w:rPr>
          <w:rFonts w:ascii="Times New Roman" w:eastAsia="Calibri" w:hAnsi="Times New Roman" w:cs="Times New Roman"/>
          <w:kern w:val="0"/>
          <w:sz w:val="20"/>
          <w:szCs w:val="20"/>
          <w14:ligatures w14:val="none"/>
        </w:rPr>
        <w:t>, chemically modified</w:t>
      </w:r>
      <w:r w:rsidR="00950BCA" w:rsidRPr="00EF319B">
        <w:rPr>
          <w:rFonts w:ascii="Times New Roman" w:eastAsia="Calibri" w:hAnsi="Times New Roman" w:cs="Times New Roman"/>
          <w:kern w:val="0"/>
          <w:sz w:val="20"/>
          <w:szCs w:val="20"/>
          <w14:ligatures w14:val="none"/>
        </w:rPr>
        <w:t xml:space="preserve"> PAC (CPAC)</w:t>
      </w:r>
      <w:r w:rsidR="00F90B7E" w:rsidRPr="00EF319B">
        <w:rPr>
          <w:rFonts w:ascii="Times New Roman" w:eastAsia="Calibri" w:hAnsi="Times New Roman" w:cs="Times New Roman"/>
          <w:kern w:val="0"/>
          <w:sz w:val="20"/>
          <w:szCs w:val="20"/>
          <w14:ligatures w14:val="none"/>
        </w:rPr>
        <w:t xml:space="preserve">, </w:t>
      </w:r>
      <w:r w:rsidR="004804A7" w:rsidRPr="00EF319B">
        <w:rPr>
          <w:rFonts w:ascii="Times New Roman" w:eastAsia="Calibri" w:hAnsi="Times New Roman" w:cs="Times New Roman"/>
          <w:kern w:val="0"/>
          <w:sz w:val="20"/>
          <w:szCs w:val="20"/>
          <w14:ligatures w14:val="none"/>
        </w:rPr>
        <w:t xml:space="preserve">and </w:t>
      </w:r>
      <w:r w:rsidR="00D754A8" w:rsidRPr="00EF319B">
        <w:rPr>
          <w:rFonts w:ascii="Times New Roman" w:eastAsia="Calibri" w:hAnsi="Times New Roman" w:cs="Times New Roman"/>
          <w:kern w:val="0"/>
          <w:sz w:val="20"/>
          <w:szCs w:val="20"/>
          <w14:ligatures w14:val="none"/>
        </w:rPr>
        <w:t xml:space="preserve">ion exchange chitosan </w:t>
      </w:r>
      <w:r w:rsidR="004804A7" w:rsidRPr="00EF319B">
        <w:rPr>
          <w:rFonts w:ascii="Times New Roman" w:eastAsia="Calibri" w:hAnsi="Times New Roman" w:cs="Times New Roman"/>
          <w:kern w:val="0"/>
          <w:sz w:val="20"/>
          <w:szCs w:val="20"/>
          <w14:ligatures w14:val="none"/>
        </w:rPr>
        <w:t>beads</w:t>
      </w:r>
      <w:r w:rsidR="00D754A8" w:rsidRPr="00EF319B">
        <w:rPr>
          <w:rFonts w:ascii="Times New Roman" w:eastAsia="Calibri" w:hAnsi="Times New Roman" w:cs="Times New Roman"/>
          <w:kern w:val="0"/>
          <w:sz w:val="20"/>
          <w:szCs w:val="20"/>
          <w14:ligatures w14:val="none"/>
        </w:rPr>
        <w:t xml:space="preserve"> (I</w:t>
      </w:r>
      <w:r w:rsidR="00C85A23" w:rsidRPr="00EF319B">
        <w:rPr>
          <w:rFonts w:ascii="Times New Roman" w:eastAsia="Calibri" w:hAnsi="Times New Roman" w:cs="Times New Roman"/>
          <w:kern w:val="0"/>
          <w:sz w:val="20"/>
          <w:szCs w:val="20"/>
          <w14:ligatures w14:val="none"/>
        </w:rPr>
        <w:t>ECBs)</w:t>
      </w:r>
      <w:r w:rsidR="00AC7AE3" w:rsidRPr="00EF319B">
        <w:rPr>
          <w:rFonts w:ascii="Times New Roman" w:eastAsia="Calibri" w:hAnsi="Times New Roman" w:cs="Times New Roman"/>
          <w:kern w:val="0"/>
          <w:sz w:val="20"/>
          <w:szCs w:val="20"/>
          <w14:ligatures w14:val="none"/>
        </w:rPr>
        <w:t>,</w:t>
      </w:r>
      <w:r w:rsidR="00562D19" w:rsidRPr="00EF319B">
        <w:rPr>
          <w:rFonts w:ascii="Times New Roman" w:eastAsia="Calibri" w:hAnsi="Times New Roman" w:cs="Times New Roman"/>
          <w:kern w:val="0"/>
          <w:sz w:val="20"/>
          <w:szCs w:val="20"/>
          <w14:ligatures w14:val="none"/>
        </w:rPr>
        <w:t xml:space="preserve"> </w:t>
      </w:r>
      <w:r w:rsidRPr="00EF319B">
        <w:rPr>
          <w:rFonts w:ascii="Times New Roman" w:eastAsia="Calibri" w:hAnsi="Times New Roman" w:cs="Times New Roman"/>
          <w:kern w:val="0"/>
          <w:sz w:val="20"/>
          <w:szCs w:val="20"/>
          <w14:ligatures w14:val="none"/>
        </w:rPr>
        <w:t xml:space="preserve">were chosen to obtain a reliable dataset. To leverage ML models, various operational influencing parameters were selected, and four </w:t>
      </w:r>
      <w:r w:rsidR="004804A7" w:rsidRPr="00EF319B">
        <w:rPr>
          <w:rFonts w:ascii="Times New Roman" w:eastAsia="Calibri" w:hAnsi="Times New Roman" w:cs="Times New Roman"/>
          <w:kern w:val="0"/>
          <w:sz w:val="20"/>
          <w:szCs w:val="20"/>
          <w14:ligatures w14:val="none"/>
        </w:rPr>
        <w:t>ML models (DT, GPR, SVM, and ELT) were applied to establish intricate relationships between the adsorptive pollutants' removal degree and these</w:t>
      </w:r>
      <w:r w:rsidRPr="00EF319B">
        <w:rPr>
          <w:rFonts w:ascii="Times New Roman" w:eastAsia="Calibri" w:hAnsi="Times New Roman" w:cs="Times New Roman"/>
          <w:kern w:val="0"/>
          <w:sz w:val="20"/>
          <w:szCs w:val="20"/>
          <w14:ligatures w14:val="none"/>
        </w:rPr>
        <w:t xml:space="preserve"> parameters. The developed and trained ML models were further optimized using the Bayesian optimization technique, enabling more accurate prediction of the adsorptive capacity of selected adsorptive materials by considering the influence of operational parameters. The developed ML models were </w:t>
      </w:r>
      <w:r w:rsidR="000723C6" w:rsidRPr="00EF319B">
        <w:rPr>
          <w:rFonts w:ascii="Times New Roman" w:eastAsia="Calibri" w:hAnsi="Times New Roman" w:cs="Times New Roman"/>
          <w:kern w:val="0"/>
          <w:sz w:val="20"/>
          <w:szCs w:val="20"/>
          <w14:ligatures w14:val="none"/>
        </w:rPr>
        <w:t xml:space="preserve">further </w:t>
      </w:r>
      <w:r w:rsidR="00735DAF" w:rsidRPr="00EF319B">
        <w:rPr>
          <w:rFonts w:ascii="Times New Roman" w:eastAsia="Calibri" w:hAnsi="Times New Roman" w:cs="Times New Roman"/>
          <w:kern w:val="0"/>
          <w:sz w:val="20"/>
          <w:szCs w:val="20"/>
          <w14:ligatures w14:val="none"/>
        </w:rPr>
        <w:t xml:space="preserve">experimentally validated to assess their reliability by conducting adsorptive removal of pollutants using randomly selected input features, yielding high </w:t>
      </w:r>
      <w:r w:rsidR="000723C6" w:rsidRPr="00EF319B">
        <w:rPr>
          <w:rFonts w:ascii="Times New Roman" w:eastAsia="Calibri" w:hAnsi="Times New Roman" w:cs="Times New Roman"/>
          <w:kern w:val="0"/>
          <w:sz w:val="20"/>
          <w:szCs w:val="20"/>
          <w14:ligatures w14:val="none"/>
        </w:rPr>
        <w:t>predictive accuracy</w:t>
      </w:r>
      <w:r w:rsidRPr="00EF319B">
        <w:rPr>
          <w:rFonts w:ascii="Times New Roman" w:eastAsia="Calibri" w:hAnsi="Times New Roman" w:cs="Times New Roman"/>
          <w:kern w:val="0"/>
          <w:sz w:val="20"/>
          <w:szCs w:val="20"/>
          <w14:ligatures w14:val="none"/>
        </w:rPr>
        <w:t>.</w:t>
      </w:r>
    </w:p>
    <w:p w14:paraId="74CFF582" w14:textId="77777777" w:rsidR="0022023A" w:rsidRPr="00EF319B" w:rsidRDefault="0022023A" w:rsidP="0022023A">
      <w:pPr>
        <w:pStyle w:val="ListParagraph"/>
        <w:keepNext/>
        <w:keepLines/>
        <w:numPr>
          <w:ilvl w:val="0"/>
          <w:numId w:val="7"/>
        </w:numPr>
        <w:spacing w:before="40" w:after="0" w:line="259" w:lineRule="auto"/>
        <w:outlineLvl w:val="2"/>
        <w:rPr>
          <w:rFonts w:ascii="Times New Roman" w:eastAsia="Yu Gothic Light" w:hAnsi="Times New Roman" w:cs="Times New Roman"/>
          <w:b/>
          <w:kern w:val="0"/>
          <w:sz w:val="20"/>
          <w:szCs w:val="20"/>
          <w14:ligatures w14:val="none"/>
        </w:rPr>
      </w:pPr>
      <w:r w:rsidRPr="00EF319B">
        <w:rPr>
          <w:rFonts w:ascii="Times New Roman" w:eastAsia="Yu Gothic Light" w:hAnsi="Times New Roman" w:cs="Times New Roman"/>
          <w:b/>
          <w:kern w:val="0"/>
          <w:sz w:val="20"/>
          <w:szCs w:val="20"/>
          <w14:ligatures w14:val="none"/>
        </w:rPr>
        <w:t xml:space="preserve">Methodology </w:t>
      </w:r>
    </w:p>
    <w:p w14:paraId="690A736F" w14:textId="77777777" w:rsidR="0022023A" w:rsidRPr="00EF319B" w:rsidRDefault="0022023A" w:rsidP="0022023A">
      <w:pPr>
        <w:pStyle w:val="ListParagraph"/>
        <w:numPr>
          <w:ilvl w:val="1"/>
          <w:numId w:val="8"/>
        </w:numPr>
        <w:spacing w:line="360" w:lineRule="auto"/>
        <w:rPr>
          <w:rFonts w:ascii="Times New Roman" w:hAnsi="Times New Roman" w:cs="Times New Roman"/>
          <w:b/>
          <w:bCs/>
          <w:sz w:val="20"/>
          <w:szCs w:val="20"/>
        </w:rPr>
      </w:pPr>
      <w:r w:rsidRPr="00EF319B">
        <w:rPr>
          <w:rFonts w:ascii="Times New Roman" w:hAnsi="Times New Roman" w:cs="Times New Roman"/>
          <w:b/>
          <w:bCs/>
          <w:sz w:val="20"/>
          <w:szCs w:val="20"/>
        </w:rPr>
        <w:t>Data collection and pre-processing</w:t>
      </w:r>
    </w:p>
    <w:p w14:paraId="1ECD34DE" w14:textId="3F7AFB0B" w:rsidR="00222DA5" w:rsidRPr="00EF319B" w:rsidRDefault="00DD5E47" w:rsidP="00166797">
      <w:pPr>
        <w:spacing w:line="360" w:lineRule="auto"/>
        <w:jc w:val="both"/>
        <w:rPr>
          <w:rFonts w:ascii="Times New Roman" w:hAnsi="Times New Roman" w:cs="Times New Roman"/>
          <w:sz w:val="20"/>
          <w:szCs w:val="20"/>
        </w:rPr>
      </w:pPr>
      <w:r w:rsidRPr="00EF319B">
        <w:rPr>
          <w:rFonts w:ascii="Times New Roman" w:hAnsi="Times New Roman" w:cs="Times New Roman"/>
          <w:sz w:val="20"/>
          <w:szCs w:val="20"/>
        </w:rPr>
        <w:t xml:space="preserve">For training and testing </w:t>
      </w:r>
      <w:r w:rsidR="00F4026B" w:rsidRPr="00EF319B">
        <w:rPr>
          <w:rFonts w:ascii="Times New Roman" w:hAnsi="Times New Roman" w:cs="Times New Roman"/>
          <w:sz w:val="20"/>
          <w:szCs w:val="20"/>
        </w:rPr>
        <w:t>ML models, adsorptive removal data for various adsorbents</w:t>
      </w:r>
      <w:r w:rsidR="0028745F" w:rsidRPr="00EF319B">
        <w:rPr>
          <w:rFonts w:ascii="Times New Roman" w:hAnsi="Times New Roman" w:cs="Times New Roman"/>
          <w:sz w:val="20"/>
          <w:szCs w:val="20"/>
        </w:rPr>
        <w:t xml:space="preserve"> were obtained from </w:t>
      </w:r>
      <w:r w:rsidR="00F647E3" w:rsidRPr="00EF319B">
        <w:rPr>
          <w:rFonts w:ascii="Times New Roman" w:hAnsi="Times New Roman" w:cs="Times New Roman"/>
          <w:sz w:val="20"/>
          <w:szCs w:val="20"/>
        </w:rPr>
        <w:t xml:space="preserve">our group’s laboratory </w:t>
      </w:r>
      <w:r w:rsidR="00620188" w:rsidRPr="00EF319B">
        <w:rPr>
          <w:rFonts w:ascii="Times New Roman" w:hAnsi="Times New Roman" w:cs="Times New Roman"/>
          <w:sz w:val="20"/>
          <w:szCs w:val="20"/>
        </w:rPr>
        <w:t xml:space="preserve">experiments. </w:t>
      </w:r>
      <w:r w:rsidR="00D11D61" w:rsidRPr="00EF319B">
        <w:rPr>
          <w:rFonts w:ascii="Times New Roman" w:hAnsi="Times New Roman" w:cs="Times New Roman"/>
          <w:sz w:val="20"/>
          <w:szCs w:val="20"/>
        </w:rPr>
        <w:t xml:space="preserve">Experiments were conducted by </w:t>
      </w:r>
      <w:r w:rsidR="00F4026B" w:rsidRPr="00EF319B">
        <w:rPr>
          <w:rFonts w:ascii="Times New Roman" w:hAnsi="Times New Roman" w:cs="Times New Roman"/>
          <w:sz w:val="20"/>
          <w:szCs w:val="20"/>
        </w:rPr>
        <w:t xml:space="preserve">varying selected parameters to obtain a </w:t>
      </w:r>
      <w:r w:rsidR="00AB3A57" w:rsidRPr="00EF319B">
        <w:rPr>
          <w:rFonts w:ascii="Times New Roman" w:hAnsi="Times New Roman" w:cs="Times New Roman"/>
          <w:sz w:val="20"/>
          <w:szCs w:val="20"/>
        </w:rPr>
        <w:t>diverse range of datapoints suitable for enhancing the model’s training and predictive capabilities.</w:t>
      </w:r>
      <w:r w:rsidR="00F4026B" w:rsidRPr="00EF319B">
        <w:rPr>
          <w:rFonts w:ascii="Times New Roman" w:hAnsi="Times New Roman" w:cs="Times New Roman"/>
          <w:sz w:val="20"/>
          <w:szCs w:val="20"/>
        </w:rPr>
        <w:t xml:space="preserve"> </w:t>
      </w:r>
      <w:r w:rsidR="00FC2793" w:rsidRPr="00EF319B">
        <w:rPr>
          <w:rFonts w:ascii="Times New Roman" w:hAnsi="Times New Roman" w:cs="Times New Roman"/>
          <w:sz w:val="20"/>
          <w:szCs w:val="20"/>
        </w:rPr>
        <w:t>A tabulated list of all data points</w:t>
      </w:r>
      <w:r w:rsidR="00203809" w:rsidRPr="00EF319B">
        <w:rPr>
          <w:rFonts w:ascii="Times New Roman" w:hAnsi="Times New Roman" w:cs="Times New Roman"/>
          <w:sz w:val="20"/>
          <w:szCs w:val="20"/>
        </w:rPr>
        <w:t xml:space="preserve">, together with their associated parameters, </w:t>
      </w:r>
      <w:r w:rsidR="00FC2793" w:rsidRPr="00EF319B">
        <w:rPr>
          <w:rFonts w:ascii="Times New Roman" w:hAnsi="Times New Roman" w:cs="Times New Roman"/>
          <w:sz w:val="20"/>
          <w:szCs w:val="20"/>
        </w:rPr>
        <w:t>is provided in Table S1.</w:t>
      </w:r>
      <w:r w:rsidR="00F2111A" w:rsidRPr="00EF319B">
        <w:rPr>
          <w:rFonts w:ascii="Times New Roman" w:hAnsi="Times New Roman" w:cs="Times New Roman"/>
          <w:sz w:val="20"/>
          <w:szCs w:val="20"/>
        </w:rPr>
        <w:t xml:space="preserve"> The adsorptive experiments </w:t>
      </w:r>
      <w:r w:rsidR="00922489" w:rsidRPr="00EF319B">
        <w:rPr>
          <w:rFonts w:ascii="Times New Roman" w:hAnsi="Times New Roman" w:cs="Times New Roman"/>
          <w:sz w:val="20"/>
          <w:szCs w:val="20"/>
        </w:rPr>
        <w:t>were</w:t>
      </w:r>
      <w:r w:rsidR="00F2111A" w:rsidRPr="00EF319B">
        <w:rPr>
          <w:rFonts w:ascii="Times New Roman" w:hAnsi="Times New Roman" w:cs="Times New Roman"/>
          <w:sz w:val="20"/>
          <w:szCs w:val="20"/>
        </w:rPr>
        <w:t xml:space="preserve"> conducted in </w:t>
      </w:r>
      <w:r w:rsidR="00F24BCC" w:rsidRPr="00EF319B">
        <w:rPr>
          <w:rFonts w:ascii="Times New Roman" w:hAnsi="Times New Roman" w:cs="Times New Roman"/>
          <w:sz w:val="20"/>
          <w:szCs w:val="20"/>
        </w:rPr>
        <w:t xml:space="preserve">sonication and non-sonication </w:t>
      </w:r>
      <w:r w:rsidR="00F16FDD" w:rsidRPr="00EF319B">
        <w:rPr>
          <w:rFonts w:ascii="Times New Roman" w:hAnsi="Times New Roman" w:cs="Times New Roman"/>
          <w:sz w:val="20"/>
          <w:szCs w:val="20"/>
        </w:rPr>
        <w:t xml:space="preserve">(batch) modes, which </w:t>
      </w:r>
      <w:r w:rsidR="00AF25DC" w:rsidRPr="00EF319B">
        <w:rPr>
          <w:rFonts w:ascii="Times New Roman" w:hAnsi="Times New Roman" w:cs="Times New Roman"/>
          <w:sz w:val="20"/>
          <w:szCs w:val="20"/>
        </w:rPr>
        <w:t xml:space="preserve">can </w:t>
      </w:r>
      <w:r w:rsidR="00F16FDD" w:rsidRPr="00EF319B">
        <w:rPr>
          <w:rFonts w:ascii="Times New Roman" w:hAnsi="Times New Roman" w:cs="Times New Roman"/>
          <w:sz w:val="20"/>
          <w:szCs w:val="20"/>
        </w:rPr>
        <w:t>also influence</w:t>
      </w:r>
      <w:r w:rsidR="00F24BCC" w:rsidRPr="00EF319B">
        <w:rPr>
          <w:rFonts w:ascii="Times New Roman" w:hAnsi="Times New Roman" w:cs="Times New Roman"/>
          <w:sz w:val="20"/>
          <w:szCs w:val="20"/>
        </w:rPr>
        <w:t xml:space="preserve"> the adsorptive </w:t>
      </w:r>
      <w:r w:rsidR="00E87176" w:rsidRPr="00EF319B">
        <w:rPr>
          <w:rFonts w:ascii="Times New Roman" w:hAnsi="Times New Roman" w:cs="Times New Roman"/>
          <w:sz w:val="20"/>
          <w:szCs w:val="20"/>
        </w:rPr>
        <w:t xml:space="preserve">removal capacity. To keep the </w:t>
      </w:r>
      <w:r w:rsidR="00AF25DC" w:rsidRPr="00EF319B">
        <w:rPr>
          <w:rFonts w:ascii="Times New Roman" w:hAnsi="Times New Roman" w:cs="Times New Roman"/>
          <w:sz w:val="20"/>
          <w:szCs w:val="20"/>
        </w:rPr>
        <w:t>study's data points consistent, only commonly encountered anionic pollutants were used in</w:t>
      </w:r>
      <w:r w:rsidR="001E1C9C" w:rsidRPr="00EF319B">
        <w:rPr>
          <w:rFonts w:ascii="Times New Roman" w:hAnsi="Times New Roman" w:cs="Times New Roman"/>
          <w:sz w:val="20"/>
          <w:szCs w:val="20"/>
        </w:rPr>
        <w:t xml:space="preserve"> all experiments</w:t>
      </w:r>
      <w:r w:rsidR="00EF319B">
        <w:rPr>
          <w:rFonts w:ascii="Times New Roman" w:hAnsi="Times New Roman" w:cs="Times New Roman"/>
          <w:sz w:val="20"/>
          <w:szCs w:val="20"/>
        </w:rPr>
        <w:t xml:space="preserve"> (Figure 1)</w:t>
      </w:r>
      <w:r w:rsidR="001E1C9C" w:rsidRPr="00EF319B">
        <w:rPr>
          <w:rFonts w:ascii="Times New Roman" w:hAnsi="Times New Roman" w:cs="Times New Roman"/>
          <w:sz w:val="20"/>
          <w:szCs w:val="20"/>
        </w:rPr>
        <w:t xml:space="preserve">. </w:t>
      </w:r>
    </w:p>
    <w:p w14:paraId="43458359" w14:textId="77777777" w:rsidR="00051D1E" w:rsidRPr="00EF319B" w:rsidRDefault="0022023A" w:rsidP="00051D1E">
      <w:pPr>
        <w:pStyle w:val="NormalWeb"/>
        <w:keepNext/>
      </w:pPr>
      <w:r w:rsidRPr="00EF319B">
        <w:rPr>
          <w:noProof/>
        </w:rPr>
        <w:lastRenderedPageBreak/>
        <w:drawing>
          <wp:inline distT="0" distB="0" distL="0" distR="0" wp14:anchorId="29B68F40" wp14:editId="2E343FFF">
            <wp:extent cx="5943600" cy="1537970"/>
            <wp:effectExtent l="0" t="0" r="0" b="5080"/>
            <wp:docPr id="3" name="Picture 3" descr="A graph of pollut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of pollutan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1537970"/>
                    </a:xfrm>
                    <a:prstGeom prst="rect">
                      <a:avLst/>
                    </a:prstGeom>
                    <a:noFill/>
                    <a:ln>
                      <a:noFill/>
                    </a:ln>
                  </pic:spPr>
                </pic:pic>
              </a:graphicData>
            </a:graphic>
          </wp:inline>
        </w:drawing>
      </w:r>
    </w:p>
    <w:p w14:paraId="2DC26B4F" w14:textId="08B0222A" w:rsidR="0022023A" w:rsidRPr="00EF319B" w:rsidRDefault="00051D1E" w:rsidP="00166797">
      <w:pPr>
        <w:pStyle w:val="Caption"/>
        <w:jc w:val="center"/>
        <w:rPr>
          <w:rFonts w:ascii="Times New Roman" w:hAnsi="Times New Roman" w:cs="Times New Roman"/>
          <w:i w:val="0"/>
          <w:iCs w:val="0"/>
          <w:color w:val="auto"/>
          <w:sz w:val="20"/>
          <w:szCs w:val="20"/>
        </w:rPr>
      </w:pPr>
      <w:r w:rsidRPr="00EF319B">
        <w:rPr>
          <w:rFonts w:ascii="Times New Roman" w:hAnsi="Times New Roman" w:cs="Times New Roman"/>
          <w:b/>
          <w:bCs/>
          <w:i w:val="0"/>
          <w:iCs w:val="0"/>
          <w:color w:val="auto"/>
          <w:sz w:val="20"/>
          <w:szCs w:val="20"/>
        </w:rPr>
        <w:t xml:space="preserve">Figure </w:t>
      </w:r>
      <w:r w:rsidRPr="00EF319B">
        <w:rPr>
          <w:rFonts w:ascii="Times New Roman" w:hAnsi="Times New Roman" w:cs="Times New Roman"/>
          <w:b/>
          <w:bCs/>
          <w:i w:val="0"/>
          <w:iCs w:val="0"/>
          <w:color w:val="auto"/>
          <w:sz w:val="20"/>
          <w:szCs w:val="20"/>
        </w:rPr>
        <w:fldChar w:fldCharType="begin"/>
      </w:r>
      <w:r w:rsidRPr="00EF319B">
        <w:rPr>
          <w:rFonts w:ascii="Times New Roman" w:hAnsi="Times New Roman" w:cs="Times New Roman"/>
          <w:b/>
          <w:bCs/>
          <w:i w:val="0"/>
          <w:iCs w:val="0"/>
          <w:color w:val="auto"/>
          <w:sz w:val="20"/>
          <w:szCs w:val="20"/>
        </w:rPr>
        <w:instrText xml:space="preserve"> SEQ Figure \* ARABIC </w:instrText>
      </w:r>
      <w:r w:rsidRPr="00EF319B">
        <w:rPr>
          <w:rFonts w:ascii="Times New Roman" w:hAnsi="Times New Roman" w:cs="Times New Roman"/>
          <w:b/>
          <w:bCs/>
          <w:i w:val="0"/>
          <w:iCs w:val="0"/>
          <w:color w:val="auto"/>
          <w:sz w:val="20"/>
          <w:szCs w:val="20"/>
        </w:rPr>
        <w:fldChar w:fldCharType="separate"/>
      </w:r>
      <w:r w:rsidR="002041F0" w:rsidRPr="00EF319B">
        <w:rPr>
          <w:rFonts w:ascii="Times New Roman" w:hAnsi="Times New Roman" w:cs="Times New Roman"/>
          <w:b/>
          <w:bCs/>
          <w:i w:val="0"/>
          <w:iCs w:val="0"/>
          <w:color w:val="auto"/>
          <w:sz w:val="20"/>
          <w:szCs w:val="20"/>
        </w:rPr>
        <w:t>1</w:t>
      </w:r>
      <w:r w:rsidRPr="00EF319B">
        <w:rPr>
          <w:rFonts w:ascii="Times New Roman" w:hAnsi="Times New Roman" w:cs="Times New Roman"/>
          <w:b/>
          <w:bCs/>
          <w:i w:val="0"/>
          <w:iCs w:val="0"/>
          <w:color w:val="auto"/>
          <w:sz w:val="20"/>
          <w:szCs w:val="20"/>
        </w:rPr>
        <w:fldChar w:fldCharType="end"/>
      </w:r>
      <w:r w:rsidRPr="00EF319B">
        <w:rPr>
          <w:rFonts w:ascii="Times New Roman" w:hAnsi="Times New Roman" w:cs="Times New Roman"/>
          <w:i w:val="0"/>
          <w:iCs w:val="0"/>
          <w:color w:val="auto"/>
          <w:sz w:val="20"/>
          <w:szCs w:val="20"/>
        </w:rPr>
        <w:t xml:space="preserve">. Number of counts of </w:t>
      </w:r>
      <w:r w:rsidR="00166797" w:rsidRPr="00EF319B">
        <w:rPr>
          <w:rFonts w:ascii="Times New Roman" w:hAnsi="Times New Roman" w:cs="Times New Roman"/>
          <w:i w:val="0"/>
          <w:iCs w:val="0"/>
          <w:color w:val="auto"/>
          <w:sz w:val="20"/>
          <w:szCs w:val="20"/>
        </w:rPr>
        <w:t>adsorptive removal method, pollutant, and material type utilized</w:t>
      </w:r>
      <w:r w:rsidRPr="00EF319B">
        <w:rPr>
          <w:rFonts w:ascii="Times New Roman" w:hAnsi="Times New Roman" w:cs="Times New Roman"/>
          <w:i w:val="0"/>
          <w:iCs w:val="0"/>
          <w:color w:val="auto"/>
          <w:sz w:val="20"/>
          <w:szCs w:val="20"/>
        </w:rPr>
        <w:t xml:space="preserve"> for training ML models.</w:t>
      </w:r>
    </w:p>
    <w:p w14:paraId="66E7696F" w14:textId="30D8E396" w:rsidR="0022023A" w:rsidRPr="00EF319B" w:rsidRDefault="000E138A" w:rsidP="006D3665">
      <w:pPr>
        <w:pStyle w:val="ListParagraph"/>
        <w:numPr>
          <w:ilvl w:val="1"/>
          <w:numId w:val="8"/>
        </w:numPr>
        <w:spacing w:line="360" w:lineRule="auto"/>
        <w:rPr>
          <w:rFonts w:ascii="Times New Roman" w:hAnsi="Times New Roman" w:cs="Times New Roman"/>
          <w:b/>
          <w:bCs/>
          <w:sz w:val="20"/>
          <w:szCs w:val="20"/>
        </w:rPr>
      </w:pPr>
      <w:r w:rsidRPr="00EF319B">
        <w:rPr>
          <w:rFonts w:ascii="Times New Roman" w:hAnsi="Times New Roman" w:cs="Times New Roman"/>
          <w:b/>
          <w:bCs/>
          <w:sz w:val="20"/>
          <w:szCs w:val="20"/>
        </w:rPr>
        <w:t>Bibliometric analysis</w:t>
      </w:r>
    </w:p>
    <w:p w14:paraId="09FDE7F0" w14:textId="716970D6" w:rsidR="006B6085" w:rsidRPr="00EF319B" w:rsidRDefault="00495722" w:rsidP="00495722">
      <w:pPr>
        <w:spacing w:line="360" w:lineRule="auto"/>
        <w:jc w:val="both"/>
        <w:rPr>
          <w:rFonts w:ascii="Times New Roman" w:hAnsi="Times New Roman" w:cs="Times New Roman"/>
          <w:sz w:val="20"/>
          <w:szCs w:val="20"/>
        </w:rPr>
      </w:pPr>
      <w:r w:rsidRPr="00EF319B">
        <w:rPr>
          <w:rFonts w:ascii="Times New Roman" w:hAnsi="Times New Roman" w:cs="Times New Roman"/>
          <w:sz w:val="20"/>
          <w:szCs w:val="20"/>
        </w:rPr>
        <w:t>The bibliometric analysis reveals a steadily expanding research landscape at the intersection of ML, adsorption processes, and anion</w:t>
      </w:r>
      <w:r w:rsidR="00CA67A7" w:rsidRPr="00EF319B">
        <w:rPr>
          <w:rFonts w:ascii="Times New Roman" w:hAnsi="Times New Roman" w:cs="Times New Roman"/>
          <w:sz w:val="20"/>
          <w:szCs w:val="20"/>
        </w:rPr>
        <w:t>ic pollutants</w:t>
      </w:r>
      <w:r w:rsidRPr="00EF319B">
        <w:rPr>
          <w:rFonts w:ascii="Times New Roman" w:hAnsi="Times New Roman" w:cs="Times New Roman"/>
          <w:sz w:val="20"/>
          <w:szCs w:val="20"/>
        </w:rPr>
        <w:t xml:space="preserve"> removal from wastewater systems between 2016 and 2026. As illustrated in Figure </w:t>
      </w:r>
      <w:r w:rsidR="00EF319B">
        <w:rPr>
          <w:rFonts w:ascii="Times New Roman" w:hAnsi="Times New Roman" w:cs="Times New Roman"/>
          <w:sz w:val="20"/>
          <w:szCs w:val="20"/>
        </w:rPr>
        <w:t>2</w:t>
      </w:r>
      <w:r w:rsidRPr="00EF319B">
        <w:rPr>
          <w:rFonts w:ascii="Times New Roman" w:hAnsi="Times New Roman" w:cs="Times New Roman"/>
          <w:sz w:val="20"/>
          <w:szCs w:val="20"/>
        </w:rPr>
        <w:t>a, publication output remained modest during the early years (2016</w:t>
      </w:r>
      <w:r w:rsidR="00EE0571" w:rsidRPr="00EF319B">
        <w:rPr>
          <w:rFonts w:ascii="Times New Roman" w:hAnsi="Times New Roman" w:cs="Times New Roman"/>
          <w:sz w:val="20"/>
          <w:szCs w:val="20"/>
        </w:rPr>
        <w:t>-</w:t>
      </w:r>
      <w:r w:rsidRPr="00EF319B">
        <w:rPr>
          <w:rFonts w:ascii="Times New Roman" w:hAnsi="Times New Roman" w:cs="Times New Roman"/>
          <w:sz w:val="20"/>
          <w:szCs w:val="20"/>
        </w:rPr>
        <w:t xml:space="preserve">2018) but began to increase significantly after 2020, with a pronounced rise in both publications and citations between 2022 and 2025. The surge in citations </w:t>
      </w:r>
      <w:r w:rsidR="00720C5D" w:rsidRPr="00EF319B">
        <w:rPr>
          <w:rFonts w:ascii="Times New Roman" w:hAnsi="Times New Roman" w:cs="Times New Roman"/>
          <w:sz w:val="20"/>
          <w:szCs w:val="20"/>
        </w:rPr>
        <w:t xml:space="preserve">in later years indicates growing scholarly recognition and the </w:t>
      </w:r>
      <w:r w:rsidRPr="00EF319B">
        <w:rPr>
          <w:rFonts w:ascii="Times New Roman" w:hAnsi="Times New Roman" w:cs="Times New Roman"/>
          <w:sz w:val="20"/>
          <w:szCs w:val="20"/>
        </w:rPr>
        <w:t xml:space="preserve">consolidation of foundational studies in this domain. Although the reported annual growth rate appears statistically neutral, the visual trend clearly </w:t>
      </w:r>
      <w:r w:rsidR="00720C5D" w:rsidRPr="00EF319B">
        <w:rPr>
          <w:rFonts w:ascii="Times New Roman" w:hAnsi="Times New Roman" w:cs="Times New Roman"/>
          <w:sz w:val="20"/>
          <w:szCs w:val="20"/>
        </w:rPr>
        <w:t xml:space="preserve">shows accelerated research activity in recent years, suggesting that ML-assisted adsorption research is transitioning from exploratory investigations to a more mature and structured </w:t>
      </w:r>
      <w:r w:rsidRPr="00EF319B">
        <w:rPr>
          <w:rFonts w:ascii="Times New Roman" w:hAnsi="Times New Roman" w:cs="Times New Roman"/>
          <w:sz w:val="20"/>
          <w:szCs w:val="20"/>
        </w:rPr>
        <w:t xml:space="preserve">field. The </w:t>
      </w:r>
      <w:r w:rsidR="00EF32DD" w:rsidRPr="00EF319B">
        <w:rPr>
          <w:rFonts w:ascii="Times New Roman" w:hAnsi="Times New Roman" w:cs="Times New Roman"/>
          <w:sz w:val="20"/>
          <w:szCs w:val="20"/>
        </w:rPr>
        <w:t xml:space="preserve">distribution of subject areas (Figure </w:t>
      </w:r>
      <w:r w:rsidR="00EF319B">
        <w:rPr>
          <w:rFonts w:ascii="Times New Roman" w:hAnsi="Times New Roman" w:cs="Times New Roman"/>
          <w:sz w:val="20"/>
          <w:szCs w:val="20"/>
        </w:rPr>
        <w:t>2</w:t>
      </w:r>
      <w:r w:rsidR="00EF32DD" w:rsidRPr="00EF319B">
        <w:rPr>
          <w:rFonts w:ascii="Times New Roman" w:hAnsi="Times New Roman" w:cs="Times New Roman"/>
          <w:sz w:val="20"/>
          <w:szCs w:val="20"/>
        </w:rPr>
        <w:t>b) further highlights the field's interdisciplinary nature</w:t>
      </w:r>
      <w:r w:rsidRPr="00EF319B">
        <w:rPr>
          <w:rFonts w:ascii="Times New Roman" w:hAnsi="Times New Roman" w:cs="Times New Roman"/>
          <w:sz w:val="20"/>
          <w:szCs w:val="20"/>
        </w:rPr>
        <w:t>. Engineering</w:t>
      </w:r>
      <w:r w:rsidR="00EF32DD" w:rsidRPr="00EF319B">
        <w:rPr>
          <w:rFonts w:ascii="Times New Roman" w:hAnsi="Times New Roman" w:cs="Times New Roman"/>
          <w:sz w:val="20"/>
          <w:szCs w:val="20"/>
        </w:rPr>
        <w:t>, Chemical,</w:t>
      </w:r>
      <w:r w:rsidRPr="00EF319B">
        <w:rPr>
          <w:rFonts w:ascii="Times New Roman" w:hAnsi="Times New Roman" w:cs="Times New Roman"/>
          <w:sz w:val="20"/>
          <w:szCs w:val="20"/>
        </w:rPr>
        <w:t xml:space="preserve"> and Environmental Sciences constitute the dominant categories, reflecting the strong process-engineering orientation of adsorption-based wastewater treatment studies. Concurrently, substantial contributions from Chemistry-related disciplines underscore the importance of material design, adsorbent characterization, and physicochemical interaction mechanisms. The presence of Water Resources and Engineering Environmental categories confirms that research efforts are closely aligned with sustainable water management and environmental remediation objectives.</w:t>
      </w:r>
    </w:p>
    <w:p w14:paraId="12F76DFA" w14:textId="1F7DC801" w:rsidR="00BD1C0C" w:rsidRPr="00EF319B" w:rsidRDefault="00BD1C0C" w:rsidP="00495722">
      <w:pPr>
        <w:spacing w:line="360" w:lineRule="auto"/>
        <w:jc w:val="both"/>
        <w:rPr>
          <w:rFonts w:ascii="Times New Roman" w:hAnsi="Times New Roman" w:cs="Times New Roman"/>
          <w:sz w:val="20"/>
          <w:szCs w:val="20"/>
        </w:rPr>
      </w:pPr>
      <w:r w:rsidRPr="00EF319B">
        <w:rPr>
          <w:rFonts w:ascii="Times New Roman" w:hAnsi="Times New Roman" w:cs="Times New Roman"/>
          <w:sz w:val="20"/>
          <w:szCs w:val="20"/>
        </w:rPr>
        <w:t xml:space="preserve">The thematic and collaboration network depicted in Figure </w:t>
      </w:r>
      <w:r w:rsidR="00EF319B">
        <w:rPr>
          <w:rFonts w:ascii="Times New Roman" w:hAnsi="Times New Roman" w:cs="Times New Roman"/>
          <w:sz w:val="20"/>
          <w:szCs w:val="20"/>
        </w:rPr>
        <w:t>2</w:t>
      </w:r>
      <w:r w:rsidRPr="00EF319B">
        <w:rPr>
          <w:rFonts w:ascii="Times New Roman" w:hAnsi="Times New Roman" w:cs="Times New Roman"/>
          <w:sz w:val="20"/>
          <w:szCs w:val="20"/>
        </w:rPr>
        <w:t>c provides additional insight into the intellectual structure of the field. “Adsorption,” “machine learning,” and “artificial neural network” emerge as central conceptual nodes, indicating that predictive model</w:t>
      </w:r>
      <w:r w:rsidR="00EF32DD" w:rsidRPr="00EF319B">
        <w:rPr>
          <w:rFonts w:ascii="Times New Roman" w:hAnsi="Times New Roman" w:cs="Times New Roman"/>
          <w:sz w:val="20"/>
          <w:szCs w:val="20"/>
        </w:rPr>
        <w:t>l</w:t>
      </w:r>
      <w:r w:rsidRPr="00EF319B">
        <w:rPr>
          <w:rFonts w:ascii="Times New Roman" w:hAnsi="Times New Roman" w:cs="Times New Roman"/>
          <w:sz w:val="20"/>
          <w:szCs w:val="20"/>
        </w:rPr>
        <w:t>ing and optimization techniques are increasingly integrated into adsorption performance evaluation. Countries such as India, Egypt, Saudi Arabia, and China appear prominently in the collaboration network, suggesting that emerging economies are actively contributing to advancements in ML-driven wastewater treatment research. Furthermore, the concentration of publications in specialized journals related to separation technology, environmental engineering, and chemical processing reflects the applied and solution-oriented nature of this research area. Collectively, these findings indicate a rapidly evolving, multidisciplinary field characterized by increasing research impact, collaborative engagement, and methodological integration of artificial intelligence within environmental engineering frameworks.</w:t>
      </w:r>
    </w:p>
    <w:p w14:paraId="595BFF64" w14:textId="77777777" w:rsidR="00AA39F5" w:rsidRPr="00EF319B" w:rsidRDefault="00AA39F5" w:rsidP="00AA39F5">
      <w:pPr>
        <w:keepNext/>
        <w:spacing w:line="360" w:lineRule="auto"/>
        <w:rPr>
          <w:rFonts w:ascii="Times New Roman" w:hAnsi="Times New Roman" w:cs="Times New Roman"/>
        </w:rPr>
      </w:pPr>
      <w:r w:rsidRPr="00EF319B">
        <w:rPr>
          <w:rFonts w:ascii="Times New Roman" w:hAnsi="Times New Roman" w:cs="Times New Roman"/>
          <w:noProof/>
          <w:sz w:val="20"/>
          <w:szCs w:val="20"/>
        </w:rPr>
        <w:lastRenderedPageBreak/>
        <w:drawing>
          <wp:inline distT="0" distB="0" distL="0" distR="0" wp14:anchorId="0BE61EC4" wp14:editId="1CCB82DD">
            <wp:extent cx="5456555" cy="25361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6555" cy="2536190"/>
                    </a:xfrm>
                    <a:prstGeom prst="rect">
                      <a:avLst/>
                    </a:prstGeom>
                    <a:noFill/>
                  </pic:spPr>
                </pic:pic>
              </a:graphicData>
            </a:graphic>
          </wp:inline>
        </w:drawing>
      </w:r>
    </w:p>
    <w:p w14:paraId="229F3E20" w14:textId="623A097D" w:rsidR="006B6085" w:rsidRPr="00EF319B" w:rsidRDefault="00AA39F5" w:rsidP="0049092E">
      <w:pPr>
        <w:pStyle w:val="Caption"/>
        <w:jc w:val="center"/>
        <w:rPr>
          <w:rFonts w:ascii="Times New Roman" w:hAnsi="Times New Roman" w:cs="Times New Roman"/>
          <w:i w:val="0"/>
          <w:iCs w:val="0"/>
          <w:color w:val="auto"/>
          <w:sz w:val="20"/>
          <w:szCs w:val="20"/>
        </w:rPr>
      </w:pPr>
      <w:r w:rsidRPr="00EF319B">
        <w:rPr>
          <w:rFonts w:ascii="Times New Roman" w:hAnsi="Times New Roman" w:cs="Times New Roman"/>
          <w:b/>
          <w:bCs/>
          <w:i w:val="0"/>
          <w:iCs w:val="0"/>
          <w:color w:val="auto"/>
        </w:rPr>
        <w:t xml:space="preserve">Figure </w:t>
      </w:r>
      <w:r w:rsidRPr="00EF319B">
        <w:rPr>
          <w:rFonts w:ascii="Times New Roman" w:hAnsi="Times New Roman" w:cs="Times New Roman"/>
          <w:b/>
          <w:bCs/>
          <w:i w:val="0"/>
          <w:iCs w:val="0"/>
          <w:color w:val="auto"/>
        </w:rPr>
        <w:fldChar w:fldCharType="begin"/>
      </w:r>
      <w:r w:rsidRPr="00EF319B">
        <w:rPr>
          <w:rFonts w:ascii="Times New Roman" w:hAnsi="Times New Roman" w:cs="Times New Roman"/>
          <w:b/>
          <w:bCs/>
          <w:i w:val="0"/>
          <w:iCs w:val="0"/>
          <w:color w:val="auto"/>
        </w:rPr>
        <w:instrText xml:space="preserve"> SEQ Figure \* ARABIC </w:instrText>
      </w:r>
      <w:r w:rsidRPr="00EF319B">
        <w:rPr>
          <w:rFonts w:ascii="Times New Roman" w:hAnsi="Times New Roman" w:cs="Times New Roman"/>
          <w:b/>
          <w:bCs/>
          <w:i w:val="0"/>
          <w:iCs w:val="0"/>
          <w:color w:val="auto"/>
        </w:rPr>
        <w:fldChar w:fldCharType="separate"/>
      </w:r>
      <w:r w:rsidR="00214CA7" w:rsidRPr="00EF319B">
        <w:rPr>
          <w:rFonts w:ascii="Times New Roman" w:hAnsi="Times New Roman" w:cs="Times New Roman"/>
          <w:b/>
          <w:bCs/>
          <w:i w:val="0"/>
          <w:iCs w:val="0"/>
          <w:color w:val="auto"/>
        </w:rPr>
        <w:t>2</w:t>
      </w:r>
      <w:r w:rsidRPr="00EF319B">
        <w:rPr>
          <w:rFonts w:ascii="Times New Roman" w:hAnsi="Times New Roman" w:cs="Times New Roman"/>
          <w:b/>
          <w:bCs/>
          <w:i w:val="0"/>
          <w:iCs w:val="0"/>
          <w:color w:val="auto"/>
        </w:rPr>
        <w:fldChar w:fldCharType="end"/>
      </w:r>
      <w:r w:rsidRPr="00EF319B">
        <w:rPr>
          <w:rFonts w:ascii="Times New Roman" w:hAnsi="Times New Roman" w:cs="Times New Roman"/>
          <w:i w:val="0"/>
          <w:iCs w:val="0"/>
          <w:color w:val="auto"/>
        </w:rPr>
        <w:t xml:space="preserve">. </w:t>
      </w:r>
      <w:r w:rsidR="0049092E" w:rsidRPr="00EF319B">
        <w:rPr>
          <w:rFonts w:ascii="Times New Roman" w:hAnsi="Times New Roman" w:cs="Times New Roman"/>
          <w:i w:val="0"/>
          <w:iCs w:val="0"/>
          <w:color w:val="auto"/>
        </w:rPr>
        <w:t>Bibliometric overview of machine learning-assisted adsorption research for anion removal in wastewater treatment (2016</w:t>
      </w:r>
      <w:r w:rsidR="008E3E01" w:rsidRPr="00EF319B">
        <w:rPr>
          <w:rFonts w:ascii="Times New Roman" w:hAnsi="Times New Roman" w:cs="Times New Roman"/>
          <w:i w:val="0"/>
          <w:iCs w:val="0"/>
          <w:color w:val="auto"/>
        </w:rPr>
        <w:t>-</w:t>
      </w:r>
      <w:r w:rsidR="0049092E" w:rsidRPr="00EF319B">
        <w:rPr>
          <w:rFonts w:ascii="Times New Roman" w:hAnsi="Times New Roman" w:cs="Times New Roman"/>
          <w:i w:val="0"/>
          <w:iCs w:val="0"/>
          <w:color w:val="auto"/>
        </w:rPr>
        <w:t>2026). (a) Annual publication and citation trends</w:t>
      </w:r>
      <w:r w:rsidR="00062F7C" w:rsidRPr="00EF319B">
        <w:rPr>
          <w:rFonts w:ascii="Times New Roman" w:hAnsi="Times New Roman" w:cs="Times New Roman"/>
          <w:i w:val="0"/>
          <w:iCs w:val="0"/>
          <w:color w:val="auto"/>
        </w:rPr>
        <w:t>,</w:t>
      </w:r>
      <w:r w:rsidR="0049092E" w:rsidRPr="00EF319B">
        <w:rPr>
          <w:rFonts w:ascii="Times New Roman" w:hAnsi="Times New Roman" w:cs="Times New Roman"/>
          <w:i w:val="0"/>
          <w:iCs w:val="0"/>
          <w:color w:val="auto"/>
        </w:rPr>
        <w:t xml:space="preserve"> (b) Subject area distribution based on Web of Science categories</w:t>
      </w:r>
      <w:r w:rsidR="00062F7C" w:rsidRPr="00EF319B">
        <w:rPr>
          <w:rFonts w:ascii="Times New Roman" w:hAnsi="Times New Roman" w:cs="Times New Roman"/>
          <w:i w:val="0"/>
          <w:iCs w:val="0"/>
          <w:color w:val="auto"/>
        </w:rPr>
        <w:t>, and</w:t>
      </w:r>
      <w:r w:rsidR="0049092E" w:rsidRPr="00EF319B">
        <w:rPr>
          <w:rFonts w:ascii="Times New Roman" w:hAnsi="Times New Roman" w:cs="Times New Roman"/>
          <w:i w:val="0"/>
          <w:iCs w:val="0"/>
          <w:color w:val="auto"/>
        </w:rPr>
        <w:t xml:space="preserve"> (c) Three-field plot illustrating relationships among contributing countries (AU</w:t>
      </w:r>
      <w:r w:rsidR="00107F5A" w:rsidRPr="00EF319B">
        <w:rPr>
          <w:rFonts w:ascii="Times New Roman" w:hAnsi="Times New Roman" w:cs="Times New Roman"/>
          <w:i w:val="0"/>
          <w:iCs w:val="0"/>
          <w:color w:val="auto"/>
        </w:rPr>
        <w:t>-</w:t>
      </w:r>
      <w:r w:rsidR="0049092E" w:rsidRPr="00EF319B">
        <w:rPr>
          <w:rFonts w:ascii="Times New Roman" w:hAnsi="Times New Roman" w:cs="Times New Roman"/>
          <w:i w:val="0"/>
          <w:iCs w:val="0"/>
          <w:color w:val="auto"/>
        </w:rPr>
        <w:t>CO), author keywords (DE), and sources (SO).</w:t>
      </w:r>
    </w:p>
    <w:p w14:paraId="32E6B4EA" w14:textId="1BA82879" w:rsidR="000636FC" w:rsidRPr="00EF319B" w:rsidRDefault="000636FC" w:rsidP="000636FC">
      <w:pPr>
        <w:spacing w:line="360" w:lineRule="auto"/>
        <w:jc w:val="both"/>
        <w:rPr>
          <w:rFonts w:ascii="Times New Roman" w:hAnsi="Times New Roman" w:cs="Times New Roman"/>
          <w:sz w:val="20"/>
          <w:szCs w:val="20"/>
        </w:rPr>
      </w:pPr>
      <w:r w:rsidRPr="00EF319B">
        <w:rPr>
          <w:rFonts w:ascii="Times New Roman" w:hAnsi="Times New Roman" w:cs="Times New Roman"/>
          <w:sz w:val="20"/>
          <w:szCs w:val="20"/>
        </w:rPr>
        <w:t xml:space="preserve">The keyword co-occurrence analysis provides insight into the intellectual structure and thematic evolution of </w:t>
      </w:r>
      <w:r w:rsidR="00D26449" w:rsidRPr="00EF319B">
        <w:rPr>
          <w:rFonts w:ascii="Times New Roman" w:hAnsi="Times New Roman" w:cs="Times New Roman"/>
          <w:sz w:val="20"/>
          <w:szCs w:val="20"/>
        </w:rPr>
        <w:t>ML</w:t>
      </w:r>
      <w:r w:rsidRPr="00EF319B">
        <w:rPr>
          <w:rFonts w:ascii="Times New Roman" w:hAnsi="Times New Roman" w:cs="Times New Roman"/>
          <w:sz w:val="20"/>
          <w:szCs w:val="20"/>
        </w:rPr>
        <w:t>-assisted adsorption research for anion</w:t>
      </w:r>
      <w:r w:rsidR="00D26449" w:rsidRPr="00EF319B">
        <w:rPr>
          <w:rFonts w:ascii="Times New Roman" w:hAnsi="Times New Roman" w:cs="Times New Roman"/>
          <w:sz w:val="20"/>
          <w:szCs w:val="20"/>
        </w:rPr>
        <w:t>ic pollutants</w:t>
      </w:r>
      <w:r w:rsidRPr="00EF319B">
        <w:rPr>
          <w:rFonts w:ascii="Times New Roman" w:hAnsi="Times New Roman" w:cs="Times New Roman"/>
          <w:sz w:val="20"/>
          <w:szCs w:val="20"/>
        </w:rPr>
        <w:t xml:space="preserve"> removal in wastewater systems. As illustrated in Figure </w:t>
      </w:r>
      <w:r w:rsidR="00D26449" w:rsidRPr="00EF319B">
        <w:rPr>
          <w:rFonts w:ascii="Times New Roman" w:hAnsi="Times New Roman" w:cs="Times New Roman"/>
          <w:sz w:val="20"/>
          <w:szCs w:val="20"/>
        </w:rPr>
        <w:t>S1</w:t>
      </w:r>
      <w:r w:rsidR="002F2A73" w:rsidRPr="00EF319B">
        <w:rPr>
          <w:rFonts w:ascii="Times New Roman" w:hAnsi="Times New Roman" w:cs="Times New Roman"/>
          <w:sz w:val="20"/>
          <w:szCs w:val="20"/>
        </w:rPr>
        <w:t>a</w:t>
      </w:r>
      <w:r w:rsidRPr="00EF319B">
        <w:rPr>
          <w:rFonts w:ascii="Times New Roman" w:hAnsi="Times New Roman" w:cs="Times New Roman"/>
          <w:sz w:val="20"/>
          <w:szCs w:val="20"/>
        </w:rPr>
        <w:t xml:space="preserve">, adsorption emerges as the most dominant and central keyword, confirming its foundational role within this research domain. Closely associated terms such as removal, aqueous solution, adsorbent, and activated carbon indicate that experimental adsorption studies remain the primary research backbone. The dense interconnections among these terms highlight the continued emphasis on pollutant removal from aqueous media using engineered adsorbent materials. Importantly, </w:t>
      </w:r>
      <w:r w:rsidR="00D26449" w:rsidRPr="00EF319B">
        <w:rPr>
          <w:rFonts w:ascii="Times New Roman" w:hAnsi="Times New Roman" w:cs="Times New Roman"/>
          <w:sz w:val="20"/>
          <w:szCs w:val="20"/>
        </w:rPr>
        <w:t>ML</w:t>
      </w:r>
      <w:r w:rsidRPr="00EF319B">
        <w:rPr>
          <w:rFonts w:ascii="Times New Roman" w:hAnsi="Times New Roman" w:cs="Times New Roman"/>
          <w:sz w:val="20"/>
          <w:szCs w:val="20"/>
        </w:rPr>
        <w:t>-related terms, including machine learning, artificial neural network (ANN), and optimization</w:t>
      </w:r>
      <w:r w:rsidR="00EE0571" w:rsidRPr="00EF319B">
        <w:rPr>
          <w:rFonts w:ascii="Times New Roman" w:hAnsi="Times New Roman" w:cs="Times New Roman"/>
          <w:sz w:val="20"/>
          <w:szCs w:val="20"/>
        </w:rPr>
        <w:t xml:space="preserve"> </w:t>
      </w:r>
      <w:r w:rsidRPr="00EF319B">
        <w:rPr>
          <w:rFonts w:ascii="Times New Roman" w:hAnsi="Times New Roman" w:cs="Times New Roman"/>
          <w:sz w:val="20"/>
          <w:szCs w:val="20"/>
        </w:rPr>
        <w:t xml:space="preserve">are strongly integrated within the network rather than appearing as isolated clusters (Figure </w:t>
      </w:r>
      <w:r w:rsidR="002E14A4" w:rsidRPr="00EF319B">
        <w:rPr>
          <w:rFonts w:ascii="Times New Roman" w:hAnsi="Times New Roman" w:cs="Times New Roman"/>
          <w:sz w:val="20"/>
          <w:szCs w:val="20"/>
        </w:rPr>
        <w:t>S1</w:t>
      </w:r>
      <w:r w:rsidRPr="00EF319B">
        <w:rPr>
          <w:rFonts w:ascii="Times New Roman" w:hAnsi="Times New Roman" w:cs="Times New Roman"/>
          <w:sz w:val="20"/>
          <w:szCs w:val="20"/>
        </w:rPr>
        <w:t xml:space="preserve">a). This suggests that predictive </w:t>
      </w:r>
      <w:r w:rsidR="00EF32DD" w:rsidRPr="00EF319B">
        <w:rPr>
          <w:rFonts w:ascii="Times New Roman" w:hAnsi="Times New Roman" w:cs="Times New Roman"/>
          <w:sz w:val="20"/>
          <w:szCs w:val="20"/>
        </w:rPr>
        <w:t>modelling</w:t>
      </w:r>
      <w:r w:rsidRPr="00EF319B">
        <w:rPr>
          <w:rFonts w:ascii="Times New Roman" w:hAnsi="Times New Roman" w:cs="Times New Roman"/>
          <w:sz w:val="20"/>
          <w:szCs w:val="20"/>
        </w:rPr>
        <w:t xml:space="preserve"> approaches are increasingly embedded within adsorption performance evaluation frameworks. The presence of </w:t>
      </w:r>
      <w:r w:rsidR="000328B9" w:rsidRPr="00EF319B">
        <w:rPr>
          <w:rFonts w:ascii="Times New Roman" w:hAnsi="Times New Roman" w:cs="Times New Roman"/>
          <w:sz w:val="20"/>
          <w:szCs w:val="20"/>
        </w:rPr>
        <w:t xml:space="preserve">modelling-associated keywords such as response surface methodology (RSM), kinetics, and isotherm further </w:t>
      </w:r>
      <w:r w:rsidR="000A610F" w:rsidRPr="00EF319B">
        <w:rPr>
          <w:rFonts w:ascii="Times New Roman" w:hAnsi="Times New Roman" w:cs="Times New Roman"/>
          <w:sz w:val="20"/>
          <w:szCs w:val="20"/>
        </w:rPr>
        <w:t>indicate</w:t>
      </w:r>
      <w:r w:rsidR="00DC2A09" w:rsidRPr="00EF319B">
        <w:rPr>
          <w:rFonts w:ascii="Times New Roman" w:hAnsi="Times New Roman" w:cs="Times New Roman"/>
          <w:sz w:val="20"/>
          <w:szCs w:val="20"/>
        </w:rPr>
        <w:t>s</w:t>
      </w:r>
      <w:r w:rsidRPr="00EF319B">
        <w:rPr>
          <w:rFonts w:ascii="Times New Roman" w:hAnsi="Times New Roman" w:cs="Times New Roman"/>
          <w:sz w:val="20"/>
          <w:szCs w:val="20"/>
        </w:rPr>
        <w:t xml:space="preserve"> the convergence of statistical, mechanistic, and AI-based methods. Additionally, the appearance of material-oriented terms such as nanoparticles, graphene oxide, biochar, and </w:t>
      </w:r>
      <w:r w:rsidR="002F2A73" w:rsidRPr="00EF319B">
        <w:rPr>
          <w:rFonts w:ascii="Times New Roman" w:hAnsi="Times New Roman" w:cs="Times New Roman"/>
          <w:sz w:val="20"/>
          <w:szCs w:val="20"/>
        </w:rPr>
        <w:t>composites reveals ongoing innovation in adsorbent design, demonstrating that computational intelligence is being applied alongside material-engineering</w:t>
      </w:r>
      <w:r w:rsidRPr="00EF319B">
        <w:rPr>
          <w:rFonts w:ascii="Times New Roman" w:hAnsi="Times New Roman" w:cs="Times New Roman"/>
          <w:sz w:val="20"/>
          <w:szCs w:val="20"/>
        </w:rPr>
        <w:t xml:space="preserve"> advancements. The thematic map shown in Figure </w:t>
      </w:r>
      <w:r w:rsidR="002F2A73" w:rsidRPr="00EF319B">
        <w:rPr>
          <w:rFonts w:ascii="Times New Roman" w:hAnsi="Times New Roman" w:cs="Times New Roman"/>
          <w:sz w:val="20"/>
          <w:szCs w:val="20"/>
        </w:rPr>
        <w:t>S1b</w:t>
      </w:r>
      <w:r w:rsidRPr="00EF319B">
        <w:rPr>
          <w:rFonts w:ascii="Times New Roman" w:hAnsi="Times New Roman" w:cs="Times New Roman"/>
          <w:sz w:val="20"/>
          <w:szCs w:val="20"/>
        </w:rPr>
        <w:t xml:space="preserve"> further categorizes research themes according to their centrality and development density. Core topics such as adsorption, aqueous </w:t>
      </w:r>
      <w:r w:rsidR="000328B9" w:rsidRPr="00EF319B">
        <w:rPr>
          <w:rFonts w:ascii="Times New Roman" w:hAnsi="Times New Roman" w:cs="Times New Roman"/>
          <w:sz w:val="20"/>
          <w:szCs w:val="20"/>
        </w:rPr>
        <w:t>solutions, and removal are positioned within the motor theme quadrant, indicating that they are well developed</w:t>
      </w:r>
      <w:r w:rsidRPr="00EF319B">
        <w:rPr>
          <w:rFonts w:ascii="Times New Roman" w:hAnsi="Times New Roman" w:cs="Times New Roman"/>
          <w:sz w:val="20"/>
          <w:szCs w:val="20"/>
        </w:rPr>
        <w:t xml:space="preserve"> and highly central to the field. These themes represent the driving intellectual forces of the research area. In contrast, foundational yet still evolving topics such as wastewater treatment, performance, and adsorption </w:t>
      </w:r>
      <w:r w:rsidR="001D1528" w:rsidRPr="00EF319B">
        <w:rPr>
          <w:rFonts w:ascii="Times New Roman" w:hAnsi="Times New Roman" w:cs="Times New Roman"/>
          <w:sz w:val="20"/>
          <w:szCs w:val="20"/>
        </w:rPr>
        <w:t>mechanisms fall within the basic theme quadrant, suggesting their essential yet</w:t>
      </w:r>
      <w:r w:rsidRPr="00EF319B">
        <w:rPr>
          <w:rFonts w:ascii="Times New Roman" w:hAnsi="Times New Roman" w:cs="Times New Roman"/>
          <w:sz w:val="20"/>
          <w:szCs w:val="20"/>
        </w:rPr>
        <w:t xml:space="preserve"> developing role in sustaining research growth. Methodological themes</w:t>
      </w:r>
      <w:r w:rsidR="000328B9" w:rsidRPr="00EF319B">
        <w:rPr>
          <w:rFonts w:ascii="Times New Roman" w:hAnsi="Times New Roman" w:cs="Times New Roman"/>
          <w:sz w:val="20"/>
          <w:szCs w:val="20"/>
        </w:rPr>
        <w:t>, including response surface methodology and artificial neural networks,</w:t>
      </w:r>
      <w:r w:rsidRPr="00EF319B">
        <w:rPr>
          <w:rFonts w:ascii="Times New Roman" w:hAnsi="Times New Roman" w:cs="Times New Roman"/>
          <w:sz w:val="20"/>
          <w:szCs w:val="20"/>
        </w:rPr>
        <w:t xml:space="preserve"> appear in niche or transitional </w:t>
      </w:r>
      <w:r w:rsidR="001D1528" w:rsidRPr="00EF319B">
        <w:rPr>
          <w:rFonts w:ascii="Times New Roman" w:hAnsi="Times New Roman" w:cs="Times New Roman"/>
          <w:sz w:val="20"/>
          <w:szCs w:val="20"/>
        </w:rPr>
        <w:t xml:space="preserve">areas, suggesting that although these approaches are technically well </w:t>
      </w:r>
      <w:r w:rsidRPr="00EF319B">
        <w:rPr>
          <w:rFonts w:ascii="Times New Roman" w:hAnsi="Times New Roman" w:cs="Times New Roman"/>
          <w:sz w:val="20"/>
          <w:szCs w:val="20"/>
        </w:rPr>
        <w:t>developed, their broader conceptual integration continues to expand. The placement of certain AI-related terms in emerging or transitional zones suggests a dynamic shift toward more advanced or hybrid model</w:t>
      </w:r>
      <w:r w:rsidR="007B71D3" w:rsidRPr="00EF319B">
        <w:rPr>
          <w:rFonts w:ascii="Times New Roman" w:hAnsi="Times New Roman" w:cs="Times New Roman"/>
          <w:sz w:val="20"/>
          <w:szCs w:val="20"/>
        </w:rPr>
        <w:t>l</w:t>
      </w:r>
      <w:r w:rsidRPr="00EF319B">
        <w:rPr>
          <w:rFonts w:ascii="Times New Roman" w:hAnsi="Times New Roman" w:cs="Times New Roman"/>
          <w:sz w:val="20"/>
          <w:szCs w:val="20"/>
        </w:rPr>
        <w:t>ing frameworks.</w:t>
      </w:r>
    </w:p>
    <w:p w14:paraId="2FEF7072" w14:textId="270DA000" w:rsidR="00853AC8" w:rsidRPr="00EF319B" w:rsidRDefault="000636FC" w:rsidP="00887E0C">
      <w:pPr>
        <w:spacing w:line="360" w:lineRule="auto"/>
        <w:jc w:val="both"/>
        <w:rPr>
          <w:rFonts w:ascii="Times New Roman" w:hAnsi="Times New Roman" w:cs="Times New Roman"/>
          <w:sz w:val="20"/>
          <w:szCs w:val="20"/>
        </w:rPr>
      </w:pPr>
      <w:r w:rsidRPr="00EF319B">
        <w:rPr>
          <w:rFonts w:ascii="Times New Roman" w:hAnsi="Times New Roman" w:cs="Times New Roman"/>
          <w:sz w:val="20"/>
          <w:szCs w:val="20"/>
        </w:rPr>
        <w:lastRenderedPageBreak/>
        <w:t xml:space="preserve">The quantitative keyword distribution presented in Figure </w:t>
      </w:r>
      <w:r w:rsidR="00B846D5" w:rsidRPr="00EF319B">
        <w:rPr>
          <w:rFonts w:ascii="Times New Roman" w:hAnsi="Times New Roman" w:cs="Times New Roman"/>
          <w:sz w:val="20"/>
          <w:szCs w:val="20"/>
        </w:rPr>
        <w:t>S1</w:t>
      </w:r>
      <w:r w:rsidRPr="00EF319B">
        <w:rPr>
          <w:rFonts w:ascii="Times New Roman" w:hAnsi="Times New Roman" w:cs="Times New Roman"/>
          <w:sz w:val="20"/>
          <w:szCs w:val="20"/>
        </w:rPr>
        <w:t xml:space="preserve">c corroborates these observations. The treemap clearly demonstrates that adsorption accounts for the highest frequency of occurrences, followed by aqueous solution, removal, and activated carbon. The notable presence of </w:t>
      </w:r>
      <w:r w:rsidR="00233C01" w:rsidRPr="00EF319B">
        <w:rPr>
          <w:rFonts w:ascii="Times New Roman" w:hAnsi="Times New Roman" w:cs="Times New Roman"/>
          <w:sz w:val="20"/>
          <w:szCs w:val="20"/>
        </w:rPr>
        <w:t>ML</w:t>
      </w:r>
      <w:r w:rsidRPr="00EF319B">
        <w:rPr>
          <w:rFonts w:ascii="Times New Roman" w:hAnsi="Times New Roman" w:cs="Times New Roman"/>
          <w:sz w:val="20"/>
          <w:szCs w:val="20"/>
        </w:rPr>
        <w:t xml:space="preserve">, </w:t>
      </w:r>
      <w:r w:rsidR="00233C01" w:rsidRPr="00EF319B">
        <w:rPr>
          <w:rFonts w:ascii="Times New Roman" w:hAnsi="Times New Roman" w:cs="Times New Roman"/>
          <w:sz w:val="20"/>
          <w:szCs w:val="20"/>
        </w:rPr>
        <w:t>ANN</w:t>
      </w:r>
      <w:r w:rsidR="007B71D3" w:rsidRPr="00EF319B">
        <w:rPr>
          <w:rFonts w:ascii="Times New Roman" w:hAnsi="Times New Roman" w:cs="Times New Roman"/>
          <w:sz w:val="20"/>
          <w:szCs w:val="20"/>
        </w:rPr>
        <w:t>, and optimization confirms the increasing prominence of computational modelling</w:t>
      </w:r>
      <w:r w:rsidRPr="00EF319B">
        <w:rPr>
          <w:rFonts w:ascii="Times New Roman" w:hAnsi="Times New Roman" w:cs="Times New Roman"/>
          <w:sz w:val="20"/>
          <w:szCs w:val="20"/>
        </w:rPr>
        <w:t xml:space="preserve"> within adsorption research. Moreover, frequent references to model pollutants such as methylene blue, </w:t>
      </w:r>
      <w:r w:rsidR="007B71D3" w:rsidRPr="00EF319B">
        <w:rPr>
          <w:rFonts w:ascii="Times New Roman" w:hAnsi="Times New Roman" w:cs="Times New Roman"/>
          <w:sz w:val="20"/>
          <w:szCs w:val="20"/>
        </w:rPr>
        <w:t>Congo red, and anionic dyes indicate that dye-removal</w:t>
      </w:r>
      <w:r w:rsidRPr="00EF319B">
        <w:rPr>
          <w:rFonts w:ascii="Times New Roman" w:hAnsi="Times New Roman" w:cs="Times New Roman"/>
          <w:sz w:val="20"/>
          <w:szCs w:val="20"/>
        </w:rPr>
        <w:t xml:space="preserve"> studies remain a common benchmark for evaluating adsorbent performance. This pattern suggests that while artificial intelligence techniques are gaining importance, the field remains application-oriented and strongly driven by experimental performance assessment.</w:t>
      </w:r>
    </w:p>
    <w:p w14:paraId="56C4BF5C" w14:textId="77777777" w:rsidR="0022023A" w:rsidRPr="00EF319B" w:rsidRDefault="0022023A" w:rsidP="0022023A">
      <w:pPr>
        <w:pStyle w:val="ListParagraph"/>
        <w:numPr>
          <w:ilvl w:val="1"/>
          <w:numId w:val="8"/>
        </w:numPr>
        <w:spacing w:line="360" w:lineRule="auto"/>
        <w:rPr>
          <w:rFonts w:ascii="Times New Roman" w:hAnsi="Times New Roman" w:cs="Times New Roman"/>
          <w:b/>
          <w:bCs/>
          <w:sz w:val="20"/>
          <w:szCs w:val="20"/>
        </w:rPr>
      </w:pPr>
      <w:r w:rsidRPr="00EF319B">
        <w:rPr>
          <w:rFonts w:ascii="Times New Roman" w:hAnsi="Times New Roman" w:cs="Times New Roman"/>
          <w:b/>
          <w:bCs/>
          <w:sz w:val="20"/>
          <w:szCs w:val="20"/>
        </w:rPr>
        <w:t>Data representation</w:t>
      </w:r>
    </w:p>
    <w:p w14:paraId="24BD6730" w14:textId="03A2E5C9" w:rsidR="00E14117" w:rsidRPr="00EF319B" w:rsidRDefault="00842F79" w:rsidP="00100782">
      <w:pPr>
        <w:spacing w:line="360" w:lineRule="auto"/>
        <w:jc w:val="both"/>
        <w:rPr>
          <w:rFonts w:ascii="Times New Roman" w:hAnsi="Times New Roman" w:cs="Times New Roman"/>
          <w:sz w:val="20"/>
          <w:szCs w:val="20"/>
        </w:rPr>
      </w:pPr>
      <w:r w:rsidRPr="00EF319B">
        <w:rPr>
          <w:rFonts w:ascii="Times New Roman" w:hAnsi="Times New Roman" w:cs="Times New Roman"/>
          <w:sz w:val="20"/>
          <w:szCs w:val="20"/>
        </w:rPr>
        <w:t xml:space="preserve">The </w:t>
      </w:r>
      <w:r w:rsidR="00B159F4" w:rsidRPr="00EF319B">
        <w:rPr>
          <w:rFonts w:ascii="Times New Roman" w:hAnsi="Times New Roman" w:cs="Times New Roman"/>
          <w:sz w:val="20"/>
          <w:szCs w:val="20"/>
        </w:rPr>
        <w:t xml:space="preserve">distributions of the input and output variables used to train the machine learning models are illustrated in Figure </w:t>
      </w:r>
      <w:r w:rsidR="009465CB" w:rsidRPr="00EF319B">
        <w:rPr>
          <w:rFonts w:ascii="Times New Roman" w:hAnsi="Times New Roman" w:cs="Times New Roman"/>
          <w:sz w:val="20"/>
          <w:szCs w:val="20"/>
        </w:rPr>
        <w:t>S2</w:t>
      </w:r>
      <w:r w:rsidR="00B159F4" w:rsidRPr="00EF319B">
        <w:rPr>
          <w:rFonts w:ascii="Times New Roman" w:hAnsi="Times New Roman" w:cs="Times New Roman"/>
          <w:sz w:val="20"/>
          <w:szCs w:val="20"/>
        </w:rPr>
        <w:t xml:space="preserve"> using violin plots</w:t>
      </w:r>
      <w:r w:rsidRPr="00EF319B">
        <w:rPr>
          <w:rFonts w:ascii="Times New Roman" w:hAnsi="Times New Roman" w:cs="Times New Roman"/>
          <w:sz w:val="20"/>
          <w:szCs w:val="20"/>
        </w:rPr>
        <w:t xml:space="preserve">. These plots combine kernel density estimation with </w:t>
      </w:r>
      <w:r w:rsidR="00B159F4" w:rsidRPr="00EF319B">
        <w:rPr>
          <w:rFonts w:ascii="Times New Roman" w:hAnsi="Times New Roman" w:cs="Times New Roman"/>
          <w:sz w:val="20"/>
          <w:szCs w:val="20"/>
        </w:rPr>
        <w:t>boxplots, providing insight into the data's</w:t>
      </w:r>
      <w:r w:rsidRPr="00EF319B">
        <w:rPr>
          <w:rFonts w:ascii="Times New Roman" w:hAnsi="Times New Roman" w:cs="Times New Roman"/>
          <w:sz w:val="20"/>
          <w:szCs w:val="20"/>
        </w:rPr>
        <w:t xml:space="preserve"> spread, central tendency, and density. The adsorption efficiency exhibits a broad distribution with higher data density at moderate to high removal efficiencies, indicating that most reported systems achieve effective adsorption under optimized conditions. BET surface area shows a </w:t>
      </w:r>
      <w:r w:rsidR="00165F28" w:rsidRPr="00EF319B">
        <w:rPr>
          <w:rFonts w:ascii="Times New Roman" w:hAnsi="Times New Roman" w:cs="Times New Roman"/>
          <w:sz w:val="20"/>
          <w:szCs w:val="20"/>
        </w:rPr>
        <w:t xml:space="preserve">broad, partially bimodal distribution, </w:t>
      </w:r>
      <w:r w:rsidR="00FE1E21" w:rsidRPr="00EF319B">
        <w:rPr>
          <w:rFonts w:ascii="Times New Roman" w:hAnsi="Times New Roman" w:cs="Times New Roman"/>
          <w:sz w:val="20"/>
          <w:szCs w:val="20"/>
        </w:rPr>
        <w:t>indicating</w:t>
      </w:r>
      <w:r w:rsidR="00165F28" w:rsidRPr="00EF319B">
        <w:rPr>
          <w:rFonts w:ascii="Times New Roman" w:hAnsi="Times New Roman" w:cs="Times New Roman"/>
          <w:sz w:val="20"/>
          <w:szCs w:val="20"/>
        </w:rPr>
        <w:t xml:space="preserve"> the use of both low- and high-porosity adsorbents across</w:t>
      </w:r>
      <w:r w:rsidRPr="00EF319B">
        <w:rPr>
          <w:rFonts w:ascii="Times New Roman" w:hAnsi="Times New Roman" w:cs="Times New Roman"/>
          <w:sz w:val="20"/>
          <w:szCs w:val="20"/>
        </w:rPr>
        <w:t xml:space="preserve"> the collected studies. Experimental parameters such as adsorbent dosage, solution volume, and contact time are </w:t>
      </w:r>
      <w:r w:rsidR="00165F28" w:rsidRPr="00EF319B">
        <w:rPr>
          <w:rFonts w:ascii="Times New Roman" w:hAnsi="Times New Roman" w:cs="Times New Roman"/>
          <w:sz w:val="20"/>
          <w:szCs w:val="20"/>
        </w:rPr>
        <w:t>clustered within commonly adopted ranges, while</w:t>
      </w:r>
      <w:r w:rsidRPr="00EF319B">
        <w:rPr>
          <w:rFonts w:ascii="Times New Roman" w:hAnsi="Times New Roman" w:cs="Times New Roman"/>
          <w:sz w:val="20"/>
          <w:szCs w:val="20"/>
        </w:rPr>
        <w:t xml:space="preserve"> sufficient variability is retained to ensure robust model learning. The initial pollutant concentration displays a pronounced right-skewed distribution, spanning dilute to highly concentrated systems, whereas equilibrium concentration is predominantly skewed toward lower values, consistent with efficient contaminant removal. The pH distribution is multimodal, with most experiments conducted under acidic to near-neutral conditions, highlighting the strong role of pH in adsorption processes. Overall, the broad yet physically meaningful distributions of these variables </w:t>
      </w:r>
      <w:r w:rsidR="0045181F" w:rsidRPr="00EF319B">
        <w:rPr>
          <w:rFonts w:ascii="Times New Roman" w:hAnsi="Times New Roman" w:cs="Times New Roman"/>
          <w:sz w:val="20"/>
          <w:szCs w:val="20"/>
        </w:rPr>
        <w:t xml:space="preserve">obtained </w:t>
      </w:r>
      <w:r w:rsidR="00165F28" w:rsidRPr="00EF319B">
        <w:rPr>
          <w:rFonts w:ascii="Times New Roman" w:hAnsi="Times New Roman" w:cs="Times New Roman"/>
          <w:sz w:val="20"/>
          <w:szCs w:val="20"/>
        </w:rPr>
        <w:t>in our lab confirm the dataset's diversity and representativeness, which are</w:t>
      </w:r>
      <w:r w:rsidRPr="00EF319B">
        <w:rPr>
          <w:rFonts w:ascii="Times New Roman" w:hAnsi="Times New Roman" w:cs="Times New Roman"/>
          <w:sz w:val="20"/>
          <w:szCs w:val="20"/>
        </w:rPr>
        <w:t xml:space="preserve"> essential for developing reliable and generalizable machine learning models.</w:t>
      </w:r>
    </w:p>
    <w:p w14:paraId="61D2BB02" w14:textId="3B42BD86" w:rsidR="006D3665" w:rsidRPr="00EF319B" w:rsidRDefault="00EA43C7" w:rsidP="00EA43C7">
      <w:pPr>
        <w:spacing w:line="360" w:lineRule="auto"/>
        <w:jc w:val="both"/>
        <w:rPr>
          <w:rFonts w:ascii="Times New Roman" w:hAnsi="Times New Roman" w:cs="Times New Roman"/>
          <w:sz w:val="20"/>
          <w:szCs w:val="20"/>
        </w:rPr>
      </w:pPr>
      <w:r w:rsidRPr="008A469C">
        <w:rPr>
          <w:rFonts w:ascii="Times New Roman" w:hAnsi="Times New Roman" w:cs="Times New Roman"/>
          <w:sz w:val="20"/>
          <w:szCs w:val="20"/>
        </w:rPr>
        <w:t xml:space="preserve">Figure </w:t>
      </w:r>
      <w:r w:rsidR="00D563D6" w:rsidRPr="008A469C">
        <w:rPr>
          <w:rFonts w:ascii="Times New Roman" w:hAnsi="Times New Roman" w:cs="Times New Roman"/>
          <w:sz w:val="20"/>
          <w:szCs w:val="20"/>
        </w:rPr>
        <w:t>3</w:t>
      </w:r>
      <w:r w:rsidRPr="008A469C">
        <w:rPr>
          <w:rFonts w:ascii="Times New Roman" w:hAnsi="Times New Roman" w:cs="Times New Roman"/>
          <w:sz w:val="20"/>
          <w:szCs w:val="20"/>
        </w:rPr>
        <w:t xml:space="preserve"> presents</w:t>
      </w:r>
      <w:r w:rsidRPr="00EF319B">
        <w:rPr>
          <w:rFonts w:ascii="Times New Roman" w:hAnsi="Times New Roman" w:cs="Times New Roman"/>
          <w:sz w:val="20"/>
          <w:szCs w:val="20"/>
        </w:rPr>
        <w:t xml:space="preserve"> the combined correlation heatmap (lower triangle) and coin plot (upper triangle) illustrating the pairwise relationships among the selected variables used utilized for training the ML models</w:t>
      </w:r>
      <w:r w:rsidR="00737105" w:rsidRPr="00EF319B">
        <w:rPr>
          <w:rFonts w:ascii="Times New Roman" w:hAnsi="Times New Roman" w:cs="Times New Roman"/>
          <w:sz w:val="20"/>
          <w:szCs w:val="20"/>
        </w:rPr>
        <w:t>. From the figure, the</w:t>
      </w:r>
      <w:r w:rsidRPr="00EF319B">
        <w:rPr>
          <w:rFonts w:ascii="Times New Roman" w:hAnsi="Times New Roman" w:cs="Times New Roman"/>
          <w:sz w:val="20"/>
          <w:szCs w:val="20"/>
        </w:rPr>
        <w:t xml:space="preserve"> adsorption efficiency shows moderate positive correlations with contact time and initial pollutant concentration, indicating enhanced removal performance at longer interaction times and higher driving force for mass transfer, while it is negatively correlated with equilibrium concentration, consistent with effective adsorption leading to lower residual concentrations. Kinetic adsorption capacity (Q</w:t>
      </w:r>
      <w:r w:rsidRPr="00EF319B">
        <w:rPr>
          <w:rFonts w:ascii="Times New Roman" w:hAnsi="Times New Roman" w:cs="Times New Roman"/>
          <w:sz w:val="20"/>
          <w:szCs w:val="20"/>
          <w:vertAlign w:val="subscript"/>
        </w:rPr>
        <w:t>e</w:t>
      </w:r>
      <w:r w:rsidRPr="00EF319B">
        <w:rPr>
          <w:rFonts w:ascii="Times New Roman" w:hAnsi="Times New Roman" w:cs="Times New Roman"/>
          <w:sz w:val="20"/>
          <w:szCs w:val="20"/>
        </w:rPr>
        <w:t xml:space="preserve">) exhibits a strong positive correlation with the initial concentration and a negative correlation with equilibrium concentration, </w:t>
      </w:r>
      <w:r w:rsidR="00737105" w:rsidRPr="00EF319B">
        <w:rPr>
          <w:rFonts w:ascii="Times New Roman" w:hAnsi="Times New Roman" w:cs="Times New Roman"/>
          <w:sz w:val="20"/>
          <w:szCs w:val="20"/>
        </w:rPr>
        <w:t>implying</w:t>
      </w:r>
      <w:r w:rsidRPr="00EF319B">
        <w:rPr>
          <w:rFonts w:ascii="Times New Roman" w:hAnsi="Times New Roman" w:cs="Times New Roman"/>
          <w:sz w:val="20"/>
          <w:szCs w:val="20"/>
        </w:rPr>
        <w:t xml:space="preserve"> typical adsorption </w:t>
      </w:r>
      <w:r w:rsidR="00165F28" w:rsidRPr="00EF319B">
        <w:rPr>
          <w:rFonts w:ascii="Times New Roman" w:hAnsi="Times New Roman" w:cs="Times New Roman"/>
          <w:sz w:val="20"/>
          <w:szCs w:val="20"/>
        </w:rPr>
        <w:t>behavior</w:t>
      </w:r>
      <w:r w:rsidRPr="00EF319B">
        <w:rPr>
          <w:rFonts w:ascii="Times New Roman" w:hAnsi="Times New Roman" w:cs="Times New Roman"/>
          <w:sz w:val="20"/>
          <w:szCs w:val="20"/>
        </w:rPr>
        <w:t xml:space="preserve"> governed by concentration gradients. Contact time is positively correlated with initial concentration but negatively correlated with equilibrium concentration, suggesting improved pollutant uptake as exposure time increases. BET surface area and solution volume display strong </w:t>
      </w:r>
      <w:r w:rsidR="00165F28" w:rsidRPr="00EF319B">
        <w:rPr>
          <w:rFonts w:ascii="Times New Roman" w:hAnsi="Times New Roman" w:cs="Times New Roman"/>
          <w:sz w:val="20"/>
          <w:szCs w:val="20"/>
        </w:rPr>
        <w:t>intercorrelation</w:t>
      </w:r>
      <w:r w:rsidRPr="00EF319B">
        <w:rPr>
          <w:rFonts w:ascii="Times New Roman" w:hAnsi="Times New Roman" w:cs="Times New Roman"/>
          <w:sz w:val="20"/>
          <w:szCs w:val="20"/>
        </w:rPr>
        <w:t xml:space="preserve">, reflecting their combined influence on available adsorption sites and mass transfer conditions, while both variables show moderate correlations with adsorption efficiency and kinetic capacity. Adsorbent dosage is moderately negatively correlated with equilibrium concentration and positively correlated with solution volume, indicating that higher adsorbent loading promotes greater pollutant removal. Overall, the correlation analysis reveals physically meaningful interdependencies among operational and structural parameters, supporting their relevance as input features for </w:t>
      </w:r>
      <w:r w:rsidR="00F83C5B" w:rsidRPr="00EF319B">
        <w:rPr>
          <w:rFonts w:ascii="Times New Roman" w:hAnsi="Times New Roman" w:cs="Times New Roman"/>
          <w:sz w:val="20"/>
          <w:szCs w:val="20"/>
        </w:rPr>
        <w:t>ML models development</w:t>
      </w:r>
      <w:r w:rsidRPr="00EF319B">
        <w:rPr>
          <w:rFonts w:ascii="Times New Roman" w:hAnsi="Times New Roman" w:cs="Times New Roman"/>
          <w:sz w:val="20"/>
          <w:szCs w:val="20"/>
        </w:rPr>
        <w:t>.</w:t>
      </w:r>
    </w:p>
    <w:p w14:paraId="3EFA58E4" w14:textId="77777777" w:rsidR="006D3665" w:rsidRPr="00EF319B" w:rsidRDefault="006D3665" w:rsidP="006D3665">
      <w:pPr>
        <w:pStyle w:val="NormalWeb"/>
        <w:keepNext/>
        <w:jc w:val="center"/>
      </w:pPr>
      <w:r w:rsidRPr="00EF319B">
        <w:rPr>
          <w:noProof/>
        </w:rPr>
        <w:lastRenderedPageBreak/>
        <w:drawing>
          <wp:inline distT="0" distB="0" distL="0" distR="0" wp14:anchorId="6112780B" wp14:editId="29F4C4F2">
            <wp:extent cx="4695304" cy="3890682"/>
            <wp:effectExtent l="0" t="0" r="0" b="0"/>
            <wp:docPr id="6" name="Picture 6" descr="A chart of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hart of different colors&#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00745" cy="3895191"/>
                    </a:xfrm>
                    <a:prstGeom prst="rect">
                      <a:avLst/>
                    </a:prstGeom>
                    <a:noFill/>
                    <a:ln>
                      <a:noFill/>
                    </a:ln>
                  </pic:spPr>
                </pic:pic>
              </a:graphicData>
            </a:graphic>
          </wp:inline>
        </w:drawing>
      </w:r>
    </w:p>
    <w:p w14:paraId="46316D22" w14:textId="37A1E8EB" w:rsidR="000303E9" w:rsidRPr="00EF319B" w:rsidRDefault="006D3665" w:rsidP="00194214">
      <w:pPr>
        <w:pStyle w:val="Caption"/>
        <w:jc w:val="center"/>
        <w:rPr>
          <w:rFonts w:ascii="Times New Roman" w:hAnsi="Times New Roman" w:cs="Times New Roman"/>
          <w:i w:val="0"/>
          <w:iCs w:val="0"/>
          <w:color w:val="auto"/>
        </w:rPr>
      </w:pPr>
      <w:r w:rsidRPr="00EF319B">
        <w:rPr>
          <w:rFonts w:ascii="Times New Roman" w:hAnsi="Times New Roman" w:cs="Times New Roman"/>
          <w:b/>
          <w:bCs/>
          <w:i w:val="0"/>
          <w:iCs w:val="0"/>
          <w:color w:val="auto"/>
        </w:rPr>
        <w:t xml:space="preserve">Figure </w:t>
      </w:r>
      <w:r w:rsidRPr="00EF319B">
        <w:rPr>
          <w:rFonts w:ascii="Times New Roman" w:hAnsi="Times New Roman" w:cs="Times New Roman"/>
          <w:b/>
          <w:bCs/>
          <w:i w:val="0"/>
          <w:iCs w:val="0"/>
          <w:color w:val="auto"/>
        </w:rPr>
        <w:fldChar w:fldCharType="begin"/>
      </w:r>
      <w:r w:rsidRPr="00EF319B">
        <w:rPr>
          <w:rFonts w:ascii="Times New Roman" w:hAnsi="Times New Roman" w:cs="Times New Roman"/>
          <w:b/>
          <w:bCs/>
          <w:i w:val="0"/>
          <w:iCs w:val="0"/>
          <w:color w:val="auto"/>
        </w:rPr>
        <w:instrText xml:space="preserve"> SEQ Figure \* ARABIC </w:instrText>
      </w:r>
      <w:r w:rsidRPr="00EF319B">
        <w:rPr>
          <w:rFonts w:ascii="Times New Roman" w:hAnsi="Times New Roman" w:cs="Times New Roman"/>
          <w:b/>
          <w:bCs/>
          <w:i w:val="0"/>
          <w:iCs w:val="0"/>
          <w:color w:val="auto"/>
        </w:rPr>
        <w:fldChar w:fldCharType="separate"/>
      </w:r>
      <w:r w:rsidR="009D4ADE" w:rsidRPr="00EF319B">
        <w:rPr>
          <w:rFonts w:ascii="Times New Roman" w:hAnsi="Times New Roman" w:cs="Times New Roman"/>
          <w:b/>
          <w:bCs/>
          <w:i w:val="0"/>
          <w:iCs w:val="0"/>
          <w:color w:val="auto"/>
        </w:rPr>
        <w:t>3</w:t>
      </w:r>
      <w:r w:rsidRPr="00EF319B">
        <w:rPr>
          <w:rFonts w:ascii="Times New Roman" w:hAnsi="Times New Roman" w:cs="Times New Roman"/>
          <w:b/>
          <w:bCs/>
          <w:i w:val="0"/>
          <w:iCs w:val="0"/>
          <w:color w:val="auto"/>
        </w:rPr>
        <w:fldChar w:fldCharType="end"/>
      </w:r>
      <w:r w:rsidRPr="00EF319B">
        <w:rPr>
          <w:rFonts w:ascii="Times New Roman" w:hAnsi="Times New Roman" w:cs="Times New Roman"/>
          <w:i w:val="0"/>
          <w:iCs w:val="0"/>
          <w:color w:val="auto"/>
        </w:rPr>
        <w:t>. Pearson correlation and coin plot between adsorption removal and experimental conditions.</w:t>
      </w:r>
    </w:p>
    <w:p w14:paraId="2D26D1B2" w14:textId="77777777" w:rsidR="0022023A" w:rsidRPr="00EF319B" w:rsidRDefault="0022023A" w:rsidP="0022023A">
      <w:pPr>
        <w:pStyle w:val="ListParagraph"/>
        <w:numPr>
          <w:ilvl w:val="1"/>
          <w:numId w:val="8"/>
        </w:numPr>
        <w:spacing w:line="360" w:lineRule="auto"/>
        <w:rPr>
          <w:rFonts w:ascii="Times New Roman" w:hAnsi="Times New Roman" w:cs="Times New Roman"/>
          <w:b/>
          <w:bCs/>
          <w:sz w:val="20"/>
          <w:szCs w:val="20"/>
        </w:rPr>
      </w:pPr>
      <w:r w:rsidRPr="00EF319B">
        <w:rPr>
          <w:rFonts w:ascii="Times New Roman" w:hAnsi="Times New Roman" w:cs="Times New Roman"/>
          <w:b/>
          <w:bCs/>
          <w:sz w:val="20"/>
          <w:szCs w:val="20"/>
        </w:rPr>
        <w:t>Machine learning models</w:t>
      </w:r>
    </w:p>
    <w:p w14:paraId="4547542F" w14:textId="680B8EDC" w:rsidR="0022023A" w:rsidRPr="00EF319B" w:rsidRDefault="0022023A" w:rsidP="0022023A">
      <w:pPr>
        <w:spacing w:line="360" w:lineRule="auto"/>
        <w:jc w:val="both"/>
        <w:rPr>
          <w:rFonts w:ascii="Times New Roman" w:hAnsi="Times New Roman" w:cs="Times New Roman"/>
          <w:sz w:val="20"/>
          <w:szCs w:val="20"/>
        </w:rPr>
      </w:pPr>
      <w:r w:rsidRPr="00EF319B">
        <w:rPr>
          <w:rFonts w:ascii="Times New Roman" w:hAnsi="Times New Roman" w:cs="Times New Roman"/>
          <w:sz w:val="20"/>
          <w:szCs w:val="20"/>
        </w:rPr>
        <w:t xml:space="preserve">In this study, multiple machine learning algorithms were employed to develop a hybrid predictive framework for </w:t>
      </w:r>
      <w:r w:rsidR="00165F28" w:rsidRPr="00EF319B">
        <w:rPr>
          <w:rFonts w:ascii="Times New Roman" w:hAnsi="Times New Roman" w:cs="Times New Roman"/>
          <w:sz w:val="20"/>
          <w:szCs w:val="20"/>
        </w:rPr>
        <w:t>modelling</w:t>
      </w:r>
      <w:r w:rsidRPr="00EF319B">
        <w:rPr>
          <w:rFonts w:ascii="Times New Roman" w:hAnsi="Times New Roman" w:cs="Times New Roman"/>
          <w:sz w:val="20"/>
          <w:szCs w:val="20"/>
        </w:rPr>
        <w:t xml:space="preserve"> the adsorption efficiency and capacity of anionic dyes and proteins on functionalized biochar surfaces. The integration of diverse models</w:t>
      </w:r>
      <w:r w:rsidR="00165F28" w:rsidRPr="00EF319B">
        <w:rPr>
          <w:rFonts w:ascii="Times New Roman" w:hAnsi="Times New Roman" w:cs="Times New Roman"/>
          <w:sz w:val="20"/>
          <w:szCs w:val="20"/>
        </w:rPr>
        <w:t>,</w:t>
      </w:r>
      <w:r w:rsidRPr="00EF319B">
        <w:rPr>
          <w:rFonts w:ascii="Times New Roman" w:hAnsi="Times New Roman" w:cs="Times New Roman"/>
          <w:sz w:val="20"/>
          <w:szCs w:val="20"/>
        </w:rPr>
        <w:t xml:space="preserve"> such as Decision Tree (DT), Ensemble Learning Tree (ELT), Gaussian Process Regression (GPR), and Support Vector Machine (SVM)</w:t>
      </w:r>
      <w:r w:rsidR="00165F28" w:rsidRPr="00EF319B">
        <w:rPr>
          <w:rFonts w:ascii="Times New Roman" w:hAnsi="Times New Roman" w:cs="Times New Roman"/>
          <w:sz w:val="20"/>
          <w:szCs w:val="20"/>
        </w:rPr>
        <w:t>,</w:t>
      </w:r>
      <w:r w:rsidRPr="00EF319B">
        <w:rPr>
          <w:rFonts w:ascii="Times New Roman" w:hAnsi="Times New Roman" w:cs="Times New Roman"/>
          <w:sz w:val="20"/>
          <w:szCs w:val="20"/>
        </w:rPr>
        <w:t xml:space="preserve"> enables a comprehensive learning of both linear and nonlinear adsorption behavior </w:t>
      </w:r>
      <w:r w:rsidRPr="00EF319B">
        <w:rPr>
          <w:rFonts w:ascii="Times New Roman" w:hAnsi="Times New Roman" w:cs="Times New Roman"/>
          <w:sz w:val="20"/>
          <w:szCs w:val="20"/>
        </w:rPr>
        <w:fldChar w:fldCharType="begin"/>
      </w:r>
      <w:r w:rsidRPr="00EF319B">
        <w:rPr>
          <w:rFonts w:ascii="Times New Roman" w:hAnsi="Times New Roman" w:cs="Times New Roman"/>
          <w:sz w:val="20"/>
          <w:szCs w:val="20"/>
        </w:rPr>
        <w:instrText xml:space="preserve"> ADDIN ZOTERO_ITEM CSL_CITATION {"citationID":"y8K07agy","properties":{"formattedCitation":"[32,33]","plainCitation":"[32,33]","noteIndex":0},"citationItems":[{"id":862,"uris":["http://zotero.org/users/14115032/items/JSD3VRGV"],"itemData":{"id":862,"type":"article-journal","container-title":"Journal of Cleaner Production","DOI":"10.1016/j.jclepro.2022.134588","ISSN":"09596526","journalAbbreviation":"Journal of Cleaner Production","language":"en","page":"134588","source":"DOI.org (Crossref)","title":"A systematic and critical review on development of machine learning based-ensemble models for prediction of adsorption process efficiency","volume":"379","author":[{"family":"Abbasi","given":"Elahe"},{"family":"Alavi Moghaddam","given":"Mohammad Reza"},{"family":"Kowsari","given":"Elaheh"}],"issued":{"date-parts":[["2022",12]]}}},{"id":863,"uris":["http://zotero.org/users/14115032/items/RQLLG2ZZ"],"itemData":{"id":863,"type":"article-journal","abstract":"This article offers a thorough analysis of the machine learning classifiers approaches for the collected Received Signal Strength Indicator (RSSI) samples which can be applied in predicting propagation loss, used for network planning to achieve maximum coverage. We estimated the RMSE of a machine learning classifier on multivariate RSSI data collected from the cluster of 6 Base Transceiver Stations (BTS) across a hilly terrain of Uttarakhand-India. Variable attributes comprise topology, environment, and forest canopy. Four machine learning classifiers have been investigated to identify the classifier with the least RMSE: Gaussian Process, Ensemble Boosted Tree, SVM, and Linear Regression. Gaussian Process showed the lowest RMSE, R- Squared, MSE, and MAE of 1.96, 0.98, 3.8774, and 1.3202 respectively as compared to other classifiers.","container-title":"International Journal of Interactive Multimedia and Artificial Intelligence","DOI":"10.9781/ijimai.2021.03.004","ISSN":"1989-1660, 1989-1660","issue":"6","journalAbbreviation":"IJIMAI","page":"156-163","source":"DOI.org (Crossref)","title":"Machine Learning Classifier Approach with Gaussian Process, Ensemble boosted Trees, SVM, and Linear Regression for 5G Signal Coverage Mapping.","volume":"6","author":[{"family":"Gupta","given":"Akansha"},{"family":"Ghanshala","given":"Kamal"},{"family":"Joshi","given":"R. C."}],"issued":{"date-parts":[["2021",6,1]]}}}],"schema":"https://github.com/citation-style-language/schema/raw/master/csl-citation.json"} </w:instrText>
      </w:r>
      <w:r w:rsidRPr="00EF319B">
        <w:rPr>
          <w:rFonts w:ascii="Times New Roman" w:hAnsi="Times New Roman" w:cs="Times New Roman"/>
          <w:sz w:val="20"/>
          <w:szCs w:val="20"/>
        </w:rPr>
        <w:fldChar w:fldCharType="separate"/>
      </w:r>
      <w:r w:rsidRPr="00EF319B">
        <w:rPr>
          <w:rFonts w:ascii="Times New Roman" w:hAnsi="Times New Roman" w:cs="Times New Roman"/>
          <w:sz w:val="20"/>
        </w:rPr>
        <w:t>[32,33]</w:t>
      </w:r>
      <w:r w:rsidRPr="00EF319B">
        <w:rPr>
          <w:rFonts w:ascii="Times New Roman" w:hAnsi="Times New Roman" w:cs="Times New Roman"/>
          <w:sz w:val="20"/>
          <w:szCs w:val="20"/>
        </w:rPr>
        <w:fldChar w:fldCharType="end"/>
      </w:r>
      <w:r w:rsidRPr="00EF319B">
        <w:rPr>
          <w:rFonts w:ascii="Times New Roman" w:hAnsi="Times New Roman" w:cs="Times New Roman"/>
          <w:sz w:val="20"/>
          <w:szCs w:val="20"/>
        </w:rPr>
        <w:t>. Each algorithm contributed unique computational strengths, collectively improving prediction reliability and interpretability of adsorption phenomena. Each algorithm contributed unique computational strengths, collectively improving prediction reliability and interpretability of adsorption phenomena.</w:t>
      </w:r>
    </w:p>
    <w:p w14:paraId="5C756398" w14:textId="77777777" w:rsidR="0022023A" w:rsidRPr="00EF319B" w:rsidRDefault="0022023A" w:rsidP="0022023A">
      <w:pPr>
        <w:spacing w:line="360" w:lineRule="auto"/>
        <w:jc w:val="both"/>
        <w:rPr>
          <w:rFonts w:ascii="Times New Roman" w:hAnsi="Times New Roman" w:cs="Times New Roman"/>
          <w:b/>
          <w:bCs/>
          <w:sz w:val="20"/>
          <w:szCs w:val="20"/>
        </w:rPr>
      </w:pPr>
      <w:r w:rsidRPr="00EF319B">
        <w:rPr>
          <w:rFonts w:ascii="Times New Roman" w:hAnsi="Times New Roman" w:cs="Times New Roman"/>
          <w:b/>
          <w:bCs/>
          <w:sz w:val="20"/>
          <w:szCs w:val="20"/>
        </w:rPr>
        <w:t>2.3.1 Decision Tree (DT)</w:t>
      </w:r>
    </w:p>
    <w:p w14:paraId="1E7A93DD" w14:textId="045DF390" w:rsidR="0022023A" w:rsidRPr="00EF319B" w:rsidRDefault="0022023A" w:rsidP="0022023A">
      <w:pPr>
        <w:spacing w:line="360" w:lineRule="auto"/>
        <w:jc w:val="both"/>
        <w:rPr>
          <w:rFonts w:ascii="Times New Roman" w:hAnsi="Times New Roman" w:cs="Times New Roman"/>
          <w:sz w:val="20"/>
          <w:szCs w:val="20"/>
        </w:rPr>
      </w:pPr>
      <w:r w:rsidRPr="00EF319B">
        <w:rPr>
          <w:rFonts w:ascii="Times New Roman" w:hAnsi="Times New Roman" w:cs="Times New Roman"/>
          <w:sz w:val="20"/>
          <w:szCs w:val="20"/>
        </w:rPr>
        <w:t xml:space="preserve">The </w:t>
      </w:r>
      <w:r w:rsidR="002211BE" w:rsidRPr="00EF319B">
        <w:rPr>
          <w:rFonts w:ascii="Times New Roman" w:hAnsi="Times New Roman" w:cs="Times New Roman"/>
          <w:sz w:val="20"/>
          <w:szCs w:val="20"/>
        </w:rPr>
        <w:t>d</w:t>
      </w:r>
      <w:r w:rsidRPr="00EF319B">
        <w:rPr>
          <w:rFonts w:ascii="Times New Roman" w:hAnsi="Times New Roman" w:cs="Times New Roman"/>
          <w:sz w:val="20"/>
          <w:szCs w:val="20"/>
        </w:rPr>
        <w:t xml:space="preserve">ecision </w:t>
      </w:r>
      <w:r w:rsidR="0071729A" w:rsidRPr="00EF319B">
        <w:rPr>
          <w:rFonts w:ascii="Times New Roman" w:hAnsi="Times New Roman" w:cs="Times New Roman"/>
          <w:sz w:val="20"/>
          <w:szCs w:val="20"/>
        </w:rPr>
        <w:t>t</w:t>
      </w:r>
      <w:r w:rsidRPr="00EF319B">
        <w:rPr>
          <w:rFonts w:ascii="Times New Roman" w:hAnsi="Times New Roman" w:cs="Times New Roman"/>
          <w:sz w:val="20"/>
          <w:szCs w:val="20"/>
        </w:rPr>
        <w:t xml:space="preserve">ree algorithm was employed for its ability to provide clear interpretability and variable importance analysis. DT works by recursively partitioning the data based on decision rules that minimize prediction error, allowing straightforward identification of critical factors influencing adsorption removal and capacity. In adsorption-related research, DT is particularly useful for revealing threshold-dependent behavior </w:t>
      </w:r>
      <w:r w:rsidRPr="00EF319B">
        <w:rPr>
          <w:rFonts w:ascii="Times New Roman" w:hAnsi="Times New Roman" w:cs="Times New Roman"/>
          <w:sz w:val="20"/>
          <w:szCs w:val="20"/>
        </w:rPr>
        <w:fldChar w:fldCharType="begin"/>
      </w:r>
      <w:r w:rsidRPr="00EF319B">
        <w:rPr>
          <w:rFonts w:ascii="Times New Roman" w:hAnsi="Times New Roman" w:cs="Times New Roman"/>
          <w:sz w:val="20"/>
          <w:szCs w:val="20"/>
        </w:rPr>
        <w:instrText xml:space="preserve"> ADDIN ZOTERO_ITEM CSL_CITATION {"citationID":"cewiVlii","properties":{"formattedCitation":"[34]","plainCitation":"[34]","noteIndex":0},"citationItems":[{"id":875,"uris":["http://zotero.org/users/14115032/items/X257TRTM"],"itemData":{"id":875,"type":"article-journal","container-title":"Science of The Total Environment","DOI":"10.1016/j.scitotenv.2025.180252","ISSN":"00489697","journalAbbreviation":"Science of The Total Environment","language":"en","page":"180252","source":"DOI.org (Crossref)","title":"The potential of decision tree application in threshold analysis of hazardous volatile organic compound release from biochar: Implications for environmental risk assessment","title-short":"The potential of decision tree application in threshold analysis of hazardous volatile organic compound release from biochar","volume":"998","author":[{"family":"Syguła","given":"Ewa"},{"family":"Piasecka","given":"Kamila"},{"family":"Łyczko","given":"Jacek"},{"family":"Białowiec","given":"Andrzej"}],"issued":{"date-parts":[["2025",10]]}}}],"schema":"https://github.com/citation-style-language/schema/raw/master/csl-citation.json"} </w:instrText>
      </w:r>
      <w:r w:rsidRPr="00EF319B">
        <w:rPr>
          <w:rFonts w:ascii="Times New Roman" w:hAnsi="Times New Roman" w:cs="Times New Roman"/>
          <w:sz w:val="20"/>
          <w:szCs w:val="20"/>
        </w:rPr>
        <w:fldChar w:fldCharType="separate"/>
      </w:r>
      <w:r w:rsidRPr="00EF319B">
        <w:rPr>
          <w:rFonts w:ascii="Times New Roman" w:hAnsi="Times New Roman" w:cs="Times New Roman"/>
          <w:sz w:val="20"/>
        </w:rPr>
        <w:t>[34]</w:t>
      </w:r>
      <w:r w:rsidRPr="00EF319B">
        <w:rPr>
          <w:rFonts w:ascii="Times New Roman" w:hAnsi="Times New Roman" w:cs="Times New Roman"/>
          <w:sz w:val="20"/>
          <w:szCs w:val="20"/>
        </w:rPr>
        <w:fldChar w:fldCharType="end"/>
      </w:r>
      <w:r w:rsidRPr="00EF319B">
        <w:rPr>
          <w:rFonts w:ascii="Times New Roman" w:hAnsi="Times New Roman" w:cs="Times New Roman"/>
          <w:sz w:val="20"/>
          <w:szCs w:val="20"/>
        </w:rPr>
        <w:t>, for instance, determining the optimal pH or adsorbent dosage beyond which removal efficiency plateaus. Its transparency makes it ideal for understanding mechanistic trends in adsorption systems.</w:t>
      </w:r>
      <w:r w:rsidR="00645C5A" w:rsidRPr="00EF319B">
        <w:rPr>
          <w:rFonts w:ascii="Times New Roman" w:hAnsi="Times New Roman" w:cs="Times New Roman"/>
          <w:sz w:val="20"/>
          <w:szCs w:val="20"/>
        </w:rPr>
        <w:t xml:space="preserve"> </w:t>
      </w:r>
      <w:r w:rsidR="008C4E37" w:rsidRPr="00EF319B">
        <w:rPr>
          <w:rFonts w:ascii="Times New Roman" w:hAnsi="Times New Roman" w:cs="Times New Roman"/>
          <w:sz w:val="20"/>
          <w:szCs w:val="20"/>
        </w:rPr>
        <w:t>To determine estimated outputs, we usually average the true outputs of training samples within a terminal node</w:t>
      </w:r>
      <w:r w:rsidR="00B23702" w:rsidRPr="00EF319B">
        <w:rPr>
          <w:rFonts w:ascii="Times New Roman" w:hAnsi="Times New Roman" w:cs="Times New Roman"/>
          <w:sz w:val="20"/>
          <w:szCs w:val="20"/>
        </w:rPr>
        <w:t xml:space="preserve"> </w:t>
      </w:r>
      <w:r w:rsidR="00B23702" w:rsidRPr="00EF319B">
        <w:rPr>
          <w:rFonts w:ascii="Times New Roman" w:hAnsi="Times New Roman" w:cs="Times New Roman"/>
          <w:sz w:val="20"/>
          <w:szCs w:val="20"/>
        </w:rPr>
        <w:fldChar w:fldCharType="begin"/>
      </w:r>
      <w:r w:rsidR="00B23702" w:rsidRPr="00EF319B">
        <w:rPr>
          <w:rFonts w:ascii="Times New Roman" w:hAnsi="Times New Roman" w:cs="Times New Roman"/>
          <w:sz w:val="20"/>
          <w:szCs w:val="20"/>
        </w:rPr>
        <w:instrText xml:space="preserve"> ADDIN ZOTERO_ITEM CSL_CITATION {"citationID":"Wc8Lxhev","properties":{"formattedCitation":"[35]","plainCitation":"[35]","noteIndex":0},"citationItems":[{"id":898,"uris":["http://zotero.org/users/14115032/items/FISRTX2X"],"itemData":{"id":898,"type":"article-journal","container-title":"Pattern Recognition Letters","DOI":"10.1016/j.patrec.2017.08.011","ISSN":"01678655","journalAbbreviation":"Pattern Recognition Letters","language":"en","page":"39-45","source":"DOI.org (Crossref)","title":"A hybrid decision tree algorithm for mixed numeric and categorical data in regression analysis","volume":"98","author":[{"family":"Kim","given":"Kyoungok"},{"family":"Hong","given":"Jung-sik"}],"issued":{"date-parts":[["2017",10]]}}}],"schema":"https://github.com/citation-style-language/schema/raw/master/csl-citation.json"} </w:instrText>
      </w:r>
      <w:r w:rsidR="00B23702" w:rsidRPr="00EF319B">
        <w:rPr>
          <w:rFonts w:ascii="Times New Roman" w:hAnsi="Times New Roman" w:cs="Times New Roman"/>
          <w:sz w:val="20"/>
          <w:szCs w:val="20"/>
        </w:rPr>
        <w:fldChar w:fldCharType="separate"/>
      </w:r>
      <w:r w:rsidR="00B23702" w:rsidRPr="00EF319B">
        <w:rPr>
          <w:rFonts w:ascii="Times New Roman" w:hAnsi="Times New Roman" w:cs="Times New Roman"/>
          <w:sz w:val="20"/>
        </w:rPr>
        <w:t>[35]</w:t>
      </w:r>
      <w:r w:rsidR="00B23702" w:rsidRPr="00EF319B">
        <w:rPr>
          <w:rFonts w:ascii="Times New Roman" w:hAnsi="Times New Roman" w:cs="Times New Roman"/>
          <w:sz w:val="20"/>
          <w:szCs w:val="20"/>
        </w:rPr>
        <w:fldChar w:fldCharType="end"/>
      </w:r>
      <w:r w:rsidR="00453A0A" w:rsidRPr="00EF319B">
        <w:rPr>
          <w:rFonts w:ascii="Times New Roman" w:hAnsi="Times New Roman" w:cs="Times New Roman"/>
          <w:sz w:val="20"/>
          <w:szCs w:val="20"/>
        </w:rPr>
        <w:t>:</w:t>
      </w:r>
    </w:p>
    <w:p w14:paraId="2A3BDB2C" w14:textId="44A05412" w:rsidR="00453A0A" w:rsidRPr="00EF319B" w:rsidRDefault="00000000" w:rsidP="00453A0A">
      <w:pPr>
        <w:pStyle w:val="ListParagraph"/>
        <w:spacing w:line="276" w:lineRule="auto"/>
        <w:jc w:val="both"/>
        <w:rPr>
          <w:rFonts w:ascii="Times New Roman" w:eastAsiaTheme="minorEastAsia" w:hAnsi="Times New Roman" w:cs="Times New Roman"/>
          <w:iCs/>
          <w:sz w:val="20"/>
          <w:szCs w:val="20"/>
        </w:rPr>
      </w:pPr>
      <m:oMath>
        <m:sSub>
          <m:sSubPr>
            <m:ctrlPr>
              <w:rPr>
                <w:rFonts w:ascii="Cambria Math" w:hAnsi="Cambria Math" w:cs="Times New Roman"/>
                <w:iCs/>
                <w:sz w:val="20"/>
                <w:szCs w:val="20"/>
              </w:rPr>
            </m:ctrlPr>
          </m:sSubPr>
          <m:e>
            <m:acc>
              <m:accPr>
                <m:ctrlPr>
                  <w:rPr>
                    <w:rFonts w:ascii="Cambria Math" w:hAnsi="Cambria Math" w:cs="Times New Roman"/>
                    <w:iCs/>
                    <w:sz w:val="20"/>
                    <w:szCs w:val="20"/>
                  </w:rPr>
                </m:ctrlPr>
              </m:accPr>
              <m:e>
                <m:r>
                  <m:rPr>
                    <m:sty m:val="p"/>
                  </m:rPr>
                  <w:rPr>
                    <w:rFonts w:ascii="Cambria Math" w:hAnsi="Cambria Math" w:cs="Times New Roman"/>
                    <w:sz w:val="20"/>
                    <w:szCs w:val="20"/>
                  </w:rPr>
                  <m:t>y</m:t>
                </m:r>
              </m:e>
            </m:acc>
          </m:e>
          <m:sub>
            <m:r>
              <m:rPr>
                <m:sty m:val="p"/>
              </m:rPr>
              <w:rPr>
                <w:rFonts w:ascii="Cambria Math" w:hAnsi="Cambria Math" w:cs="Times New Roman"/>
                <w:sz w:val="20"/>
                <w:szCs w:val="20"/>
              </w:rPr>
              <m:t>j</m:t>
            </m:r>
          </m:sub>
        </m:sSub>
        <m:r>
          <m:rPr>
            <m:sty m:val="p"/>
          </m:rPr>
          <w:rPr>
            <w:rFonts w:ascii="Cambria Math" w:hAnsi="Cambria Math" w:cs="Times New Roman"/>
            <w:sz w:val="20"/>
            <w:szCs w:val="20"/>
          </w:rPr>
          <m:t>=</m:t>
        </m:r>
        <m:f>
          <m:fPr>
            <m:ctrlPr>
              <w:rPr>
                <w:rFonts w:ascii="Cambria Math" w:hAnsi="Cambria Math" w:cs="Times New Roman"/>
                <w:iCs/>
                <w:sz w:val="20"/>
                <w:szCs w:val="20"/>
              </w:rPr>
            </m:ctrlPr>
          </m:fPr>
          <m:num>
            <m:nary>
              <m:naryPr>
                <m:chr m:val="∑"/>
                <m:limLoc m:val="subSup"/>
                <m:grow m:val="1"/>
                <m:supHide m:val="1"/>
                <m:ctrlPr>
                  <w:rPr>
                    <w:rFonts w:ascii="Cambria Math" w:hAnsi="Cambria Math" w:cs="Times New Roman"/>
                    <w:iCs/>
                    <w:sz w:val="20"/>
                    <w:szCs w:val="20"/>
                  </w:rPr>
                </m:ctrlPr>
              </m:naryPr>
              <m:sub>
                <m:r>
                  <m:rPr>
                    <m:sty m:val="p"/>
                  </m:rPr>
                  <w:rPr>
                    <w:rFonts w:ascii="Cambria Math" w:hAnsi="Cambria Math" w:cs="Times New Roman"/>
                    <w:sz w:val="20"/>
                    <w:szCs w:val="20"/>
                  </w:rPr>
                  <m:t>i∈</m:t>
                </m:r>
                <m:sSub>
                  <m:sSubPr>
                    <m:ctrlPr>
                      <w:rPr>
                        <w:rFonts w:ascii="Cambria Math" w:hAnsi="Cambria Math" w:cs="Times New Roman"/>
                        <w:iCs/>
                        <w:sz w:val="20"/>
                        <w:szCs w:val="20"/>
                      </w:rPr>
                    </m:ctrlPr>
                  </m:sSubPr>
                  <m:e>
                    <m:r>
                      <m:rPr>
                        <m:sty m:val="p"/>
                      </m:rPr>
                      <w:rPr>
                        <w:rFonts w:ascii="Cambria Math" w:hAnsi="Cambria Math" w:cs="Times New Roman"/>
                        <w:sz w:val="20"/>
                        <w:szCs w:val="20"/>
                      </w:rPr>
                      <m:t>t</m:t>
                    </m:r>
                  </m:e>
                  <m:sub>
                    <m:r>
                      <m:rPr>
                        <m:sty m:val="p"/>
                      </m:rPr>
                      <w:rPr>
                        <w:rFonts w:ascii="Cambria Math" w:hAnsi="Cambria Math" w:cs="Times New Roman"/>
                        <w:sz w:val="20"/>
                        <w:szCs w:val="20"/>
                      </w:rPr>
                      <m:t>j</m:t>
                    </m:r>
                  </m:sub>
                </m:sSub>
              </m:sub>
              <m:sup/>
              <m:e>
                <m:sSub>
                  <m:sSubPr>
                    <m:ctrlPr>
                      <w:rPr>
                        <w:rFonts w:ascii="Cambria Math" w:hAnsi="Cambria Math" w:cs="Times New Roman"/>
                        <w:iCs/>
                        <w:sz w:val="20"/>
                        <w:szCs w:val="20"/>
                      </w:rPr>
                    </m:ctrlPr>
                  </m:sSubPr>
                  <m:e>
                    <m:r>
                      <m:rPr>
                        <m:sty m:val="p"/>
                      </m:rPr>
                      <w:rPr>
                        <w:rFonts w:ascii="Cambria Math" w:hAnsi="Cambria Math" w:cs="Times New Roman"/>
                        <w:sz w:val="20"/>
                        <w:szCs w:val="20"/>
                      </w:rPr>
                      <m:t>Y</m:t>
                    </m:r>
                  </m:e>
                  <m:sub>
                    <m:r>
                      <m:rPr>
                        <m:sty m:val="p"/>
                      </m:rPr>
                      <w:rPr>
                        <w:rFonts w:ascii="Cambria Math" w:hAnsi="Cambria Math" w:cs="Times New Roman"/>
                        <w:sz w:val="20"/>
                        <w:szCs w:val="20"/>
                      </w:rPr>
                      <m:t>j</m:t>
                    </m:r>
                  </m:sub>
                </m:sSub>
              </m:e>
            </m:nary>
          </m:num>
          <m:den>
            <m:d>
              <m:dPr>
                <m:begChr m:val="|"/>
                <m:endChr m:val="|"/>
                <m:ctrlPr>
                  <w:rPr>
                    <w:rFonts w:ascii="Cambria Math" w:hAnsi="Cambria Math" w:cs="Times New Roman"/>
                    <w:iCs/>
                    <w:sz w:val="20"/>
                    <w:szCs w:val="20"/>
                  </w:rPr>
                </m:ctrlPr>
              </m:dPr>
              <m:e>
                <m:sSub>
                  <m:sSubPr>
                    <m:ctrlPr>
                      <w:rPr>
                        <w:rFonts w:ascii="Cambria Math" w:hAnsi="Cambria Math" w:cs="Times New Roman"/>
                        <w:iCs/>
                        <w:sz w:val="20"/>
                        <w:szCs w:val="20"/>
                      </w:rPr>
                    </m:ctrlPr>
                  </m:sSubPr>
                  <m:e>
                    <m:r>
                      <m:rPr>
                        <m:sty m:val="p"/>
                      </m:rPr>
                      <w:rPr>
                        <w:rFonts w:ascii="Cambria Math" w:hAnsi="Cambria Math" w:cs="Times New Roman"/>
                        <w:sz w:val="20"/>
                        <w:szCs w:val="20"/>
                      </w:rPr>
                      <m:t>t</m:t>
                    </m:r>
                  </m:e>
                  <m:sub>
                    <m:r>
                      <m:rPr>
                        <m:sty m:val="p"/>
                      </m:rPr>
                      <w:rPr>
                        <w:rFonts w:ascii="Cambria Math" w:hAnsi="Cambria Math" w:cs="Times New Roman"/>
                        <w:sz w:val="20"/>
                        <w:szCs w:val="20"/>
                      </w:rPr>
                      <m:t>j</m:t>
                    </m:r>
                  </m:sub>
                </m:sSub>
              </m:e>
            </m:d>
          </m:den>
        </m:f>
      </m:oMath>
      <w:r w:rsidR="0088198C">
        <w:rPr>
          <w:rFonts w:ascii="Times New Roman" w:eastAsiaTheme="minorEastAsia" w:hAnsi="Times New Roman" w:cs="Times New Roman"/>
          <w:iCs/>
          <w:sz w:val="20"/>
          <w:szCs w:val="20"/>
        </w:rPr>
        <w:tab/>
      </w:r>
      <w:r w:rsidR="0088198C">
        <w:rPr>
          <w:rFonts w:ascii="Times New Roman" w:eastAsiaTheme="minorEastAsia" w:hAnsi="Times New Roman" w:cs="Times New Roman"/>
          <w:iCs/>
          <w:sz w:val="20"/>
          <w:szCs w:val="20"/>
        </w:rPr>
        <w:tab/>
      </w:r>
      <w:r w:rsidR="0088198C">
        <w:rPr>
          <w:rFonts w:ascii="Times New Roman" w:eastAsiaTheme="minorEastAsia" w:hAnsi="Times New Roman" w:cs="Times New Roman"/>
          <w:iCs/>
          <w:sz w:val="20"/>
          <w:szCs w:val="20"/>
        </w:rPr>
        <w:tab/>
      </w:r>
      <w:r w:rsidR="0088198C">
        <w:rPr>
          <w:rFonts w:ascii="Times New Roman" w:eastAsiaTheme="minorEastAsia" w:hAnsi="Times New Roman" w:cs="Times New Roman"/>
          <w:iCs/>
          <w:sz w:val="20"/>
          <w:szCs w:val="20"/>
        </w:rPr>
        <w:tab/>
      </w:r>
      <w:r w:rsidR="0088198C">
        <w:rPr>
          <w:rFonts w:ascii="Times New Roman" w:eastAsiaTheme="minorEastAsia" w:hAnsi="Times New Roman" w:cs="Times New Roman"/>
          <w:iCs/>
          <w:sz w:val="20"/>
          <w:szCs w:val="20"/>
        </w:rPr>
        <w:tab/>
      </w:r>
      <w:r w:rsidR="0088198C">
        <w:rPr>
          <w:rFonts w:ascii="Times New Roman" w:eastAsiaTheme="minorEastAsia" w:hAnsi="Times New Roman" w:cs="Times New Roman"/>
          <w:iCs/>
          <w:sz w:val="20"/>
          <w:szCs w:val="20"/>
        </w:rPr>
        <w:tab/>
      </w:r>
      <w:r w:rsidR="0088198C">
        <w:rPr>
          <w:rFonts w:ascii="Times New Roman" w:eastAsiaTheme="minorEastAsia" w:hAnsi="Times New Roman" w:cs="Times New Roman"/>
          <w:iCs/>
          <w:sz w:val="20"/>
          <w:szCs w:val="20"/>
        </w:rPr>
        <w:tab/>
      </w:r>
      <w:r w:rsidR="0088198C">
        <w:rPr>
          <w:rFonts w:ascii="Times New Roman" w:eastAsiaTheme="minorEastAsia" w:hAnsi="Times New Roman" w:cs="Times New Roman"/>
          <w:iCs/>
          <w:sz w:val="20"/>
          <w:szCs w:val="20"/>
        </w:rPr>
        <w:tab/>
      </w:r>
      <w:r w:rsidR="0088198C">
        <w:rPr>
          <w:rFonts w:ascii="Times New Roman" w:eastAsiaTheme="minorEastAsia" w:hAnsi="Times New Roman" w:cs="Times New Roman"/>
          <w:iCs/>
          <w:sz w:val="20"/>
          <w:szCs w:val="20"/>
        </w:rPr>
        <w:tab/>
      </w:r>
      <w:r w:rsidR="0088198C">
        <w:rPr>
          <w:rFonts w:ascii="Times New Roman" w:eastAsiaTheme="minorEastAsia" w:hAnsi="Times New Roman" w:cs="Times New Roman"/>
          <w:iCs/>
          <w:sz w:val="20"/>
          <w:szCs w:val="20"/>
        </w:rPr>
        <w:tab/>
        <w:t xml:space="preserve">     (1)</w:t>
      </w:r>
    </w:p>
    <w:p w14:paraId="06178F26" w14:textId="4475A246" w:rsidR="00453A0A" w:rsidRPr="00EF319B" w:rsidRDefault="00593A16" w:rsidP="008A3CF8">
      <w:pPr>
        <w:spacing w:line="276" w:lineRule="auto"/>
        <w:jc w:val="both"/>
        <w:rPr>
          <w:rFonts w:ascii="Times New Roman" w:hAnsi="Times New Roman" w:cs="Times New Roman"/>
          <w:sz w:val="20"/>
          <w:szCs w:val="20"/>
        </w:rPr>
      </w:pPr>
      <w:r w:rsidRPr="00EF319B">
        <w:rPr>
          <w:rFonts w:ascii="Times New Roman" w:hAnsi="Times New Roman" w:cs="Times New Roman"/>
          <w:sz w:val="20"/>
          <w:szCs w:val="20"/>
        </w:rPr>
        <w:lastRenderedPageBreak/>
        <w:t>Where t</w:t>
      </w:r>
      <w:r w:rsidRPr="00EF319B">
        <w:rPr>
          <w:rFonts w:ascii="Times New Roman" w:hAnsi="Times New Roman" w:cs="Times New Roman"/>
          <w:sz w:val="20"/>
          <w:szCs w:val="20"/>
          <w:vertAlign w:val="subscript"/>
        </w:rPr>
        <w:t>j</w:t>
      </w:r>
      <w:r w:rsidRPr="00EF319B">
        <w:rPr>
          <w:rFonts w:ascii="Times New Roman" w:hAnsi="Times New Roman" w:cs="Times New Roman"/>
          <w:sz w:val="20"/>
          <w:szCs w:val="20"/>
        </w:rPr>
        <w:t xml:space="preserve"> =leaf node j, and |t</w:t>
      </w:r>
      <w:r w:rsidRPr="00EF319B">
        <w:rPr>
          <w:rFonts w:ascii="Times New Roman" w:hAnsi="Times New Roman" w:cs="Times New Roman"/>
          <w:sz w:val="20"/>
          <w:szCs w:val="20"/>
          <w:vertAlign w:val="subscript"/>
        </w:rPr>
        <w:t>j</w:t>
      </w:r>
      <w:r w:rsidRPr="00EF319B">
        <w:rPr>
          <w:rFonts w:ascii="Times New Roman" w:hAnsi="Times New Roman" w:cs="Times New Roman"/>
          <w:sz w:val="20"/>
          <w:szCs w:val="20"/>
        </w:rPr>
        <w:t>| = total number of datapoints/samples in the leaf node j. The split criteria of the decision tree are based on the impurity measure with the least squares deviation</w:t>
      </w:r>
      <w:r w:rsidR="00105FA5" w:rsidRPr="00EF319B">
        <w:rPr>
          <w:rFonts w:ascii="Times New Roman" w:hAnsi="Times New Roman" w:cs="Times New Roman"/>
          <w:sz w:val="20"/>
          <w:szCs w:val="20"/>
        </w:rPr>
        <w:t xml:space="preserve"> </w:t>
      </w:r>
      <w:r w:rsidR="00105FA5" w:rsidRPr="00EF319B">
        <w:rPr>
          <w:rFonts w:ascii="Times New Roman" w:hAnsi="Times New Roman" w:cs="Times New Roman"/>
          <w:sz w:val="20"/>
          <w:szCs w:val="20"/>
        </w:rPr>
        <w:fldChar w:fldCharType="begin"/>
      </w:r>
      <w:r w:rsidR="00105FA5" w:rsidRPr="00EF319B">
        <w:rPr>
          <w:rFonts w:ascii="Times New Roman" w:hAnsi="Times New Roman" w:cs="Times New Roman"/>
          <w:sz w:val="20"/>
          <w:szCs w:val="20"/>
        </w:rPr>
        <w:instrText xml:space="preserve"> ADDIN ZOTERO_ITEM CSL_CITATION {"citationID":"BprrcU9v","properties":{"formattedCitation":"[36]","plainCitation":"[36]","noteIndex":0},"citationItems":[{"id":899,"uris":["http://zotero.org/users/14115032/items/92FRX865"],"itemData":{"id":899,"type":"article-journal","container-title":"Chemical Engineering Journal","DOI":"10.1016/j.cej.2021.130649","ISSN":"13858947","journalAbbreviation":"Chemical Engineering Journal","language":"en","page":"130649","source":"DOI.org (Crossref)","title":"Machine learning aided bio-oil production with high energy recovery and low nitrogen content from hydrothermal liquefaction of biomass with experiment verification","volume":"425","author":[{"family":"Li","given":"Jie"},{"family":"Zhang","given":"Weijin"},{"family":"Liu","given":"Tonggui"},{"family":"Yang","given":"Lihong"},{"family":"Li","given":"Hailong"},{"family":"Peng","given":"Haoyi"},{"family":"Jiang","given":"Shaojian"},{"family":"Wang","given":"Xiaonan"},{"family":"Leng","given":"Lijian"}],"issued":{"date-parts":[["2021",12]]}}}],"schema":"https://github.com/citation-style-language/schema/raw/master/csl-citation.json"} </w:instrText>
      </w:r>
      <w:r w:rsidR="00105FA5" w:rsidRPr="00EF319B">
        <w:rPr>
          <w:rFonts w:ascii="Times New Roman" w:hAnsi="Times New Roman" w:cs="Times New Roman"/>
          <w:sz w:val="20"/>
          <w:szCs w:val="20"/>
        </w:rPr>
        <w:fldChar w:fldCharType="separate"/>
      </w:r>
      <w:r w:rsidR="00105FA5" w:rsidRPr="00EF319B">
        <w:rPr>
          <w:rFonts w:ascii="Times New Roman" w:hAnsi="Times New Roman" w:cs="Times New Roman"/>
          <w:sz w:val="20"/>
        </w:rPr>
        <w:t>[36]</w:t>
      </w:r>
      <w:r w:rsidR="00105FA5" w:rsidRPr="00EF319B">
        <w:rPr>
          <w:rFonts w:ascii="Times New Roman" w:hAnsi="Times New Roman" w:cs="Times New Roman"/>
          <w:sz w:val="20"/>
          <w:szCs w:val="20"/>
        </w:rPr>
        <w:fldChar w:fldCharType="end"/>
      </w:r>
    </w:p>
    <w:p w14:paraId="141156E6" w14:textId="0EE44182" w:rsidR="00442307" w:rsidRPr="00EF319B" w:rsidRDefault="00442307" w:rsidP="001325FE">
      <w:pPr>
        <w:spacing w:line="276" w:lineRule="auto"/>
        <w:jc w:val="both"/>
        <w:rPr>
          <w:rFonts w:ascii="Times New Roman" w:eastAsiaTheme="minorEastAsia" w:hAnsi="Times New Roman" w:cs="Times New Roman"/>
          <w:iCs/>
          <w:sz w:val="20"/>
          <w:szCs w:val="20"/>
        </w:rPr>
      </w:pPr>
      <w:r w:rsidRPr="00EF319B">
        <w:rPr>
          <w:rFonts w:ascii="Times New Roman" w:hAnsi="Times New Roman" w:cs="Times New Roman"/>
          <w:iCs/>
          <w:sz w:val="20"/>
          <w:szCs w:val="20"/>
        </w:rPr>
        <w:t xml:space="preserve">                                            </w:t>
      </w:r>
      <m:oMath>
        <m:r>
          <m:rPr>
            <m:sty m:val="p"/>
          </m:rPr>
          <w:rPr>
            <w:rFonts w:ascii="Cambria Math" w:hAnsi="Cambria Math" w:cs="Times New Roman"/>
            <w:sz w:val="20"/>
            <w:szCs w:val="20"/>
          </w:rPr>
          <m:t>I(</m:t>
        </m:r>
        <m:sSub>
          <m:sSubPr>
            <m:ctrlPr>
              <w:rPr>
                <w:rFonts w:ascii="Cambria Math" w:hAnsi="Cambria Math" w:cs="Times New Roman"/>
                <w:iCs/>
                <w:sz w:val="20"/>
                <w:szCs w:val="20"/>
              </w:rPr>
            </m:ctrlPr>
          </m:sSubPr>
          <m:e>
            <m:r>
              <m:rPr>
                <m:sty m:val="p"/>
              </m:rPr>
              <w:rPr>
                <w:rFonts w:ascii="Cambria Math" w:hAnsi="Cambria Math" w:cs="Times New Roman"/>
                <w:sz w:val="20"/>
                <w:szCs w:val="20"/>
              </w:rPr>
              <m:t>t</m:t>
            </m:r>
          </m:e>
          <m:sub>
            <m:r>
              <m:rPr>
                <m:sty m:val="p"/>
              </m:rPr>
              <w:rPr>
                <w:rFonts w:ascii="Cambria Math" w:hAnsi="Cambria Math" w:cs="Times New Roman"/>
                <w:sz w:val="20"/>
                <w:szCs w:val="20"/>
              </w:rPr>
              <m:t>j</m:t>
            </m:r>
          </m:sub>
        </m:sSub>
        <m:r>
          <m:rPr>
            <m:sty m:val="p"/>
          </m:rPr>
          <w:rPr>
            <w:rFonts w:ascii="Cambria Math" w:hAnsi="Cambria Math" w:cs="Times New Roman"/>
            <w:sz w:val="20"/>
            <w:szCs w:val="20"/>
          </w:rPr>
          <m:t>)=</m:t>
        </m:r>
        <m:nary>
          <m:naryPr>
            <m:chr m:val="∑"/>
            <m:limLoc m:val="undOvr"/>
            <m:grow m:val="1"/>
            <m:supHide m:val="1"/>
            <m:ctrlPr>
              <w:rPr>
                <w:rFonts w:ascii="Cambria Math" w:hAnsi="Cambria Math" w:cs="Times New Roman"/>
                <w:iCs/>
                <w:sz w:val="20"/>
                <w:szCs w:val="20"/>
              </w:rPr>
            </m:ctrlPr>
          </m:naryPr>
          <m:sub>
            <m:r>
              <m:rPr>
                <m:sty m:val="p"/>
              </m:rPr>
              <w:rPr>
                <w:rFonts w:ascii="Cambria Math" w:hAnsi="Cambria Math" w:cs="Times New Roman"/>
                <w:sz w:val="20"/>
                <w:szCs w:val="20"/>
              </w:rPr>
              <m:t>i∈</m:t>
            </m:r>
            <m:sSub>
              <m:sSubPr>
                <m:ctrlPr>
                  <w:rPr>
                    <w:rFonts w:ascii="Cambria Math" w:hAnsi="Cambria Math" w:cs="Times New Roman"/>
                    <w:iCs/>
                    <w:sz w:val="20"/>
                    <w:szCs w:val="20"/>
                  </w:rPr>
                </m:ctrlPr>
              </m:sSubPr>
              <m:e>
                <m:r>
                  <m:rPr>
                    <m:sty m:val="p"/>
                  </m:rPr>
                  <w:rPr>
                    <w:rFonts w:ascii="Cambria Math" w:hAnsi="Cambria Math" w:cs="Times New Roman"/>
                    <w:sz w:val="20"/>
                    <w:szCs w:val="20"/>
                  </w:rPr>
                  <m:t>t</m:t>
                </m:r>
              </m:e>
              <m:sub>
                <m:r>
                  <m:rPr>
                    <m:sty m:val="p"/>
                  </m:rPr>
                  <w:rPr>
                    <w:rFonts w:ascii="Cambria Math" w:hAnsi="Cambria Math" w:cs="Times New Roman"/>
                    <w:sz w:val="20"/>
                    <w:szCs w:val="20"/>
                  </w:rPr>
                  <m:t>j</m:t>
                </m:r>
              </m:sub>
            </m:sSub>
          </m:sub>
          <m:sup/>
          <m:e>
            <m:sSup>
              <m:sSupPr>
                <m:ctrlPr>
                  <w:rPr>
                    <w:rFonts w:ascii="Cambria Math" w:hAnsi="Cambria Math" w:cs="Times New Roman"/>
                    <w:iCs/>
                    <w:sz w:val="20"/>
                    <w:szCs w:val="20"/>
                  </w:rPr>
                </m:ctrlPr>
              </m:sSupPr>
              <m:e>
                <m:d>
                  <m:dPr>
                    <m:ctrlPr>
                      <w:rPr>
                        <w:rFonts w:ascii="Cambria Math" w:hAnsi="Cambria Math" w:cs="Times New Roman"/>
                        <w:iCs/>
                        <w:sz w:val="20"/>
                        <w:szCs w:val="20"/>
                      </w:rPr>
                    </m:ctrlPr>
                  </m:dPr>
                  <m:e>
                    <m:sSub>
                      <m:sSubPr>
                        <m:ctrlPr>
                          <w:rPr>
                            <w:rFonts w:ascii="Cambria Math" w:hAnsi="Cambria Math" w:cs="Times New Roman"/>
                            <w:iCs/>
                            <w:sz w:val="20"/>
                            <w:szCs w:val="20"/>
                          </w:rPr>
                        </m:ctrlPr>
                      </m:sSubPr>
                      <m:e>
                        <m:r>
                          <m:rPr>
                            <m:sty m:val="p"/>
                          </m:rPr>
                          <w:rPr>
                            <w:rFonts w:ascii="Cambria Math" w:hAnsi="Cambria Math" w:cs="Times New Roman"/>
                            <w:sz w:val="20"/>
                            <w:szCs w:val="20"/>
                          </w:rPr>
                          <m:t>y</m:t>
                        </m:r>
                      </m:e>
                      <m:sub>
                        <m:r>
                          <m:rPr>
                            <m:sty m:val="p"/>
                          </m:rPr>
                          <w:rPr>
                            <w:rFonts w:ascii="Cambria Math" w:hAnsi="Cambria Math" w:cs="Times New Roman"/>
                            <w:sz w:val="20"/>
                            <w:szCs w:val="20"/>
                          </w:rPr>
                          <m:t>i</m:t>
                        </m:r>
                      </m:sub>
                    </m:sSub>
                    <m:r>
                      <m:rPr>
                        <m:sty m:val="p"/>
                      </m:rPr>
                      <w:rPr>
                        <w:rFonts w:ascii="Cambria Math" w:hAnsi="Cambria Math" w:cs="Times New Roman"/>
                        <w:sz w:val="20"/>
                        <w:szCs w:val="20"/>
                      </w:rPr>
                      <m:t>-</m:t>
                    </m:r>
                    <m:sSub>
                      <m:sSubPr>
                        <m:ctrlPr>
                          <w:rPr>
                            <w:rFonts w:ascii="Cambria Math" w:hAnsi="Cambria Math" w:cs="Times New Roman"/>
                            <w:iCs/>
                            <w:sz w:val="20"/>
                            <w:szCs w:val="20"/>
                          </w:rPr>
                        </m:ctrlPr>
                      </m:sSubPr>
                      <m:e>
                        <m:acc>
                          <m:accPr>
                            <m:ctrlPr>
                              <w:rPr>
                                <w:rFonts w:ascii="Cambria Math" w:hAnsi="Cambria Math" w:cs="Times New Roman"/>
                                <w:iCs/>
                                <w:sz w:val="20"/>
                                <w:szCs w:val="20"/>
                              </w:rPr>
                            </m:ctrlPr>
                          </m:accPr>
                          <m:e>
                            <m:r>
                              <m:rPr>
                                <m:sty m:val="p"/>
                              </m:rPr>
                              <w:rPr>
                                <w:rFonts w:ascii="Cambria Math" w:hAnsi="Cambria Math" w:cs="Times New Roman"/>
                                <w:sz w:val="20"/>
                                <w:szCs w:val="20"/>
                              </w:rPr>
                              <m:t>y</m:t>
                            </m:r>
                          </m:e>
                        </m:acc>
                      </m:e>
                      <m:sub>
                        <m:r>
                          <m:rPr>
                            <m:sty m:val="p"/>
                          </m:rPr>
                          <w:rPr>
                            <w:rFonts w:ascii="Cambria Math" w:hAnsi="Cambria Math" w:cs="Times New Roman"/>
                            <w:sz w:val="20"/>
                            <w:szCs w:val="20"/>
                          </w:rPr>
                          <m:t>j</m:t>
                        </m:r>
                      </m:sub>
                    </m:sSub>
                  </m:e>
                </m:d>
              </m:e>
              <m:sup>
                <m:r>
                  <m:rPr>
                    <m:sty m:val="p"/>
                  </m:rPr>
                  <w:rPr>
                    <w:rFonts w:ascii="Cambria Math" w:hAnsi="Cambria Math" w:cs="Times New Roman"/>
                    <w:sz w:val="20"/>
                    <w:szCs w:val="20"/>
                  </w:rPr>
                  <m:t>2</m:t>
                </m:r>
              </m:sup>
            </m:sSup>
          </m:e>
        </m:nary>
      </m:oMath>
      <w:r w:rsidR="0088198C">
        <w:rPr>
          <w:rFonts w:ascii="Times New Roman" w:eastAsiaTheme="minorEastAsia" w:hAnsi="Times New Roman" w:cs="Times New Roman"/>
          <w:iCs/>
          <w:sz w:val="20"/>
          <w:szCs w:val="20"/>
        </w:rPr>
        <w:tab/>
      </w:r>
      <w:r w:rsidR="0088198C">
        <w:rPr>
          <w:rFonts w:ascii="Times New Roman" w:eastAsiaTheme="minorEastAsia" w:hAnsi="Times New Roman" w:cs="Times New Roman"/>
          <w:iCs/>
          <w:sz w:val="20"/>
          <w:szCs w:val="20"/>
        </w:rPr>
        <w:tab/>
      </w:r>
      <w:r w:rsidR="0088198C">
        <w:rPr>
          <w:rFonts w:ascii="Times New Roman" w:eastAsiaTheme="minorEastAsia" w:hAnsi="Times New Roman" w:cs="Times New Roman"/>
          <w:iCs/>
          <w:sz w:val="20"/>
          <w:szCs w:val="20"/>
        </w:rPr>
        <w:tab/>
      </w:r>
      <w:r w:rsidR="0088198C">
        <w:rPr>
          <w:rFonts w:ascii="Times New Roman" w:eastAsiaTheme="minorEastAsia" w:hAnsi="Times New Roman" w:cs="Times New Roman"/>
          <w:iCs/>
          <w:sz w:val="20"/>
          <w:szCs w:val="20"/>
        </w:rPr>
        <w:tab/>
      </w:r>
      <w:r w:rsidR="0088198C">
        <w:rPr>
          <w:rFonts w:ascii="Times New Roman" w:eastAsiaTheme="minorEastAsia" w:hAnsi="Times New Roman" w:cs="Times New Roman"/>
          <w:iCs/>
          <w:sz w:val="20"/>
          <w:szCs w:val="20"/>
        </w:rPr>
        <w:tab/>
      </w:r>
      <w:r w:rsidR="0088198C">
        <w:rPr>
          <w:rFonts w:ascii="Times New Roman" w:eastAsiaTheme="minorEastAsia" w:hAnsi="Times New Roman" w:cs="Times New Roman"/>
          <w:iCs/>
          <w:sz w:val="20"/>
          <w:szCs w:val="20"/>
        </w:rPr>
        <w:tab/>
      </w:r>
      <w:r w:rsidR="0088198C">
        <w:rPr>
          <w:rFonts w:ascii="Times New Roman" w:eastAsiaTheme="minorEastAsia" w:hAnsi="Times New Roman" w:cs="Times New Roman"/>
          <w:iCs/>
          <w:sz w:val="20"/>
          <w:szCs w:val="20"/>
        </w:rPr>
        <w:tab/>
        <w:t xml:space="preserve">     (2)</w:t>
      </w:r>
    </w:p>
    <w:p w14:paraId="3814E13B" w14:textId="6AE833AB" w:rsidR="00442307" w:rsidRPr="00EF319B" w:rsidRDefault="00866A26" w:rsidP="0022023A">
      <w:pPr>
        <w:spacing w:line="360" w:lineRule="auto"/>
        <w:jc w:val="both"/>
        <w:rPr>
          <w:rFonts w:ascii="Times New Roman" w:hAnsi="Times New Roman" w:cs="Times New Roman"/>
          <w:sz w:val="20"/>
          <w:szCs w:val="20"/>
        </w:rPr>
      </w:pPr>
      <w:r w:rsidRPr="00EF319B">
        <w:rPr>
          <w:rFonts w:ascii="Times New Roman" w:hAnsi="Times New Roman" w:cs="Times New Roman"/>
          <w:sz w:val="20"/>
          <w:szCs w:val="20"/>
        </w:rPr>
        <w:t>Where I(t</w:t>
      </w:r>
      <w:r w:rsidRPr="00EF319B">
        <w:rPr>
          <w:rFonts w:ascii="Times New Roman" w:hAnsi="Times New Roman" w:cs="Times New Roman"/>
          <w:sz w:val="20"/>
          <w:szCs w:val="20"/>
          <w:vertAlign w:val="subscript"/>
        </w:rPr>
        <w:t>j</w:t>
      </w:r>
      <w:r w:rsidRPr="00EF319B">
        <w:rPr>
          <w:rFonts w:ascii="Times New Roman" w:hAnsi="Times New Roman" w:cs="Times New Roman"/>
          <w:sz w:val="20"/>
          <w:szCs w:val="20"/>
        </w:rPr>
        <w:t>)=the impurity measure at node j. Using the least square deviation, the splitting criteria are calculated as follows:</w:t>
      </w:r>
    </w:p>
    <w:p w14:paraId="157F2752" w14:textId="5006A056" w:rsidR="00342124" w:rsidRPr="00EF319B" w:rsidRDefault="00342124" w:rsidP="00342124">
      <w:pPr>
        <w:spacing w:line="276" w:lineRule="auto"/>
        <w:ind w:left="360"/>
        <w:jc w:val="both"/>
        <w:rPr>
          <w:rFonts w:ascii="Times New Roman" w:hAnsi="Times New Roman" w:cs="Times New Roman"/>
          <w:iCs/>
          <w:sz w:val="20"/>
          <w:szCs w:val="20"/>
        </w:rPr>
      </w:pPr>
      <w:r w:rsidRPr="00EF319B">
        <w:rPr>
          <w:rFonts w:ascii="Times New Roman" w:hAnsi="Times New Roman" w:cs="Times New Roman"/>
          <w:iCs/>
          <w:sz w:val="20"/>
          <w:szCs w:val="20"/>
        </w:rPr>
        <w:t xml:space="preserve">                                            </w:t>
      </w:r>
      <m:oMath>
        <m:r>
          <m:rPr>
            <m:sty m:val="p"/>
          </m:rPr>
          <w:rPr>
            <w:rFonts w:ascii="Cambria Math" w:hAnsi="Cambria Math" w:cs="Times New Roman"/>
            <w:sz w:val="20"/>
            <w:szCs w:val="20"/>
          </w:rPr>
          <m:t>ΔI=I</m:t>
        </m:r>
        <m:d>
          <m:dPr>
            <m:ctrlPr>
              <w:rPr>
                <w:rFonts w:ascii="Cambria Math" w:hAnsi="Cambria Math" w:cs="Times New Roman"/>
                <w:iCs/>
                <w:sz w:val="20"/>
                <w:szCs w:val="20"/>
              </w:rPr>
            </m:ctrlPr>
          </m:dPr>
          <m:e>
            <m:sSub>
              <m:sSubPr>
                <m:ctrlPr>
                  <w:rPr>
                    <w:rFonts w:ascii="Cambria Math" w:hAnsi="Cambria Math" w:cs="Times New Roman"/>
                    <w:iCs/>
                    <w:sz w:val="20"/>
                    <w:szCs w:val="20"/>
                  </w:rPr>
                </m:ctrlPr>
              </m:sSubPr>
              <m:e>
                <m:r>
                  <m:rPr>
                    <m:sty m:val="p"/>
                  </m:rPr>
                  <w:rPr>
                    <w:rFonts w:ascii="Cambria Math" w:hAnsi="Cambria Math" w:cs="Times New Roman"/>
                    <w:sz w:val="20"/>
                    <w:szCs w:val="20"/>
                  </w:rPr>
                  <m:t>t</m:t>
                </m:r>
              </m:e>
              <m:sub>
                <m:r>
                  <m:rPr>
                    <m:sty m:val="p"/>
                  </m:rPr>
                  <w:rPr>
                    <w:rFonts w:ascii="Cambria Math" w:hAnsi="Cambria Math" w:cs="Times New Roman"/>
                    <w:sz w:val="20"/>
                    <w:szCs w:val="20"/>
                  </w:rPr>
                  <m:t>p</m:t>
                </m:r>
              </m:sub>
            </m:sSub>
          </m:e>
        </m:d>
        <m:r>
          <m:rPr>
            <m:sty m:val="p"/>
          </m:rPr>
          <w:rPr>
            <w:rFonts w:ascii="Cambria Math" w:hAnsi="Cambria Math" w:cs="Times New Roman"/>
            <w:sz w:val="20"/>
            <w:szCs w:val="20"/>
          </w:rPr>
          <m:t>-</m:t>
        </m:r>
        <m:sSub>
          <m:sSubPr>
            <m:ctrlPr>
              <w:rPr>
                <w:rFonts w:ascii="Cambria Math" w:hAnsi="Cambria Math" w:cs="Times New Roman"/>
                <w:iCs/>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I</m:t>
            </m:r>
          </m:sub>
        </m:sSub>
        <m:r>
          <m:rPr>
            <m:sty m:val="p"/>
          </m:rPr>
          <w:rPr>
            <w:rFonts w:ascii="Cambria Math" w:hAnsi="Cambria Math" w:cs="Times New Roman"/>
            <w:sz w:val="20"/>
            <w:szCs w:val="20"/>
          </w:rPr>
          <m:t>I</m:t>
        </m:r>
        <m:d>
          <m:dPr>
            <m:ctrlPr>
              <w:rPr>
                <w:rFonts w:ascii="Cambria Math" w:hAnsi="Cambria Math" w:cs="Times New Roman"/>
                <w:iCs/>
                <w:sz w:val="20"/>
                <w:szCs w:val="20"/>
              </w:rPr>
            </m:ctrlPr>
          </m:dPr>
          <m:e>
            <m:sSub>
              <m:sSubPr>
                <m:ctrlPr>
                  <w:rPr>
                    <w:rFonts w:ascii="Cambria Math" w:hAnsi="Cambria Math" w:cs="Times New Roman"/>
                    <w:iCs/>
                    <w:sz w:val="20"/>
                    <w:szCs w:val="20"/>
                  </w:rPr>
                </m:ctrlPr>
              </m:sSubPr>
              <m:e>
                <m:r>
                  <m:rPr>
                    <m:sty m:val="p"/>
                  </m:rPr>
                  <w:rPr>
                    <w:rFonts w:ascii="Cambria Math" w:hAnsi="Cambria Math" w:cs="Times New Roman"/>
                    <w:sz w:val="20"/>
                    <w:szCs w:val="20"/>
                  </w:rPr>
                  <m:t>t</m:t>
                </m:r>
              </m:e>
              <m:sub>
                <m:r>
                  <m:rPr>
                    <m:sty m:val="p"/>
                  </m:rPr>
                  <w:rPr>
                    <w:rFonts w:ascii="Cambria Math" w:hAnsi="Cambria Math" w:cs="Times New Roman"/>
                    <w:sz w:val="20"/>
                    <w:szCs w:val="20"/>
                  </w:rPr>
                  <m:t>I</m:t>
                </m:r>
              </m:sub>
            </m:sSub>
          </m:e>
        </m:d>
        <m:r>
          <m:rPr>
            <m:sty m:val="p"/>
          </m:rPr>
          <w:rPr>
            <w:rFonts w:ascii="Cambria Math" w:hAnsi="Cambria Math" w:cs="Times New Roman"/>
            <w:sz w:val="20"/>
            <w:szCs w:val="20"/>
          </w:rPr>
          <m:t>-</m:t>
        </m:r>
        <m:sSub>
          <m:sSubPr>
            <m:ctrlPr>
              <w:rPr>
                <w:rFonts w:ascii="Cambria Math" w:hAnsi="Cambria Math" w:cs="Times New Roman"/>
                <w:iCs/>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r</m:t>
            </m:r>
          </m:sub>
        </m:sSub>
        <m:r>
          <m:rPr>
            <m:sty m:val="p"/>
          </m:rPr>
          <w:rPr>
            <w:rFonts w:ascii="Cambria Math" w:hAnsi="Cambria Math" w:cs="Times New Roman"/>
            <w:sz w:val="20"/>
            <w:szCs w:val="20"/>
          </w:rPr>
          <m:t>I</m:t>
        </m:r>
        <m:d>
          <m:dPr>
            <m:ctrlPr>
              <w:rPr>
                <w:rFonts w:ascii="Cambria Math" w:hAnsi="Cambria Math" w:cs="Times New Roman"/>
                <w:iCs/>
                <w:sz w:val="20"/>
                <w:szCs w:val="20"/>
              </w:rPr>
            </m:ctrlPr>
          </m:dPr>
          <m:e>
            <m:sSub>
              <m:sSubPr>
                <m:ctrlPr>
                  <w:rPr>
                    <w:rFonts w:ascii="Cambria Math" w:hAnsi="Cambria Math" w:cs="Times New Roman"/>
                    <w:iCs/>
                    <w:sz w:val="20"/>
                    <w:szCs w:val="20"/>
                  </w:rPr>
                </m:ctrlPr>
              </m:sSubPr>
              <m:e>
                <m:r>
                  <m:rPr>
                    <m:sty m:val="p"/>
                  </m:rPr>
                  <w:rPr>
                    <w:rFonts w:ascii="Cambria Math" w:hAnsi="Cambria Math" w:cs="Times New Roman"/>
                    <w:sz w:val="20"/>
                    <w:szCs w:val="20"/>
                  </w:rPr>
                  <m:t>t</m:t>
                </m:r>
              </m:e>
              <m:sub>
                <m:r>
                  <m:rPr>
                    <m:sty m:val="p"/>
                  </m:rPr>
                  <w:rPr>
                    <w:rFonts w:ascii="Cambria Math" w:hAnsi="Cambria Math" w:cs="Times New Roman"/>
                    <w:sz w:val="20"/>
                    <w:szCs w:val="20"/>
                  </w:rPr>
                  <m:t>r</m:t>
                </m:r>
              </m:sub>
            </m:sSub>
          </m:e>
        </m:d>
      </m:oMath>
      <w:r w:rsidRPr="00EF319B">
        <w:rPr>
          <w:rFonts w:ascii="Times New Roman" w:hAnsi="Times New Roman" w:cs="Times New Roman"/>
          <w:iCs/>
          <w:sz w:val="20"/>
          <w:szCs w:val="20"/>
        </w:rPr>
        <w:t xml:space="preserve"> </w:t>
      </w:r>
      <w:r w:rsidR="0088198C">
        <w:rPr>
          <w:rFonts w:ascii="Times New Roman" w:hAnsi="Times New Roman" w:cs="Times New Roman"/>
          <w:iCs/>
          <w:sz w:val="20"/>
          <w:szCs w:val="20"/>
        </w:rPr>
        <w:tab/>
      </w:r>
      <w:r w:rsidR="0088198C">
        <w:rPr>
          <w:rFonts w:ascii="Times New Roman" w:hAnsi="Times New Roman" w:cs="Times New Roman"/>
          <w:iCs/>
          <w:sz w:val="20"/>
          <w:szCs w:val="20"/>
        </w:rPr>
        <w:tab/>
      </w:r>
      <w:r w:rsidR="0088198C">
        <w:rPr>
          <w:rFonts w:ascii="Times New Roman" w:hAnsi="Times New Roman" w:cs="Times New Roman"/>
          <w:iCs/>
          <w:sz w:val="20"/>
          <w:szCs w:val="20"/>
        </w:rPr>
        <w:tab/>
      </w:r>
      <w:r w:rsidR="0088198C">
        <w:rPr>
          <w:rFonts w:ascii="Times New Roman" w:hAnsi="Times New Roman" w:cs="Times New Roman"/>
          <w:iCs/>
          <w:sz w:val="20"/>
          <w:szCs w:val="20"/>
        </w:rPr>
        <w:tab/>
      </w:r>
      <w:r w:rsidR="0088198C">
        <w:rPr>
          <w:rFonts w:ascii="Times New Roman" w:hAnsi="Times New Roman" w:cs="Times New Roman"/>
          <w:iCs/>
          <w:sz w:val="20"/>
          <w:szCs w:val="20"/>
        </w:rPr>
        <w:tab/>
        <w:t xml:space="preserve">     (3)</w:t>
      </w:r>
    </w:p>
    <w:p w14:paraId="40AF02B1" w14:textId="0E26D196" w:rsidR="00866A26" w:rsidRPr="00EF319B" w:rsidRDefault="00F45F17" w:rsidP="00DB75B8">
      <w:pPr>
        <w:spacing w:line="276" w:lineRule="auto"/>
        <w:jc w:val="both"/>
        <w:rPr>
          <w:rFonts w:ascii="Times New Roman" w:hAnsi="Times New Roman" w:cs="Times New Roman"/>
          <w:sz w:val="20"/>
          <w:szCs w:val="20"/>
        </w:rPr>
      </w:pPr>
      <w:r w:rsidRPr="00EF319B">
        <w:rPr>
          <w:rFonts w:ascii="Times New Roman" w:hAnsi="Times New Roman" w:cs="Times New Roman"/>
          <w:sz w:val="20"/>
          <w:szCs w:val="20"/>
        </w:rPr>
        <w:t>Where t</w:t>
      </w:r>
      <w:r w:rsidRPr="00EF319B">
        <w:rPr>
          <w:rFonts w:ascii="Times New Roman" w:hAnsi="Times New Roman" w:cs="Times New Roman"/>
          <w:sz w:val="20"/>
          <w:szCs w:val="20"/>
          <w:vertAlign w:val="subscript"/>
        </w:rPr>
        <w:t>l</w:t>
      </w:r>
      <w:r w:rsidRPr="00EF319B">
        <w:rPr>
          <w:rFonts w:ascii="Times New Roman" w:hAnsi="Times New Roman" w:cs="Times New Roman"/>
          <w:sz w:val="20"/>
          <w:szCs w:val="20"/>
        </w:rPr>
        <w:t xml:space="preserve"> and t</w:t>
      </w:r>
      <w:r w:rsidRPr="00EF319B">
        <w:rPr>
          <w:rFonts w:ascii="Times New Roman" w:hAnsi="Times New Roman" w:cs="Times New Roman"/>
          <w:sz w:val="20"/>
          <w:szCs w:val="20"/>
          <w:vertAlign w:val="subscript"/>
        </w:rPr>
        <w:t>r</w:t>
      </w:r>
      <w:r w:rsidRPr="00EF319B">
        <w:rPr>
          <w:rFonts w:ascii="Times New Roman" w:hAnsi="Times New Roman" w:cs="Times New Roman"/>
          <w:sz w:val="20"/>
          <w:szCs w:val="20"/>
        </w:rPr>
        <w:t xml:space="preserve"> =</w:t>
      </w:r>
      <w:r w:rsidR="006A0A95" w:rsidRPr="00EF319B">
        <w:rPr>
          <w:rFonts w:ascii="Times New Roman" w:hAnsi="Times New Roman" w:cs="Times New Roman"/>
          <w:sz w:val="20"/>
          <w:szCs w:val="20"/>
        </w:rPr>
        <w:t xml:space="preserve"> </w:t>
      </w:r>
      <w:r w:rsidRPr="00EF319B">
        <w:rPr>
          <w:rFonts w:ascii="Times New Roman" w:hAnsi="Times New Roman" w:cs="Times New Roman"/>
          <w:sz w:val="20"/>
          <w:szCs w:val="20"/>
        </w:rPr>
        <w:t>two child nodes of t</w:t>
      </w:r>
      <w:r w:rsidRPr="00EF319B">
        <w:rPr>
          <w:rFonts w:ascii="Times New Roman" w:hAnsi="Times New Roman" w:cs="Times New Roman"/>
          <w:sz w:val="20"/>
          <w:szCs w:val="20"/>
          <w:vertAlign w:val="subscript"/>
        </w:rPr>
        <w:t>p</w:t>
      </w:r>
      <w:r w:rsidRPr="00EF319B">
        <w:rPr>
          <w:rFonts w:ascii="Times New Roman" w:hAnsi="Times New Roman" w:cs="Times New Roman"/>
          <w:sz w:val="20"/>
          <w:szCs w:val="20"/>
        </w:rPr>
        <w:t>= parent node. The left child node assigned with proportions of data is represented by P</w:t>
      </w:r>
      <w:r w:rsidRPr="00EF319B">
        <w:rPr>
          <w:rFonts w:ascii="Times New Roman" w:hAnsi="Times New Roman" w:cs="Times New Roman"/>
          <w:sz w:val="20"/>
          <w:szCs w:val="20"/>
          <w:vertAlign w:val="subscript"/>
        </w:rPr>
        <w:t>I</w:t>
      </w:r>
      <w:r w:rsidRPr="00EF319B">
        <w:rPr>
          <w:rFonts w:ascii="Times New Roman" w:hAnsi="Times New Roman" w:cs="Times New Roman"/>
          <w:sz w:val="20"/>
          <w:szCs w:val="20"/>
        </w:rPr>
        <w:t xml:space="preserve">, and </w:t>
      </w:r>
      <w:r w:rsidR="00165F28" w:rsidRPr="00EF319B">
        <w:rPr>
          <w:rFonts w:ascii="Times New Roman" w:hAnsi="Times New Roman" w:cs="Times New Roman"/>
          <w:sz w:val="20"/>
          <w:szCs w:val="20"/>
        </w:rPr>
        <w:t>the right child node</w:t>
      </w:r>
      <w:r w:rsidRPr="00EF319B">
        <w:rPr>
          <w:rFonts w:ascii="Times New Roman" w:hAnsi="Times New Roman" w:cs="Times New Roman"/>
          <w:sz w:val="20"/>
          <w:szCs w:val="20"/>
        </w:rPr>
        <w:t xml:space="preserve"> assigned with proportions of data is represented by P</w:t>
      </w:r>
      <w:r w:rsidRPr="00EF319B">
        <w:rPr>
          <w:rFonts w:ascii="Times New Roman" w:hAnsi="Times New Roman" w:cs="Times New Roman"/>
          <w:sz w:val="20"/>
          <w:szCs w:val="20"/>
          <w:vertAlign w:val="subscript"/>
        </w:rPr>
        <w:t>r</w:t>
      </w:r>
      <w:r w:rsidRPr="00EF319B">
        <w:rPr>
          <w:rFonts w:ascii="Times New Roman" w:hAnsi="Times New Roman" w:cs="Times New Roman"/>
          <w:sz w:val="20"/>
          <w:szCs w:val="20"/>
        </w:rPr>
        <w:t>.</w:t>
      </w:r>
    </w:p>
    <w:p w14:paraId="5F87505D" w14:textId="77777777" w:rsidR="0022023A" w:rsidRPr="00EF319B" w:rsidRDefault="0022023A" w:rsidP="0022023A">
      <w:pPr>
        <w:spacing w:line="360" w:lineRule="auto"/>
        <w:jc w:val="both"/>
        <w:rPr>
          <w:rFonts w:ascii="Times New Roman" w:hAnsi="Times New Roman" w:cs="Times New Roman"/>
          <w:b/>
          <w:bCs/>
          <w:sz w:val="20"/>
          <w:szCs w:val="20"/>
        </w:rPr>
      </w:pPr>
      <w:r w:rsidRPr="00EF319B">
        <w:rPr>
          <w:rFonts w:ascii="Times New Roman" w:hAnsi="Times New Roman" w:cs="Times New Roman"/>
          <w:b/>
          <w:bCs/>
          <w:sz w:val="20"/>
          <w:szCs w:val="20"/>
        </w:rPr>
        <w:t>2.3.2 Ensemble Learning Tree (ELT)</w:t>
      </w:r>
    </w:p>
    <w:p w14:paraId="6522D9C6" w14:textId="36127C8A" w:rsidR="0022023A" w:rsidRPr="00EF319B" w:rsidRDefault="0022023A" w:rsidP="0022023A">
      <w:pPr>
        <w:spacing w:line="360" w:lineRule="auto"/>
        <w:jc w:val="both"/>
        <w:rPr>
          <w:rFonts w:ascii="Times New Roman" w:hAnsi="Times New Roman" w:cs="Times New Roman"/>
          <w:sz w:val="20"/>
          <w:szCs w:val="20"/>
        </w:rPr>
      </w:pPr>
      <w:r w:rsidRPr="00EF319B">
        <w:rPr>
          <w:rFonts w:ascii="Times New Roman" w:hAnsi="Times New Roman" w:cs="Times New Roman"/>
          <w:sz w:val="20"/>
          <w:szCs w:val="20"/>
        </w:rPr>
        <w:t xml:space="preserve">The Ensemble Learning Tree approach enhances predictive robustness by aggregating multiple weak learners to form a stronger composite model </w:t>
      </w:r>
      <w:r w:rsidRPr="00EF319B">
        <w:rPr>
          <w:rFonts w:ascii="Times New Roman" w:hAnsi="Times New Roman" w:cs="Times New Roman"/>
          <w:sz w:val="20"/>
          <w:szCs w:val="20"/>
        </w:rPr>
        <w:fldChar w:fldCharType="begin"/>
      </w:r>
      <w:r w:rsidR="00105FA5" w:rsidRPr="00EF319B">
        <w:rPr>
          <w:rFonts w:ascii="Times New Roman" w:hAnsi="Times New Roman" w:cs="Times New Roman"/>
          <w:sz w:val="20"/>
          <w:szCs w:val="20"/>
        </w:rPr>
        <w:instrText xml:space="preserve"> ADDIN ZOTERO_ITEM CSL_CITATION {"citationID":"eKJvqGH8","properties":{"formattedCitation":"[37]","plainCitation":"[37]","noteIndex":0},"citationItems":[{"id":876,"uris":["http://zotero.org/users/14115032/items/RG4RWAFQ"],"itemData":{"id":876,"type":"article-journal","abstract":"Modern cybersecurity threats continue to evolve in both complexity and prevalence, demanding advanced solutions for intrusion detection. Traditional AI-based detection systems face significant challenges in model selection, as performance varies considerably across different network environments and attack scenarios. To overcome these limitations, we propose a comprehensive ensemble learning approach that systematically integrates feature selection, model optimization, and rigorous evaluation components. Our framework evaluates fourteen distinct machine learning approaches, ranging from individual classifiers to sophisticated ensemble methods including bagging, boosting, and hybrid stacking/blending architectures. These techniques are applied to multiple base algorithms such as neural networks and tree-based models. Extensive testing was conducted on two complementary benchmark datasets (RoEduNet-SIMARGL2021 and CICIDS-2017) to assess detection capabilities across varied threat landscapes. Our experimental results revealed several key findings. Ensemble techniques universally surpass standalone models in detection accuracy, with random forest achieving the best performance on RoEduNet-SIMARGL2021, while the blending and bagging methods approach yielded perfect scores (F1 &gt; 0.996) on CICIDS-2017. Feature selection via information gain demonstrated particular value, reducing model training times by 94% while maintaining detection accuracy. Among ensemble methods, XGBoost showed exceptional computational efficiency, whereas stacking and blending architectures delivered maximum accuracy at the expense of greater resource requirements. This research provides practical guidance for security professionals in model selection based on specific operational constraints and threat profiles. To support community advancement, we have made our complete framework publicly available, facilitating reproducibility and future innovation in intrusion detection systems.","container-title":"Applied Sciences","DOI":"10.3390/app151910579","ISSN":"2076-3417","issue":"19","journalAbbreviation":"Applied Sciences","language":"en","page":"10579","source":"DOI.org (Crossref)","title":"Ensemble-IDS: An Ensemble Learning Framework for Enhancing AI-Based Network Intrusion Detection Tasks","title-short":"Ensemble-IDS","volume":"15","author":[{"family":"Bibers","given":"Ismail"},{"family":"Arreche","given":"Osvaldo"},{"family":"Alayed","given":"Walaa"},{"family":"Abdallah","given":"Mustafa"}],"issued":{"date-parts":[["2025",9,30]]}}}],"schema":"https://github.com/citation-style-language/schema/raw/master/csl-citation.json"} </w:instrText>
      </w:r>
      <w:r w:rsidRPr="00EF319B">
        <w:rPr>
          <w:rFonts w:ascii="Times New Roman" w:hAnsi="Times New Roman" w:cs="Times New Roman"/>
          <w:sz w:val="20"/>
          <w:szCs w:val="20"/>
        </w:rPr>
        <w:fldChar w:fldCharType="separate"/>
      </w:r>
      <w:r w:rsidR="00105FA5" w:rsidRPr="00EF319B">
        <w:rPr>
          <w:rFonts w:ascii="Times New Roman" w:hAnsi="Times New Roman" w:cs="Times New Roman"/>
          <w:sz w:val="20"/>
        </w:rPr>
        <w:t>[37]</w:t>
      </w:r>
      <w:r w:rsidRPr="00EF319B">
        <w:rPr>
          <w:rFonts w:ascii="Times New Roman" w:hAnsi="Times New Roman" w:cs="Times New Roman"/>
          <w:sz w:val="20"/>
          <w:szCs w:val="20"/>
        </w:rPr>
        <w:fldChar w:fldCharType="end"/>
      </w:r>
      <w:r w:rsidRPr="00EF319B">
        <w:rPr>
          <w:rFonts w:ascii="Times New Roman" w:hAnsi="Times New Roman" w:cs="Times New Roman"/>
          <w:sz w:val="20"/>
          <w:szCs w:val="20"/>
        </w:rPr>
        <w:t>. This ensemble strategy reduces overfitting, mitigates noise sensitivity, and improves overall model generalization</w:t>
      </w:r>
      <w:r w:rsidR="00165F28" w:rsidRPr="00EF319B">
        <w:rPr>
          <w:rFonts w:ascii="Times New Roman" w:hAnsi="Times New Roman" w:cs="Times New Roman"/>
          <w:sz w:val="20"/>
          <w:szCs w:val="20"/>
        </w:rPr>
        <w:t>,</w:t>
      </w:r>
      <w:r w:rsidRPr="00EF319B">
        <w:rPr>
          <w:rFonts w:ascii="Times New Roman" w:hAnsi="Times New Roman" w:cs="Times New Roman"/>
          <w:sz w:val="20"/>
          <w:szCs w:val="20"/>
        </w:rPr>
        <w:t xml:space="preserve"> an essential feature when dealing with complex, nonlinear adsorption datasets </w:t>
      </w:r>
      <w:r w:rsidRPr="00EF319B">
        <w:rPr>
          <w:rFonts w:ascii="Times New Roman" w:hAnsi="Times New Roman" w:cs="Times New Roman"/>
          <w:sz w:val="20"/>
          <w:szCs w:val="20"/>
        </w:rPr>
        <w:fldChar w:fldCharType="begin"/>
      </w:r>
      <w:r w:rsidR="00105FA5" w:rsidRPr="00EF319B">
        <w:rPr>
          <w:rFonts w:ascii="Times New Roman" w:hAnsi="Times New Roman" w:cs="Times New Roman"/>
          <w:sz w:val="20"/>
          <w:szCs w:val="20"/>
        </w:rPr>
        <w:instrText xml:space="preserve"> ADDIN ZOTERO_ITEM CSL_CITATION {"citationID":"o7YEtmjf","properties":{"formattedCitation":"[38]","plainCitation":"[38]","noteIndex":0},"citationItems":[{"id":877,"uris":["http://zotero.org/users/14115032/items/MHRF2SZZ"],"itemData":{"id":877,"type":"article-journal","container-title":"Next Energy","DOI":"10.1016/j.nxener.2025.100431","ISSN":"2949821X","journalAbbreviation":"Next Energy","language":"en","page":"100431","source":"DOI.org (Crossref)","title":"Smart screening of hydrogen storage capacities in MOFs using a tailored machine learning","volume":"9","author":[{"family":"Jha","given":"Deepu Kumar"}],"issued":{"date-parts":[["2025",10]]}}}],"schema":"https://github.com/citation-style-language/schema/raw/master/csl-citation.json"} </w:instrText>
      </w:r>
      <w:r w:rsidRPr="00EF319B">
        <w:rPr>
          <w:rFonts w:ascii="Times New Roman" w:hAnsi="Times New Roman" w:cs="Times New Roman"/>
          <w:sz w:val="20"/>
          <w:szCs w:val="20"/>
        </w:rPr>
        <w:fldChar w:fldCharType="separate"/>
      </w:r>
      <w:r w:rsidR="00105FA5" w:rsidRPr="00EF319B">
        <w:rPr>
          <w:rFonts w:ascii="Times New Roman" w:hAnsi="Times New Roman" w:cs="Times New Roman"/>
          <w:sz w:val="20"/>
        </w:rPr>
        <w:t>[38]</w:t>
      </w:r>
      <w:r w:rsidRPr="00EF319B">
        <w:rPr>
          <w:rFonts w:ascii="Times New Roman" w:hAnsi="Times New Roman" w:cs="Times New Roman"/>
          <w:sz w:val="20"/>
          <w:szCs w:val="20"/>
        </w:rPr>
        <w:fldChar w:fldCharType="end"/>
      </w:r>
      <w:r w:rsidRPr="00EF319B">
        <w:rPr>
          <w:rFonts w:ascii="Times New Roman" w:hAnsi="Times New Roman" w:cs="Times New Roman"/>
          <w:sz w:val="20"/>
          <w:szCs w:val="20"/>
        </w:rPr>
        <w:t>. In the current study, ELT was adopted to improve accuracy and stability in predicting adsorption performance across varying conditions. By averaging or combining outputs from several individual models, the ensemble method captures diverse feature interactions, making it effective for systems where adsorption behavior depends on multiple correlated factors such as ionic strength and molecular size.</w:t>
      </w:r>
    </w:p>
    <w:p w14:paraId="0509608B" w14:textId="77777777" w:rsidR="0022023A" w:rsidRPr="00EF319B" w:rsidRDefault="0022023A" w:rsidP="0022023A">
      <w:pPr>
        <w:spacing w:line="360" w:lineRule="auto"/>
        <w:jc w:val="both"/>
        <w:rPr>
          <w:rFonts w:ascii="Times New Roman" w:hAnsi="Times New Roman" w:cs="Times New Roman"/>
          <w:b/>
          <w:bCs/>
          <w:sz w:val="20"/>
          <w:szCs w:val="20"/>
        </w:rPr>
      </w:pPr>
      <w:r w:rsidRPr="00EF319B">
        <w:rPr>
          <w:rFonts w:ascii="Times New Roman" w:hAnsi="Times New Roman" w:cs="Times New Roman"/>
          <w:b/>
          <w:bCs/>
          <w:sz w:val="20"/>
          <w:szCs w:val="20"/>
        </w:rPr>
        <w:t>2.3.3 Gaussian Process Regression (GPR)</w:t>
      </w:r>
    </w:p>
    <w:p w14:paraId="53C95F47" w14:textId="7C1B703E" w:rsidR="0022023A" w:rsidRPr="00EF319B" w:rsidRDefault="0022023A" w:rsidP="0022023A">
      <w:pPr>
        <w:spacing w:line="360" w:lineRule="auto"/>
        <w:jc w:val="both"/>
        <w:rPr>
          <w:rFonts w:ascii="Times New Roman" w:hAnsi="Times New Roman" w:cs="Times New Roman"/>
          <w:sz w:val="20"/>
          <w:szCs w:val="20"/>
        </w:rPr>
      </w:pPr>
      <w:r w:rsidRPr="00EF319B">
        <w:rPr>
          <w:rFonts w:ascii="Times New Roman" w:hAnsi="Times New Roman" w:cs="Times New Roman"/>
          <w:sz w:val="20"/>
          <w:szCs w:val="20"/>
        </w:rPr>
        <w:t xml:space="preserve">Gaussian Process Regression was integrated into the hybrid model due to its probabilistic and non-parametric nature, allowing it to represent complex functional relationships between input variables and adsorption outcomes </w:t>
      </w:r>
      <w:r w:rsidRPr="00EF319B">
        <w:rPr>
          <w:rFonts w:ascii="Times New Roman" w:hAnsi="Times New Roman" w:cs="Times New Roman"/>
          <w:sz w:val="20"/>
          <w:szCs w:val="20"/>
        </w:rPr>
        <w:fldChar w:fldCharType="begin"/>
      </w:r>
      <w:r w:rsidR="00105FA5" w:rsidRPr="00EF319B">
        <w:rPr>
          <w:rFonts w:ascii="Times New Roman" w:hAnsi="Times New Roman" w:cs="Times New Roman"/>
          <w:sz w:val="20"/>
          <w:szCs w:val="20"/>
        </w:rPr>
        <w:instrText xml:space="preserve"> ADDIN ZOTERO_ITEM CSL_CITATION {"citationID":"dcLom9g9","properties":{"formattedCitation":"[39]","plainCitation":"[39]","noteIndex":0},"citationItems":[{"id":878,"uris":["http://zotero.org/users/14115032/items/8B7KI6VG"],"itemData":{"id":878,"type":"article-journal","container-title":"Chemical Reviews","DOI":"10.1021/acs.chemrev.1c00022","ISSN":"0009-2665, 1520-6890","issue":"16","journalAbbreviation":"Chem. Rev.","language":"en","license":"https://creativecommons.org/licenses/by/4.0/","page":"10073-10141","source":"DOI.org (Crossref)","title":"Gaussian Process Regression for Materials and Molecules","volume":"121","author":[{"family":"Deringer","given":"Volker L."},{"family":"Bartók","given":"Albert P."},{"family":"Bernstein","given":"Noam"},{"family":"Wilkins","given":"David M."},{"family":"Ceriotti","given":"Michele"},{"family":"Csányi","given":"Gábor"}],"issued":{"date-parts":[["2021",8,25]]}}}],"schema":"https://github.com/citation-style-language/schema/raw/master/csl-citation.json"} </w:instrText>
      </w:r>
      <w:r w:rsidRPr="00EF319B">
        <w:rPr>
          <w:rFonts w:ascii="Times New Roman" w:hAnsi="Times New Roman" w:cs="Times New Roman"/>
          <w:sz w:val="20"/>
          <w:szCs w:val="20"/>
        </w:rPr>
        <w:fldChar w:fldCharType="separate"/>
      </w:r>
      <w:r w:rsidR="00105FA5" w:rsidRPr="00EF319B">
        <w:rPr>
          <w:rFonts w:ascii="Times New Roman" w:hAnsi="Times New Roman" w:cs="Times New Roman"/>
          <w:sz w:val="20"/>
        </w:rPr>
        <w:t>[39]</w:t>
      </w:r>
      <w:r w:rsidRPr="00EF319B">
        <w:rPr>
          <w:rFonts w:ascii="Times New Roman" w:hAnsi="Times New Roman" w:cs="Times New Roman"/>
          <w:sz w:val="20"/>
          <w:szCs w:val="20"/>
        </w:rPr>
        <w:fldChar w:fldCharType="end"/>
      </w:r>
      <w:r w:rsidRPr="00EF319B">
        <w:rPr>
          <w:rFonts w:ascii="Times New Roman" w:hAnsi="Times New Roman" w:cs="Times New Roman"/>
          <w:sz w:val="20"/>
          <w:szCs w:val="20"/>
        </w:rPr>
        <w:t xml:space="preserve">. GPR not only provides accurate predictions but also quantifies uncertainty </w:t>
      </w:r>
      <w:r w:rsidRPr="00EF319B">
        <w:rPr>
          <w:rFonts w:ascii="Times New Roman" w:hAnsi="Times New Roman" w:cs="Times New Roman"/>
          <w:sz w:val="20"/>
          <w:szCs w:val="20"/>
        </w:rPr>
        <w:fldChar w:fldCharType="begin"/>
      </w:r>
      <w:r w:rsidR="00105FA5" w:rsidRPr="00EF319B">
        <w:rPr>
          <w:rFonts w:ascii="Times New Roman" w:hAnsi="Times New Roman" w:cs="Times New Roman"/>
          <w:sz w:val="20"/>
          <w:szCs w:val="20"/>
        </w:rPr>
        <w:instrText xml:space="preserve"> ADDIN ZOTERO_ITEM CSL_CITATION {"citationID":"wmJOwspz","properties":{"formattedCitation":"[40]","plainCitation":"[40]","noteIndex":0},"citationItems":[{"id":879,"uris":["http://zotero.org/users/14115032/items/JTVRXE4X"],"itemData":{"id":879,"type":"article-journal","container-title":"Journal of Environmental Chemical Engineering","DOI":"10.1016/j.jece.2025.116749","ISSN":"22133437","issue":"3","journalAbbreviation":"Journal of Environmental Chemical Engineering","language":"en","page":"116749","source":"DOI.org (Crossref)","title":"Validation of machine learning models for heavy metals bioavailability prediction: A comparative study","title-short":"Validation of machine learning models for heavy metals bioavailability prediction","volume":"13","author":[{"family":"Yaseen","given":"Zaher Mundher"},{"family":"Hameed","given":"Mohammed Majeed"},{"family":"Doost","given":"Ziaul Haq"}],"issued":{"date-parts":[["2025",6]]}}}],"schema":"https://github.com/citation-style-language/schema/raw/master/csl-citation.json"} </w:instrText>
      </w:r>
      <w:r w:rsidRPr="00EF319B">
        <w:rPr>
          <w:rFonts w:ascii="Times New Roman" w:hAnsi="Times New Roman" w:cs="Times New Roman"/>
          <w:sz w:val="20"/>
          <w:szCs w:val="20"/>
        </w:rPr>
        <w:fldChar w:fldCharType="separate"/>
      </w:r>
      <w:r w:rsidR="00105FA5" w:rsidRPr="00EF319B">
        <w:rPr>
          <w:rFonts w:ascii="Times New Roman" w:hAnsi="Times New Roman" w:cs="Times New Roman"/>
          <w:sz w:val="20"/>
        </w:rPr>
        <w:t>[40]</w:t>
      </w:r>
      <w:r w:rsidRPr="00EF319B">
        <w:rPr>
          <w:rFonts w:ascii="Times New Roman" w:hAnsi="Times New Roman" w:cs="Times New Roman"/>
          <w:sz w:val="20"/>
          <w:szCs w:val="20"/>
        </w:rPr>
        <w:fldChar w:fldCharType="end"/>
      </w:r>
      <w:r w:rsidRPr="00EF319B">
        <w:rPr>
          <w:rFonts w:ascii="Times New Roman" w:hAnsi="Times New Roman" w:cs="Times New Roman"/>
          <w:sz w:val="20"/>
          <w:szCs w:val="20"/>
        </w:rPr>
        <w:t xml:space="preserve">, which is particularly valuable for experimental adsorption data that may exhibit variability due to surface heterogeneity or adsorbate–adsorbent interactions. Its kernel-based approach enables </w:t>
      </w:r>
      <w:r w:rsidR="00165F28" w:rsidRPr="00EF319B">
        <w:rPr>
          <w:rFonts w:ascii="Times New Roman" w:hAnsi="Times New Roman" w:cs="Times New Roman"/>
          <w:sz w:val="20"/>
          <w:szCs w:val="20"/>
        </w:rPr>
        <w:t>modelling</w:t>
      </w:r>
      <w:r w:rsidRPr="00EF319B">
        <w:rPr>
          <w:rFonts w:ascii="Times New Roman" w:hAnsi="Times New Roman" w:cs="Times New Roman"/>
          <w:sz w:val="20"/>
          <w:szCs w:val="20"/>
        </w:rPr>
        <w:t xml:space="preserve"> of nonlinear adsorption dynamics, making it a strong candidate for capturing the underlying physicochemical processes in biochar-based adsorption systems for dyes and proteins.</w:t>
      </w:r>
      <w:r w:rsidR="00B868CA" w:rsidRPr="00EF319B">
        <w:rPr>
          <w:rFonts w:ascii="Times New Roman" w:hAnsi="Times New Roman" w:cs="Times New Roman"/>
          <w:sz w:val="20"/>
          <w:szCs w:val="20"/>
        </w:rPr>
        <w:t xml:space="preserve"> </w:t>
      </w:r>
      <w:r w:rsidR="005617A9" w:rsidRPr="00EF319B">
        <w:rPr>
          <w:rFonts w:ascii="Times New Roman" w:hAnsi="Times New Roman" w:cs="Times New Roman"/>
          <w:sz w:val="20"/>
          <w:szCs w:val="20"/>
        </w:rPr>
        <w:t>The Gaussian process t(</w:t>
      </w:r>
      <w:r w:rsidR="00A611AD">
        <w:rPr>
          <w:rFonts w:ascii="Times New Roman" w:hAnsi="Times New Roman" w:cs="Times New Roman"/>
          <w:sz w:val="20"/>
          <w:szCs w:val="20"/>
        </w:rPr>
        <w:t>u</w:t>
      </w:r>
      <w:r w:rsidR="005617A9" w:rsidRPr="00EF319B">
        <w:rPr>
          <w:rFonts w:ascii="Times New Roman" w:hAnsi="Times New Roman" w:cs="Times New Roman"/>
          <w:sz w:val="20"/>
          <w:szCs w:val="20"/>
        </w:rPr>
        <w:t>) is parameterized by two independent variables, the mean function m(</w:t>
      </w:r>
      <w:r w:rsidR="00A611AD">
        <w:rPr>
          <w:rFonts w:ascii="Times New Roman" w:hAnsi="Times New Roman" w:cs="Times New Roman"/>
          <w:sz w:val="20"/>
          <w:szCs w:val="20"/>
        </w:rPr>
        <w:t>u</w:t>
      </w:r>
      <w:r w:rsidR="005617A9" w:rsidRPr="00EF319B">
        <w:rPr>
          <w:rFonts w:ascii="Times New Roman" w:hAnsi="Times New Roman" w:cs="Times New Roman"/>
          <w:sz w:val="20"/>
          <w:szCs w:val="20"/>
        </w:rPr>
        <w:t xml:space="preserve">) and the kernel function, also known as </w:t>
      </w:r>
      <w:r w:rsidR="00165F28" w:rsidRPr="00EF319B">
        <w:rPr>
          <w:rFonts w:ascii="Times New Roman" w:hAnsi="Times New Roman" w:cs="Times New Roman"/>
          <w:sz w:val="20"/>
          <w:szCs w:val="20"/>
        </w:rPr>
        <w:t xml:space="preserve">the </w:t>
      </w:r>
      <w:r w:rsidR="005617A9" w:rsidRPr="00EF319B">
        <w:rPr>
          <w:rFonts w:ascii="Times New Roman" w:hAnsi="Times New Roman" w:cs="Times New Roman"/>
          <w:sz w:val="20"/>
          <w:szCs w:val="20"/>
        </w:rPr>
        <w:t>covariance function d (</w:t>
      </w:r>
      <w:r w:rsidR="00A611AD">
        <w:rPr>
          <w:rFonts w:ascii="Times New Roman" w:hAnsi="Times New Roman" w:cs="Times New Roman"/>
          <w:sz w:val="20"/>
          <w:szCs w:val="20"/>
        </w:rPr>
        <w:t>u</w:t>
      </w:r>
      <w:r w:rsidR="005617A9" w:rsidRPr="00EF319B">
        <w:rPr>
          <w:rFonts w:ascii="Times New Roman" w:hAnsi="Times New Roman" w:cs="Times New Roman"/>
          <w:sz w:val="20"/>
          <w:szCs w:val="20"/>
        </w:rPr>
        <w:t xml:space="preserve">, </w:t>
      </w:r>
      <w:r w:rsidR="00A611AD">
        <w:rPr>
          <w:rFonts w:ascii="Times New Roman" w:hAnsi="Times New Roman" w:cs="Times New Roman"/>
          <w:sz w:val="20"/>
          <w:szCs w:val="20"/>
        </w:rPr>
        <w:t>u</w:t>
      </w:r>
      <w:r w:rsidR="005617A9" w:rsidRPr="00EF319B">
        <w:rPr>
          <w:rFonts w:ascii="Times New Roman" w:hAnsi="Times New Roman" w:cs="Times New Roman"/>
          <w:sz w:val="20"/>
          <w:szCs w:val="20"/>
        </w:rPr>
        <w:t xml:space="preserve">′), which are each evaluated for the instances </w:t>
      </w:r>
      <w:r w:rsidR="00A611AD">
        <w:rPr>
          <w:rFonts w:ascii="Times New Roman" w:hAnsi="Times New Roman" w:cs="Times New Roman"/>
          <w:sz w:val="20"/>
          <w:szCs w:val="20"/>
        </w:rPr>
        <w:t>u</w:t>
      </w:r>
      <w:r w:rsidR="005617A9" w:rsidRPr="00EF319B">
        <w:rPr>
          <w:rFonts w:ascii="Times New Roman" w:hAnsi="Times New Roman" w:cs="Times New Roman"/>
          <w:sz w:val="20"/>
          <w:szCs w:val="20"/>
        </w:rPr>
        <w:t xml:space="preserve"> and </w:t>
      </w:r>
      <w:r w:rsidR="00A611AD">
        <w:rPr>
          <w:rFonts w:ascii="Times New Roman" w:hAnsi="Times New Roman" w:cs="Times New Roman"/>
          <w:sz w:val="20"/>
          <w:szCs w:val="20"/>
        </w:rPr>
        <w:t>u</w:t>
      </w:r>
      <w:r w:rsidR="005617A9" w:rsidRPr="00EF319B">
        <w:rPr>
          <w:rFonts w:ascii="Times New Roman" w:hAnsi="Times New Roman" w:cs="Times New Roman"/>
          <w:sz w:val="20"/>
          <w:szCs w:val="20"/>
        </w:rPr>
        <w:t>′, respectively (</w:t>
      </w:r>
      <w:r w:rsidR="00DA3D42">
        <w:rPr>
          <w:rFonts w:ascii="Times New Roman" w:hAnsi="Times New Roman" w:cs="Times New Roman"/>
          <w:sz w:val="20"/>
          <w:szCs w:val="20"/>
        </w:rPr>
        <w:t>u</w:t>
      </w:r>
      <w:r w:rsidR="005617A9" w:rsidRPr="00EF319B">
        <w:rPr>
          <w:rFonts w:ascii="Times New Roman" w:hAnsi="Times New Roman" w:cs="Times New Roman"/>
          <w:sz w:val="20"/>
          <w:szCs w:val="20"/>
        </w:rPr>
        <w:t>)</w:t>
      </w:r>
      <w:r w:rsidR="00AF22A3" w:rsidRPr="00EF319B">
        <w:rPr>
          <w:rFonts w:ascii="Times New Roman" w:hAnsi="Times New Roman" w:cs="Times New Roman"/>
          <w:sz w:val="20"/>
          <w:szCs w:val="20"/>
        </w:rPr>
        <w:t xml:space="preserve"> </w:t>
      </w:r>
      <w:r w:rsidR="009C3627" w:rsidRPr="00EF319B">
        <w:rPr>
          <w:rFonts w:ascii="Times New Roman" w:hAnsi="Times New Roman" w:cs="Times New Roman"/>
          <w:sz w:val="20"/>
          <w:szCs w:val="20"/>
        </w:rPr>
        <w:fldChar w:fldCharType="begin"/>
      </w:r>
      <w:r w:rsidR="00105FA5" w:rsidRPr="00EF319B">
        <w:rPr>
          <w:rFonts w:ascii="Times New Roman" w:hAnsi="Times New Roman" w:cs="Times New Roman"/>
          <w:sz w:val="20"/>
          <w:szCs w:val="20"/>
        </w:rPr>
        <w:instrText xml:space="preserve"> ADDIN ZOTERO_ITEM CSL_CITATION {"citationID":"3HsNBu8r","properties":{"formattedCitation":"[41]","plainCitation":"[41]","noteIndex":0},"citationItems":[{"id":895,"uris":["http://zotero.org/users/14115032/items/JTT5PUFG"],"itemData":{"id":895,"type":"article-journal","container-title":"Arabian Journal for Science and Engineering","DOI":"10.1007/s13369-020-04683-4","ISSN":"2193-567X, 2191-4281","issue":"10","journalAbbreviation":"Arab J Sci Eng","language":"en","page":"8255-8267","source":"DOI.org (Crossref)","title":"Gaussian Process Regression Technique to Estimate the Pile Bearing Capacity","volume":"45","author":[{"family":"Momeni","given":"Ehsan"},{"family":"Dowlatshahi","given":"Mohammad Bagher"},{"family":"Omidinasab","given":"Fereydoon"},{"family":"Maizir","given":"Harnedi"},{"family":"Armaghani","given":"Danial Jahed"}],"issued":{"date-parts":[["2020",10]]}}}],"schema":"https://github.com/citation-style-language/schema/raw/master/csl-citation.json"} </w:instrText>
      </w:r>
      <w:r w:rsidR="009C3627" w:rsidRPr="00EF319B">
        <w:rPr>
          <w:rFonts w:ascii="Times New Roman" w:hAnsi="Times New Roman" w:cs="Times New Roman"/>
          <w:sz w:val="20"/>
          <w:szCs w:val="20"/>
        </w:rPr>
        <w:fldChar w:fldCharType="separate"/>
      </w:r>
      <w:r w:rsidR="00105FA5" w:rsidRPr="00EF319B">
        <w:rPr>
          <w:rFonts w:ascii="Times New Roman" w:hAnsi="Times New Roman" w:cs="Times New Roman"/>
          <w:sz w:val="20"/>
        </w:rPr>
        <w:t>[41]</w:t>
      </w:r>
      <w:r w:rsidR="009C3627" w:rsidRPr="00EF319B">
        <w:rPr>
          <w:rFonts w:ascii="Times New Roman" w:hAnsi="Times New Roman" w:cs="Times New Roman"/>
          <w:sz w:val="20"/>
          <w:szCs w:val="20"/>
        </w:rPr>
        <w:fldChar w:fldCharType="end"/>
      </w:r>
      <w:r w:rsidR="005617A9" w:rsidRPr="00EF319B">
        <w:rPr>
          <w:rFonts w:ascii="Times New Roman" w:hAnsi="Times New Roman" w:cs="Times New Roman"/>
          <w:sz w:val="20"/>
          <w:szCs w:val="20"/>
        </w:rPr>
        <w:t>. The equations below provide definitions for these two functions.</w:t>
      </w:r>
      <w:r w:rsidR="004706D8" w:rsidRPr="00EF319B">
        <w:rPr>
          <w:rFonts w:ascii="Times New Roman" w:hAnsi="Times New Roman" w:cs="Times New Roman"/>
          <w:sz w:val="20"/>
          <w:szCs w:val="20"/>
        </w:rPr>
        <w:t xml:space="preserve"> </w:t>
      </w:r>
    </w:p>
    <w:p w14:paraId="5279922A" w14:textId="43ADEFC9" w:rsidR="0088198C" w:rsidRPr="00EF319B" w:rsidRDefault="00000000" w:rsidP="0022023A">
      <w:pPr>
        <w:spacing w:line="360" w:lineRule="auto"/>
        <w:jc w:val="both"/>
        <w:rPr>
          <w:rFonts w:ascii="Times New Roman" w:eastAsiaTheme="minorEastAsia" w:hAnsi="Times New Roman" w:cs="Times New Roman"/>
          <w:sz w:val="20"/>
          <w:szCs w:val="20"/>
        </w:rPr>
      </w:pPr>
      <m:oMathPara>
        <m:oMath>
          <m:eqArr>
            <m:eqArrPr>
              <m:maxDist m:val="1"/>
              <m:ctrlPr>
                <w:rPr>
                  <w:rFonts w:ascii="Cambria Math" w:hAnsi="Cambria Math" w:cs="Times New Roman"/>
                  <w:i/>
                  <w:sz w:val="20"/>
                  <w:szCs w:val="20"/>
                </w:rPr>
              </m:ctrlPr>
            </m:eqArrPr>
            <m:e>
              <m:r>
                <w:rPr>
                  <w:rFonts w:ascii="Cambria Math" w:hAnsi="Cambria Math" w:cs="Times New Roman"/>
                  <w:sz w:val="20"/>
                  <w:szCs w:val="20"/>
                </w:rPr>
                <m:t>m</m:t>
              </m:r>
              <m:d>
                <m:dPr>
                  <m:ctrlPr>
                    <w:rPr>
                      <w:rFonts w:ascii="Cambria Math" w:hAnsi="Cambria Math" w:cs="Times New Roman"/>
                      <w:i/>
                      <w:sz w:val="20"/>
                      <w:szCs w:val="20"/>
                    </w:rPr>
                  </m:ctrlPr>
                </m:dPr>
                <m:e>
                  <m:r>
                    <w:rPr>
                      <w:rFonts w:ascii="Cambria Math" w:hAnsi="Cambria Math" w:cs="Times New Roman"/>
                      <w:sz w:val="20"/>
                      <w:szCs w:val="20"/>
                    </w:rPr>
                    <m:t>u</m:t>
                  </m:r>
                </m:e>
              </m:d>
              <m:r>
                <w:rPr>
                  <w:rFonts w:ascii="Cambria Math" w:hAnsi="Cambria Math" w:cs="Times New Roman"/>
                  <w:sz w:val="20"/>
                  <w:szCs w:val="20"/>
                </w:rPr>
                <m:t>=E</m:t>
              </m:r>
              <m:d>
                <m:dPr>
                  <m:ctrlPr>
                    <w:rPr>
                      <w:rFonts w:ascii="Cambria Math" w:hAnsi="Cambria Math" w:cs="Times New Roman"/>
                      <w:i/>
                      <w:sz w:val="20"/>
                      <w:szCs w:val="20"/>
                    </w:rPr>
                  </m:ctrlPr>
                </m:dPr>
                <m:e>
                  <m:r>
                    <w:rPr>
                      <w:rFonts w:ascii="Cambria Math" w:hAnsi="Cambria Math" w:cs="Times New Roman"/>
                      <w:sz w:val="20"/>
                      <w:szCs w:val="20"/>
                    </w:rPr>
                    <m:t>t</m:t>
                  </m:r>
                  <m:d>
                    <m:dPr>
                      <m:ctrlPr>
                        <w:rPr>
                          <w:rFonts w:ascii="Cambria Math" w:hAnsi="Cambria Math" w:cs="Times New Roman"/>
                          <w:i/>
                          <w:sz w:val="20"/>
                          <w:szCs w:val="20"/>
                        </w:rPr>
                      </m:ctrlPr>
                    </m:dPr>
                    <m:e>
                      <m:r>
                        <w:rPr>
                          <w:rFonts w:ascii="Cambria Math" w:hAnsi="Cambria Math" w:cs="Times New Roman"/>
                          <w:sz w:val="20"/>
                          <w:szCs w:val="20"/>
                        </w:rPr>
                        <m:t>u</m:t>
                      </m:r>
                    </m:e>
                  </m:d>
                </m:e>
              </m:d>
              <m:r>
                <w:rPr>
                  <w:rFonts w:ascii="Cambria Math" w:hAnsi="Cambria Math" w:cs="Times New Roman"/>
                  <w:sz w:val="20"/>
                  <w:szCs w:val="20"/>
                </w:rPr>
                <m:t xml:space="preserve">                                                                                                                                                                         (4)</m:t>
              </m:r>
            </m:e>
          </m:eqArr>
        </m:oMath>
      </m:oMathPara>
    </w:p>
    <w:p w14:paraId="371FD682" w14:textId="02D4D634" w:rsidR="0088198C" w:rsidRPr="00EF319B" w:rsidRDefault="00000000" w:rsidP="00AE5A71">
      <w:pPr>
        <w:spacing w:line="276" w:lineRule="auto"/>
        <w:jc w:val="both"/>
        <w:rPr>
          <w:rFonts w:ascii="Times New Roman" w:eastAsia="Calibri" w:hAnsi="Times New Roman" w:cs="Times New Roman"/>
          <w:sz w:val="20"/>
          <w:szCs w:val="20"/>
        </w:rPr>
      </w:pPr>
      <m:oMathPara>
        <m:oMath>
          <m:eqArr>
            <m:eqArrPr>
              <m:maxDist m:val="1"/>
              <m:ctrlPr>
                <w:rPr>
                  <w:rFonts w:ascii="Cambria Math" w:eastAsia="Calibri" w:hAnsi="Cambria Math" w:cs="Times New Roman"/>
                  <w:i/>
                  <w:sz w:val="20"/>
                  <w:szCs w:val="20"/>
                </w:rPr>
              </m:ctrlPr>
            </m:eqArrPr>
            <m:e>
              <m:func>
                <m:funcPr>
                  <m:ctrlPr>
                    <w:rPr>
                      <w:rFonts w:ascii="Cambria Math" w:eastAsia="Calibri" w:hAnsi="Cambria Math" w:cs="Times New Roman"/>
                      <w:i/>
                      <w:sz w:val="20"/>
                      <w:szCs w:val="20"/>
                    </w:rPr>
                  </m:ctrlPr>
                </m:funcPr>
                <m:fName>
                  <m:r>
                    <m:rPr>
                      <m:sty m:val="p"/>
                    </m:rPr>
                    <w:rPr>
                      <w:rFonts w:ascii="Cambria Math" w:eastAsia="Calibri" w:hAnsi="Cambria Math" w:cs="Times New Roman"/>
                      <w:sz w:val="20"/>
                      <w:szCs w:val="20"/>
                    </w:rPr>
                    <m:t>Cov</m:t>
                  </m:r>
                  <m:ctrlPr>
                    <w:rPr>
                      <w:rFonts w:ascii="Cambria Math" w:eastAsia="Calibri" w:hAnsi="Cambria Math" w:cs="Times New Roman"/>
                      <w:sz w:val="20"/>
                      <w:szCs w:val="20"/>
                    </w:rPr>
                  </m:ctrlPr>
                </m:fName>
                <m:e>
                  <m:d>
                    <m:dPr>
                      <m:ctrlPr>
                        <w:rPr>
                          <w:rFonts w:ascii="Cambria Math" w:eastAsia="Calibri" w:hAnsi="Cambria Math" w:cs="Times New Roman"/>
                          <w:sz w:val="20"/>
                          <w:szCs w:val="20"/>
                        </w:rPr>
                      </m:ctrlPr>
                    </m:dPr>
                    <m:e>
                      <m:r>
                        <w:rPr>
                          <w:rFonts w:ascii="Cambria Math" w:eastAsia="Calibri" w:hAnsi="Cambria Math" w:cs="Times New Roman"/>
                          <w:sz w:val="20"/>
                          <w:szCs w:val="20"/>
                        </w:rPr>
                        <m:t>t</m:t>
                      </m:r>
                      <m:d>
                        <m:dPr>
                          <m:ctrlPr>
                            <w:rPr>
                              <w:rFonts w:ascii="Cambria Math" w:eastAsia="Calibri" w:hAnsi="Cambria Math" w:cs="Times New Roman"/>
                              <w:i/>
                              <w:sz w:val="20"/>
                              <w:szCs w:val="20"/>
                            </w:rPr>
                          </m:ctrlPr>
                        </m:dPr>
                        <m:e>
                          <m:r>
                            <w:rPr>
                              <w:rFonts w:ascii="Cambria Math" w:eastAsia="Calibri" w:hAnsi="Cambria Math" w:cs="Times New Roman"/>
                              <w:sz w:val="20"/>
                              <w:szCs w:val="20"/>
                            </w:rPr>
                            <m:t>u</m:t>
                          </m:r>
                        </m:e>
                      </m:d>
                      <m:r>
                        <w:rPr>
                          <w:rFonts w:ascii="Cambria Math" w:eastAsia="Calibri" w:hAnsi="Cambria Math" w:cs="Times New Roman"/>
                          <w:sz w:val="20"/>
                          <w:szCs w:val="20"/>
                        </w:rPr>
                        <m:t>,t</m:t>
                      </m:r>
                      <m:d>
                        <m:dPr>
                          <m:ctrlPr>
                            <w:rPr>
                              <w:rFonts w:ascii="Cambria Math" w:eastAsia="Calibri" w:hAnsi="Cambria Math" w:cs="Times New Roman"/>
                              <w:sz w:val="20"/>
                              <w:szCs w:val="20"/>
                            </w:rPr>
                          </m:ctrlPr>
                        </m:dPr>
                        <m:e>
                          <m:sSup>
                            <m:sSupPr>
                              <m:ctrlPr>
                                <w:rPr>
                                  <w:rFonts w:ascii="Cambria Math" w:eastAsia="Calibri" w:hAnsi="Cambria Math" w:cs="Times New Roman"/>
                                  <w:sz w:val="20"/>
                                  <w:szCs w:val="20"/>
                                </w:rPr>
                              </m:ctrlPr>
                            </m:sSupPr>
                            <m:e>
                              <m:r>
                                <w:rPr>
                                  <w:rFonts w:ascii="Cambria Math" w:eastAsia="Calibri" w:hAnsi="Cambria Math" w:cs="Times New Roman"/>
                                  <w:sz w:val="20"/>
                                  <w:szCs w:val="20"/>
                                </w:rPr>
                                <m:t>u</m:t>
                              </m:r>
                            </m:e>
                            <m:sup>
                              <m:r>
                                <m:rPr>
                                  <m:sty m:val="p"/>
                                </m:rPr>
                                <w:rPr>
                                  <w:rFonts w:ascii="Cambria Math" w:eastAsia="Calibri" w:hAnsi="Cambria Math" w:cs="Times New Roman"/>
                                  <w:sz w:val="20"/>
                                  <w:szCs w:val="20"/>
                                </w:rPr>
                                <m:t>'</m:t>
                              </m:r>
                            </m:sup>
                          </m:sSup>
                        </m:e>
                      </m:d>
                    </m:e>
                  </m:d>
                </m:e>
              </m:func>
              <m:r>
                <w:rPr>
                  <w:rFonts w:ascii="Cambria Math" w:eastAsia="Calibri" w:hAnsi="Cambria Math" w:cs="Times New Roman"/>
                  <w:sz w:val="20"/>
                  <w:szCs w:val="20"/>
                </w:rPr>
                <m:t>=d</m:t>
              </m:r>
              <m:d>
                <m:dPr>
                  <m:ctrlPr>
                    <w:rPr>
                      <w:rFonts w:ascii="Cambria Math" w:eastAsia="Calibri" w:hAnsi="Cambria Math" w:cs="Times New Roman"/>
                      <w:sz w:val="20"/>
                      <w:szCs w:val="20"/>
                    </w:rPr>
                  </m:ctrlPr>
                </m:dPr>
                <m:e>
                  <m:r>
                    <w:rPr>
                      <w:rFonts w:ascii="Cambria Math" w:eastAsia="Calibri" w:hAnsi="Cambria Math" w:cs="Times New Roman"/>
                      <w:sz w:val="20"/>
                      <w:szCs w:val="20"/>
                    </w:rPr>
                    <m:t>u,</m:t>
                  </m:r>
                  <m:sSup>
                    <m:sSupPr>
                      <m:ctrlPr>
                        <w:rPr>
                          <w:rFonts w:ascii="Cambria Math" w:eastAsia="Calibri" w:hAnsi="Cambria Math" w:cs="Times New Roman"/>
                          <w:sz w:val="20"/>
                          <w:szCs w:val="20"/>
                        </w:rPr>
                      </m:ctrlPr>
                    </m:sSupPr>
                    <m:e>
                      <m:r>
                        <w:rPr>
                          <w:rFonts w:ascii="Cambria Math" w:eastAsia="Calibri" w:hAnsi="Cambria Math" w:cs="Times New Roman"/>
                          <w:sz w:val="20"/>
                          <w:szCs w:val="20"/>
                        </w:rPr>
                        <m:t>u</m:t>
                      </m:r>
                    </m:e>
                    <m:sup>
                      <m:r>
                        <m:rPr>
                          <m:sty m:val="p"/>
                        </m:rPr>
                        <w:rPr>
                          <w:rFonts w:ascii="Cambria Math" w:eastAsia="Calibri" w:hAnsi="Cambria Math" w:cs="Times New Roman"/>
                          <w:sz w:val="20"/>
                          <w:szCs w:val="20"/>
                        </w:rPr>
                        <m:t>'</m:t>
                      </m:r>
                    </m:sup>
                  </m:sSup>
                  <m:r>
                    <w:rPr>
                      <w:rFonts w:ascii="Cambria Math" w:eastAsia="Calibri" w:hAnsi="Cambria Math" w:cs="Times New Roman"/>
                      <w:sz w:val="20"/>
                      <w:szCs w:val="20"/>
                    </w:rPr>
                    <m:t>;</m:t>
                  </m:r>
                  <m:r>
                    <m:rPr>
                      <m:sty m:val="p"/>
                    </m:rPr>
                    <w:rPr>
                      <w:rFonts w:ascii="Cambria Math" w:eastAsia="Calibri" w:hAnsi="Cambria Math" w:cs="Times New Roman"/>
                      <w:color w:val="333333"/>
                      <w:sz w:val="20"/>
                      <w:szCs w:val="20"/>
                      <w:shd w:val="clear" w:color="auto" w:fill="FCFCFC"/>
                    </w:rPr>
                    <m:t xml:space="preserve">ơ </m:t>
                  </m:r>
                </m:e>
              </m:d>
              <m:r>
                <w:rPr>
                  <w:rFonts w:ascii="Cambria Math" w:eastAsia="Calibri" w:hAnsi="Cambria Math" w:cs="Times New Roman"/>
                  <w:sz w:val="20"/>
                  <w:szCs w:val="20"/>
                </w:rPr>
                <m:t>=E</m:t>
              </m:r>
              <m:d>
                <m:dPr>
                  <m:ctrlPr>
                    <w:rPr>
                      <w:rFonts w:ascii="Cambria Math" w:eastAsia="Calibri" w:hAnsi="Cambria Math" w:cs="Times New Roman"/>
                      <w:sz w:val="20"/>
                      <w:szCs w:val="20"/>
                    </w:rPr>
                  </m:ctrlPr>
                </m:dPr>
                <m:e>
                  <m:d>
                    <m:dPr>
                      <m:ctrlPr>
                        <w:rPr>
                          <w:rFonts w:ascii="Cambria Math" w:eastAsia="Calibri" w:hAnsi="Cambria Math" w:cs="Times New Roman"/>
                          <w:i/>
                          <w:sz w:val="20"/>
                          <w:szCs w:val="20"/>
                        </w:rPr>
                      </m:ctrlPr>
                    </m:dPr>
                    <m:e>
                      <m:r>
                        <w:rPr>
                          <w:rFonts w:ascii="Cambria Math" w:eastAsia="Calibri" w:hAnsi="Cambria Math" w:cs="Times New Roman"/>
                          <w:sz w:val="20"/>
                          <w:szCs w:val="20"/>
                        </w:rPr>
                        <m:t>t</m:t>
                      </m:r>
                      <m:d>
                        <m:dPr>
                          <m:ctrlPr>
                            <w:rPr>
                              <w:rFonts w:ascii="Cambria Math" w:eastAsia="Calibri" w:hAnsi="Cambria Math" w:cs="Times New Roman"/>
                              <w:i/>
                              <w:sz w:val="20"/>
                              <w:szCs w:val="20"/>
                            </w:rPr>
                          </m:ctrlPr>
                        </m:dPr>
                        <m:e>
                          <m:r>
                            <w:rPr>
                              <w:rFonts w:ascii="Cambria Math" w:eastAsia="Calibri" w:hAnsi="Cambria Math" w:cs="Times New Roman"/>
                              <w:sz w:val="20"/>
                              <w:szCs w:val="20"/>
                            </w:rPr>
                            <m:t>u</m:t>
                          </m:r>
                        </m:e>
                      </m:d>
                      <m:r>
                        <w:rPr>
                          <w:rFonts w:ascii="Cambria Math" w:eastAsia="Calibri" w:hAnsi="Cambria Math" w:cs="Times New Roman"/>
                          <w:sz w:val="20"/>
                          <w:szCs w:val="20"/>
                        </w:rPr>
                        <m:t>-m</m:t>
                      </m:r>
                      <m:d>
                        <m:dPr>
                          <m:ctrlPr>
                            <w:rPr>
                              <w:rFonts w:ascii="Cambria Math" w:eastAsia="Calibri" w:hAnsi="Cambria Math" w:cs="Times New Roman"/>
                              <w:i/>
                              <w:sz w:val="20"/>
                              <w:szCs w:val="20"/>
                            </w:rPr>
                          </m:ctrlPr>
                        </m:dPr>
                        <m:e>
                          <m:r>
                            <w:rPr>
                              <w:rFonts w:ascii="Cambria Math" w:eastAsia="Calibri" w:hAnsi="Cambria Math" w:cs="Times New Roman"/>
                              <w:sz w:val="20"/>
                              <w:szCs w:val="20"/>
                            </w:rPr>
                            <m:t>u</m:t>
                          </m:r>
                        </m:e>
                      </m:d>
                    </m:e>
                  </m:d>
                  <m:d>
                    <m:dPr>
                      <m:ctrlPr>
                        <w:rPr>
                          <w:rFonts w:ascii="Cambria Math" w:eastAsia="Calibri" w:hAnsi="Cambria Math" w:cs="Times New Roman"/>
                          <w:sz w:val="20"/>
                          <w:szCs w:val="20"/>
                        </w:rPr>
                      </m:ctrlPr>
                    </m:dPr>
                    <m:e>
                      <m:r>
                        <w:rPr>
                          <w:rFonts w:ascii="Cambria Math" w:eastAsia="Calibri" w:hAnsi="Cambria Math" w:cs="Times New Roman"/>
                          <w:sz w:val="20"/>
                          <w:szCs w:val="20"/>
                        </w:rPr>
                        <m:t>t</m:t>
                      </m:r>
                      <m:d>
                        <m:dPr>
                          <m:ctrlPr>
                            <w:rPr>
                              <w:rFonts w:ascii="Cambria Math" w:eastAsia="Calibri" w:hAnsi="Cambria Math" w:cs="Times New Roman"/>
                              <w:sz w:val="20"/>
                              <w:szCs w:val="20"/>
                            </w:rPr>
                          </m:ctrlPr>
                        </m:dPr>
                        <m:e>
                          <m:sSup>
                            <m:sSupPr>
                              <m:ctrlPr>
                                <w:rPr>
                                  <w:rFonts w:ascii="Cambria Math" w:eastAsia="Calibri" w:hAnsi="Cambria Math" w:cs="Times New Roman"/>
                                  <w:sz w:val="20"/>
                                  <w:szCs w:val="20"/>
                                </w:rPr>
                              </m:ctrlPr>
                            </m:sSupPr>
                            <m:e>
                              <m:r>
                                <w:rPr>
                                  <w:rFonts w:ascii="Cambria Math" w:eastAsia="Calibri" w:hAnsi="Cambria Math" w:cs="Times New Roman"/>
                                  <w:sz w:val="20"/>
                                  <w:szCs w:val="20"/>
                                </w:rPr>
                                <m:t>u</m:t>
                              </m:r>
                            </m:e>
                            <m:sup>
                              <m:r>
                                <m:rPr>
                                  <m:sty m:val="p"/>
                                </m:rPr>
                                <w:rPr>
                                  <w:rFonts w:ascii="Cambria Math" w:eastAsia="Calibri" w:hAnsi="Cambria Math" w:cs="Times New Roman"/>
                                  <w:sz w:val="20"/>
                                  <w:szCs w:val="20"/>
                                </w:rPr>
                                <m:t>'</m:t>
                              </m:r>
                            </m:sup>
                          </m:sSup>
                        </m:e>
                      </m:d>
                      <m:r>
                        <w:rPr>
                          <w:rFonts w:ascii="Cambria Math" w:eastAsia="Calibri" w:hAnsi="Cambria Math" w:cs="Times New Roman"/>
                          <w:sz w:val="20"/>
                          <w:szCs w:val="20"/>
                        </w:rPr>
                        <m:t>-m</m:t>
                      </m:r>
                      <m:d>
                        <m:dPr>
                          <m:ctrlPr>
                            <w:rPr>
                              <w:rFonts w:ascii="Cambria Math" w:eastAsia="Calibri" w:hAnsi="Cambria Math" w:cs="Times New Roman"/>
                              <w:sz w:val="20"/>
                              <w:szCs w:val="20"/>
                            </w:rPr>
                          </m:ctrlPr>
                        </m:dPr>
                        <m:e>
                          <m:sSup>
                            <m:sSupPr>
                              <m:ctrlPr>
                                <w:rPr>
                                  <w:rFonts w:ascii="Cambria Math" w:eastAsia="Calibri" w:hAnsi="Cambria Math" w:cs="Times New Roman"/>
                                  <w:sz w:val="20"/>
                                  <w:szCs w:val="20"/>
                                </w:rPr>
                              </m:ctrlPr>
                            </m:sSupPr>
                            <m:e>
                              <m:r>
                                <w:rPr>
                                  <w:rFonts w:ascii="Cambria Math" w:eastAsia="Calibri" w:hAnsi="Cambria Math" w:cs="Times New Roman"/>
                                  <w:sz w:val="20"/>
                                  <w:szCs w:val="20"/>
                                </w:rPr>
                                <m:t>u</m:t>
                              </m:r>
                            </m:e>
                            <m:sup>
                              <m:r>
                                <m:rPr>
                                  <m:sty m:val="p"/>
                                </m:rPr>
                                <w:rPr>
                                  <w:rFonts w:ascii="Cambria Math" w:eastAsia="Calibri" w:hAnsi="Cambria Math" w:cs="Times New Roman"/>
                                  <w:sz w:val="20"/>
                                  <w:szCs w:val="20"/>
                                </w:rPr>
                                <m:t>'</m:t>
                              </m:r>
                            </m:sup>
                          </m:sSup>
                        </m:e>
                      </m:d>
                    </m:e>
                  </m:d>
                </m:e>
              </m:d>
              <m:r>
                <w:rPr>
                  <w:rFonts w:ascii="Cambria Math" w:eastAsia="Calibri" w:hAnsi="Cambria Math" w:cs="Times New Roman"/>
                  <w:sz w:val="20"/>
                  <w:szCs w:val="20"/>
                </w:rPr>
                <m:t xml:space="preserve">                                                                     (5)</m:t>
              </m:r>
            </m:e>
          </m:eqArr>
        </m:oMath>
      </m:oMathPara>
    </w:p>
    <w:p w14:paraId="44C52427" w14:textId="45B469A9" w:rsidR="009976C7" w:rsidRPr="00EF319B" w:rsidRDefault="009C56BA" w:rsidP="009976C7">
      <w:pPr>
        <w:spacing w:line="276" w:lineRule="auto"/>
        <w:jc w:val="both"/>
        <w:rPr>
          <w:rFonts w:ascii="Times New Roman" w:hAnsi="Times New Roman" w:cs="Times New Roman"/>
          <w:color w:val="333333"/>
          <w:sz w:val="20"/>
          <w:szCs w:val="20"/>
          <w:shd w:val="clear" w:color="auto" w:fill="FCFCFC"/>
        </w:rPr>
      </w:pPr>
      <w:r w:rsidRPr="00EF319B">
        <w:rPr>
          <w:rFonts w:ascii="Times New Roman" w:hAnsi="Times New Roman" w:cs="Times New Roman"/>
          <w:sz w:val="20"/>
          <w:szCs w:val="20"/>
        </w:rPr>
        <w:t>Where, ơ = model hyperparameters that must be adjusted. Mathematically Gaussian process t(</w:t>
      </w:r>
      <w:r w:rsidR="005A0625">
        <w:rPr>
          <w:rFonts w:ascii="Times New Roman" w:hAnsi="Times New Roman" w:cs="Times New Roman"/>
          <w:sz w:val="20"/>
          <w:szCs w:val="20"/>
        </w:rPr>
        <w:t>u</w:t>
      </w:r>
      <w:r w:rsidRPr="00EF319B">
        <w:rPr>
          <w:rFonts w:ascii="Times New Roman" w:hAnsi="Times New Roman" w:cs="Times New Roman"/>
          <w:sz w:val="20"/>
          <w:szCs w:val="20"/>
        </w:rPr>
        <w:t>) is represented as</w:t>
      </w:r>
      <w:r w:rsidR="009976C7" w:rsidRPr="00EF319B">
        <w:rPr>
          <w:rFonts w:ascii="Times New Roman" w:hAnsi="Times New Roman" w:cs="Times New Roman"/>
          <w:color w:val="333333"/>
          <w:sz w:val="20"/>
          <w:szCs w:val="20"/>
          <w:shd w:val="clear" w:color="auto" w:fill="FCFCFC"/>
        </w:rPr>
        <w:t xml:space="preserve"> </w:t>
      </w:r>
    </w:p>
    <w:p w14:paraId="4B286256" w14:textId="088EF7D8" w:rsidR="009976C7" w:rsidRPr="00EF319B" w:rsidRDefault="00000000" w:rsidP="009976C7">
      <w:pPr>
        <w:spacing w:line="276" w:lineRule="auto"/>
        <w:jc w:val="both"/>
        <w:rPr>
          <w:rFonts w:ascii="Times New Roman" w:hAnsi="Times New Roman" w:cs="Times New Roman"/>
          <w:sz w:val="20"/>
          <w:szCs w:val="20"/>
        </w:rPr>
      </w:pPr>
      <m:oMathPara>
        <m:oMath>
          <m:eqArr>
            <m:eqArrPr>
              <m:maxDist m:val="1"/>
              <m:ctrlPr>
                <w:rPr>
                  <w:rFonts w:ascii="Cambria Math" w:hAnsi="Cambria Math" w:cs="Times New Roman"/>
                  <w:i/>
                  <w:color w:val="333333"/>
                  <w:sz w:val="20"/>
                  <w:szCs w:val="20"/>
                  <w:shd w:val="clear" w:color="auto" w:fill="FCFCFC"/>
                </w:rPr>
              </m:ctrlPr>
            </m:eqArrPr>
            <m:e>
              <m:r>
                <w:rPr>
                  <w:rFonts w:ascii="Cambria Math" w:hAnsi="Cambria Math" w:cs="Times New Roman"/>
                  <w:color w:val="333333"/>
                  <w:sz w:val="20"/>
                  <w:szCs w:val="20"/>
                  <w:shd w:val="clear" w:color="auto" w:fill="FCFCFC"/>
                </w:rPr>
                <m:t>t</m:t>
              </m:r>
              <m:d>
                <m:dPr>
                  <m:ctrlPr>
                    <w:rPr>
                      <w:rFonts w:ascii="Cambria Math" w:hAnsi="Cambria Math" w:cs="Times New Roman"/>
                      <w:i/>
                      <w:color w:val="333333"/>
                      <w:sz w:val="20"/>
                      <w:szCs w:val="20"/>
                      <w:shd w:val="clear" w:color="auto" w:fill="FCFCFC"/>
                    </w:rPr>
                  </m:ctrlPr>
                </m:dPr>
                <m:e>
                  <m:r>
                    <w:rPr>
                      <w:rFonts w:ascii="Cambria Math" w:hAnsi="Cambria Math" w:cs="Times New Roman"/>
                      <w:color w:val="333333"/>
                      <w:sz w:val="20"/>
                      <w:szCs w:val="20"/>
                      <w:shd w:val="clear" w:color="auto" w:fill="FCFCFC"/>
                    </w:rPr>
                    <m:t>u</m:t>
                  </m:r>
                </m:e>
              </m:d>
              <m:r>
                <w:rPr>
                  <w:rFonts w:ascii="Cambria Math" w:hAnsi="Cambria Math" w:cs="Times New Roman"/>
                  <w:color w:val="333333"/>
                  <w:sz w:val="20"/>
                  <w:szCs w:val="20"/>
                  <w:shd w:val="clear" w:color="auto" w:fill="FCFCFC"/>
                </w:rPr>
                <m:t>∼</m:t>
              </m:r>
              <m:r>
                <m:rPr>
                  <m:sty m:val="p"/>
                </m:rPr>
                <w:rPr>
                  <w:rFonts w:ascii="Cambria Math" w:hAnsi="Cambria Math" w:cs="Times New Roman"/>
                  <w:color w:val="333333"/>
                  <w:sz w:val="20"/>
                  <w:szCs w:val="20"/>
                  <w:shd w:val="clear" w:color="auto" w:fill="FCFCFC"/>
                </w:rPr>
                <m:t>GP</m:t>
              </m:r>
              <m:d>
                <m:dPr>
                  <m:ctrlPr>
                    <w:rPr>
                      <w:rFonts w:ascii="Cambria Math" w:hAnsi="Cambria Math" w:cs="Times New Roman"/>
                      <w:color w:val="333333"/>
                      <w:sz w:val="20"/>
                      <w:szCs w:val="20"/>
                      <w:shd w:val="clear" w:color="auto" w:fill="FCFCFC"/>
                    </w:rPr>
                  </m:ctrlPr>
                </m:dPr>
                <m:e>
                  <m:r>
                    <w:rPr>
                      <w:rFonts w:ascii="Cambria Math" w:hAnsi="Cambria Math" w:cs="Times New Roman"/>
                      <w:color w:val="333333"/>
                      <w:sz w:val="20"/>
                      <w:szCs w:val="20"/>
                      <w:shd w:val="clear" w:color="auto" w:fill="FCFCFC"/>
                    </w:rPr>
                    <m:t>m</m:t>
                  </m:r>
                  <m:d>
                    <m:dPr>
                      <m:ctrlPr>
                        <w:rPr>
                          <w:rFonts w:ascii="Cambria Math" w:hAnsi="Cambria Math" w:cs="Times New Roman"/>
                          <w:i/>
                          <w:color w:val="333333"/>
                          <w:sz w:val="20"/>
                          <w:szCs w:val="20"/>
                          <w:shd w:val="clear" w:color="auto" w:fill="FCFCFC"/>
                        </w:rPr>
                      </m:ctrlPr>
                    </m:dPr>
                    <m:e>
                      <m:r>
                        <w:rPr>
                          <w:rFonts w:ascii="Cambria Math" w:hAnsi="Cambria Math" w:cs="Times New Roman"/>
                          <w:color w:val="333333"/>
                          <w:sz w:val="20"/>
                          <w:szCs w:val="20"/>
                          <w:shd w:val="clear" w:color="auto" w:fill="FCFCFC"/>
                        </w:rPr>
                        <m:t>u</m:t>
                      </m:r>
                    </m:e>
                  </m:d>
                  <m:r>
                    <w:rPr>
                      <w:rFonts w:ascii="Cambria Math" w:hAnsi="Cambria Math" w:cs="Times New Roman"/>
                      <w:color w:val="333333"/>
                      <w:sz w:val="20"/>
                      <w:szCs w:val="20"/>
                      <w:shd w:val="clear" w:color="auto" w:fill="FCFCFC"/>
                    </w:rPr>
                    <m:t>,k</m:t>
                  </m:r>
                  <m:d>
                    <m:dPr>
                      <m:ctrlPr>
                        <w:rPr>
                          <w:rFonts w:ascii="Cambria Math" w:hAnsi="Cambria Math" w:cs="Times New Roman"/>
                          <w:color w:val="333333"/>
                          <w:sz w:val="20"/>
                          <w:szCs w:val="20"/>
                          <w:shd w:val="clear" w:color="auto" w:fill="FCFCFC"/>
                        </w:rPr>
                      </m:ctrlPr>
                    </m:dPr>
                    <m:e>
                      <m:r>
                        <w:rPr>
                          <w:rFonts w:ascii="Cambria Math" w:hAnsi="Cambria Math" w:cs="Times New Roman"/>
                          <w:color w:val="333333"/>
                          <w:sz w:val="20"/>
                          <w:szCs w:val="20"/>
                          <w:shd w:val="clear" w:color="auto" w:fill="FCFCFC"/>
                        </w:rPr>
                        <m:t>u,</m:t>
                      </m:r>
                      <m:sSup>
                        <m:sSupPr>
                          <m:ctrlPr>
                            <w:rPr>
                              <w:rFonts w:ascii="Cambria Math" w:hAnsi="Cambria Math" w:cs="Times New Roman"/>
                              <w:color w:val="333333"/>
                              <w:sz w:val="20"/>
                              <w:szCs w:val="20"/>
                              <w:shd w:val="clear" w:color="auto" w:fill="FCFCFC"/>
                            </w:rPr>
                          </m:ctrlPr>
                        </m:sSupPr>
                        <m:e>
                          <m:r>
                            <w:rPr>
                              <w:rFonts w:ascii="Cambria Math" w:hAnsi="Cambria Math" w:cs="Times New Roman"/>
                              <w:color w:val="333333"/>
                              <w:sz w:val="20"/>
                              <w:szCs w:val="20"/>
                              <w:shd w:val="clear" w:color="auto" w:fill="FCFCFC"/>
                            </w:rPr>
                            <m:t>u</m:t>
                          </m:r>
                        </m:e>
                        <m:sup>
                          <m:r>
                            <m:rPr>
                              <m:sty m:val="p"/>
                            </m:rPr>
                            <w:rPr>
                              <w:rFonts w:ascii="Cambria Math" w:hAnsi="Cambria Math" w:cs="Times New Roman"/>
                              <w:color w:val="333333"/>
                              <w:sz w:val="20"/>
                              <w:szCs w:val="20"/>
                              <w:shd w:val="clear" w:color="auto" w:fill="FCFCFC"/>
                            </w:rPr>
                            <m:t>'</m:t>
                          </m:r>
                        </m:sup>
                      </m:sSup>
                    </m:e>
                  </m:d>
                </m:e>
              </m:d>
              <m:r>
                <w:rPr>
                  <w:rFonts w:ascii="Cambria Math" w:hAnsi="Cambria Math" w:cs="Times New Roman"/>
                  <w:color w:val="333333"/>
                  <w:sz w:val="20"/>
                  <w:szCs w:val="20"/>
                  <w:shd w:val="clear" w:color="auto" w:fill="FCFCFC"/>
                </w:rPr>
                <m:t xml:space="preserve">                                                                                                                                                     #</m:t>
              </m:r>
              <m:d>
                <m:dPr>
                  <m:ctrlPr>
                    <w:rPr>
                      <w:rFonts w:ascii="Cambria Math" w:hAnsi="Cambria Math" w:cs="Times New Roman"/>
                      <w:i/>
                      <w:color w:val="333333"/>
                      <w:sz w:val="20"/>
                      <w:szCs w:val="20"/>
                      <w:shd w:val="clear" w:color="auto" w:fill="FCFCFC"/>
                    </w:rPr>
                  </m:ctrlPr>
                </m:dPr>
                <m:e>
                  <m:r>
                    <w:rPr>
                      <w:rFonts w:ascii="Cambria Math" w:hAnsi="Cambria Math" w:cs="Times New Roman"/>
                      <w:color w:val="333333"/>
                      <w:sz w:val="20"/>
                      <w:szCs w:val="20"/>
                      <w:shd w:val="clear" w:color="auto" w:fill="FCFCFC"/>
                    </w:rPr>
                    <m:t>6</m:t>
                  </m:r>
                </m:e>
              </m:d>
            </m:e>
          </m:eqArr>
        </m:oMath>
      </m:oMathPara>
    </w:p>
    <w:p w14:paraId="3FA57FE6" w14:textId="6B41E81B" w:rsidR="009976C7" w:rsidRPr="00EF319B" w:rsidRDefault="00BF3F06" w:rsidP="00AE5A71">
      <w:pPr>
        <w:spacing w:line="276" w:lineRule="auto"/>
        <w:jc w:val="both"/>
        <w:rPr>
          <w:rFonts w:ascii="Times New Roman" w:hAnsi="Times New Roman" w:cs="Times New Roman"/>
          <w:sz w:val="20"/>
          <w:szCs w:val="20"/>
        </w:rPr>
      </w:pPr>
      <w:r w:rsidRPr="00EF319B">
        <w:rPr>
          <w:rFonts w:ascii="Times New Roman" w:hAnsi="Times New Roman" w:cs="Times New Roman"/>
          <w:sz w:val="20"/>
          <w:szCs w:val="20"/>
        </w:rPr>
        <w:t>where GP denotes the Gaussian process model This implies that t(u) is a probabilistic function where, m(u) =Gaussian mean and d (u, u′) =covariance function.</w:t>
      </w:r>
    </w:p>
    <w:p w14:paraId="419285CA" w14:textId="77777777" w:rsidR="006F1EB0" w:rsidRDefault="006F1EB0" w:rsidP="0022023A">
      <w:pPr>
        <w:spacing w:line="360" w:lineRule="auto"/>
        <w:jc w:val="both"/>
        <w:rPr>
          <w:rFonts w:ascii="Times New Roman" w:hAnsi="Times New Roman" w:cs="Times New Roman"/>
          <w:sz w:val="20"/>
          <w:szCs w:val="20"/>
        </w:rPr>
      </w:pPr>
    </w:p>
    <w:p w14:paraId="00831D87" w14:textId="77777777" w:rsidR="00DA3D42" w:rsidRPr="00EF319B" w:rsidRDefault="00DA3D42" w:rsidP="0022023A">
      <w:pPr>
        <w:spacing w:line="360" w:lineRule="auto"/>
        <w:jc w:val="both"/>
        <w:rPr>
          <w:rFonts w:ascii="Times New Roman" w:hAnsi="Times New Roman" w:cs="Times New Roman"/>
          <w:sz w:val="20"/>
          <w:szCs w:val="20"/>
        </w:rPr>
      </w:pPr>
    </w:p>
    <w:p w14:paraId="6F591C21" w14:textId="352A517C" w:rsidR="0022023A" w:rsidRPr="00EF319B" w:rsidRDefault="0022023A" w:rsidP="0022023A">
      <w:pPr>
        <w:spacing w:line="360" w:lineRule="auto"/>
        <w:jc w:val="both"/>
        <w:rPr>
          <w:rFonts w:ascii="Times New Roman" w:hAnsi="Times New Roman" w:cs="Times New Roman"/>
          <w:b/>
          <w:bCs/>
          <w:sz w:val="20"/>
          <w:szCs w:val="20"/>
        </w:rPr>
      </w:pPr>
      <w:r w:rsidRPr="00EF319B">
        <w:rPr>
          <w:rFonts w:ascii="Times New Roman" w:hAnsi="Times New Roman" w:cs="Times New Roman"/>
          <w:b/>
          <w:bCs/>
          <w:sz w:val="20"/>
          <w:szCs w:val="20"/>
        </w:rPr>
        <w:lastRenderedPageBreak/>
        <w:t xml:space="preserve">2.3.3 Support Vector </w:t>
      </w:r>
      <w:r w:rsidR="00165F28" w:rsidRPr="00EF319B">
        <w:rPr>
          <w:rFonts w:ascii="Times New Roman" w:hAnsi="Times New Roman" w:cs="Times New Roman"/>
          <w:b/>
          <w:bCs/>
          <w:sz w:val="20"/>
          <w:szCs w:val="20"/>
        </w:rPr>
        <w:t>Machine</w:t>
      </w:r>
      <w:r w:rsidRPr="00EF319B">
        <w:rPr>
          <w:rFonts w:ascii="Times New Roman" w:hAnsi="Times New Roman" w:cs="Times New Roman"/>
          <w:b/>
          <w:bCs/>
          <w:sz w:val="20"/>
          <w:szCs w:val="20"/>
        </w:rPr>
        <w:t xml:space="preserve"> (SVM)</w:t>
      </w:r>
    </w:p>
    <w:p w14:paraId="76BFB2BA" w14:textId="29E5AA9D" w:rsidR="00C977C6" w:rsidRPr="00EF319B" w:rsidRDefault="0022023A" w:rsidP="0022023A">
      <w:pPr>
        <w:spacing w:line="360" w:lineRule="auto"/>
        <w:jc w:val="both"/>
        <w:rPr>
          <w:rFonts w:ascii="Times New Roman" w:hAnsi="Times New Roman" w:cs="Times New Roman"/>
          <w:sz w:val="20"/>
          <w:szCs w:val="20"/>
        </w:rPr>
      </w:pPr>
      <w:r w:rsidRPr="00EF319B">
        <w:rPr>
          <w:rFonts w:ascii="Times New Roman" w:hAnsi="Times New Roman" w:cs="Times New Roman"/>
          <w:sz w:val="20"/>
          <w:szCs w:val="20"/>
        </w:rPr>
        <w:t xml:space="preserve">Support Vector Machine was utilized for its superior performance in handling nonlinear regression tasks and its ability to model high-dimensional feature spaces effectively </w:t>
      </w:r>
      <w:r w:rsidRPr="00EF319B">
        <w:rPr>
          <w:rFonts w:ascii="Times New Roman" w:hAnsi="Times New Roman" w:cs="Times New Roman"/>
          <w:sz w:val="20"/>
          <w:szCs w:val="20"/>
        </w:rPr>
        <w:fldChar w:fldCharType="begin"/>
      </w:r>
      <w:r w:rsidR="00105FA5" w:rsidRPr="00EF319B">
        <w:rPr>
          <w:rFonts w:ascii="Times New Roman" w:hAnsi="Times New Roman" w:cs="Times New Roman"/>
          <w:sz w:val="20"/>
          <w:szCs w:val="20"/>
        </w:rPr>
        <w:instrText xml:space="preserve"> ADDIN ZOTERO_ITEM CSL_CITATION {"citationID":"CiRjFHoQ","properties":{"formattedCitation":"[42]","plainCitation":"[42]","noteIndex":0},"citationItems":[{"id":880,"uris":["http://zotero.org/users/14115032/items/MPQAZCRM"],"itemData":{"id":880,"type":"article-journal","container-title":"Building and Environment","DOI":"10.1016/j.buildenv.2024.112173","ISSN":"03601323","journalAbbreviation":"Building and Environment","language":"en","page":"112173","source":"DOI.org (Crossref)","title":"Evaluation of supervised machine learning regression models for CFD-based surrogate modelling in indoor airflow field reconstruction","volume":"267","author":[{"family":"Li","given":"Xueren"},{"family":"Sun","given":"Weijie"},{"family":"Qin","given":"Chao"},{"family":"Yan","given":"Yihuan"},{"family":"Zhang","given":"Liwei"},{"family":"Tu","given":"Jiyuan"}],"issued":{"date-parts":[["2025",1]]}}}],"schema":"https://github.com/citation-style-language/schema/raw/master/csl-citation.json"} </w:instrText>
      </w:r>
      <w:r w:rsidRPr="00EF319B">
        <w:rPr>
          <w:rFonts w:ascii="Times New Roman" w:hAnsi="Times New Roman" w:cs="Times New Roman"/>
          <w:sz w:val="20"/>
          <w:szCs w:val="20"/>
        </w:rPr>
        <w:fldChar w:fldCharType="separate"/>
      </w:r>
      <w:r w:rsidR="00105FA5" w:rsidRPr="00EF319B">
        <w:rPr>
          <w:rFonts w:ascii="Times New Roman" w:hAnsi="Times New Roman" w:cs="Times New Roman"/>
          <w:sz w:val="20"/>
        </w:rPr>
        <w:t>[42]</w:t>
      </w:r>
      <w:r w:rsidRPr="00EF319B">
        <w:rPr>
          <w:rFonts w:ascii="Times New Roman" w:hAnsi="Times New Roman" w:cs="Times New Roman"/>
          <w:sz w:val="20"/>
          <w:szCs w:val="20"/>
        </w:rPr>
        <w:fldChar w:fldCharType="end"/>
      </w:r>
      <w:r w:rsidRPr="00EF319B">
        <w:rPr>
          <w:rFonts w:ascii="Times New Roman" w:hAnsi="Times New Roman" w:cs="Times New Roman"/>
          <w:sz w:val="20"/>
          <w:szCs w:val="20"/>
        </w:rPr>
        <w:t>. Through kernel transformations, SVM can map input parameters</w:t>
      </w:r>
      <w:r w:rsidR="00F016E8" w:rsidRPr="00EF319B">
        <w:rPr>
          <w:rFonts w:ascii="Times New Roman" w:hAnsi="Times New Roman" w:cs="Times New Roman"/>
          <w:sz w:val="20"/>
          <w:szCs w:val="20"/>
        </w:rPr>
        <w:t xml:space="preserve">, </w:t>
      </w:r>
      <w:r w:rsidRPr="00EF319B">
        <w:rPr>
          <w:rFonts w:ascii="Times New Roman" w:hAnsi="Times New Roman" w:cs="Times New Roman"/>
          <w:sz w:val="20"/>
          <w:szCs w:val="20"/>
        </w:rPr>
        <w:t>such as solution chemistry, adsorbent properties, and operational conditions</w:t>
      </w:r>
      <w:r w:rsidR="00F35532" w:rsidRPr="00EF319B">
        <w:rPr>
          <w:rFonts w:ascii="Times New Roman" w:hAnsi="Times New Roman" w:cs="Times New Roman"/>
          <w:sz w:val="20"/>
          <w:szCs w:val="20"/>
        </w:rPr>
        <w:t>,</w:t>
      </w:r>
      <w:r w:rsidR="00F016E8" w:rsidRPr="00EF319B">
        <w:rPr>
          <w:rFonts w:ascii="Times New Roman" w:hAnsi="Times New Roman" w:cs="Times New Roman"/>
          <w:sz w:val="20"/>
          <w:szCs w:val="20"/>
        </w:rPr>
        <w:t xml:space="preserve"> </w:t>
      </w:r>
      <w:r w:rsidRPr="00EF319B">
        <w:rPr>
          <w:rFonts w:ascii="Times New Roman" w:hAnsi="Times New Roman" w:cs="Times New Roman"/>
          <w:sz w:val="20"/>
          <w:szCs w:val="20"/>
        </w:rPr>
        <w:t>into higher dimensions where linear separation or regression becomes feasible. In the context of adsorption</w:t>
      </w:r>
      <w:r w:rsidR="00D54712">
        <w:rPr>
          <w:rFonts w:ascii="Times New Roman" w:hAnsi="Times New Roman" w:cs="Times New Roman"/>
          <w:sz w:val="20"/>
          <w:szCs w:val="20"/>
        </w:rPr>
        <w:t>,</w:t>
      </w:r>
      <w:r w:rsidRPr="00EF319B">
        <w:rPr>
          <w:rFonts w:ascii="Times New Roman" w:hAnsi="Times New Roman" w:cs="Times New Roman"/>
          <w:sz w:val="20"/>
          <w:szCs w:val="20"/>
        </w:rPr>
        <w:t xml:space="preserve"> </w:t>
      </w:r>
      <w:r w:rsidR="00D54712" w:rsidRPr="00EF319B">
        <w:rPr>
          <w:rFonts w:ascii="Times New Roman" w:hAnsi="Times New Roman" w:cs="Times New Roman"/>
          <w:sz w:val="20"/>
          <w:szCs w:val="20"/>
        </w:rPr>
        <w:t>SVM excels at modelling complex sorption mechanisms and capturing multivariate dependencies between process parameters and adsorption capacity</w:t>
      </w:r>
      <w:r w:rsidR="00D54712">
        <w:rPr>
          <w:rFonts w:ascii="Times New Roman" w:hAnsi="Times New Roman" w:cs="Times New Roman"/>
          <w:sz w:val="20"/>
          <w:szCs w:val="20"/>
        </w:rPr>
        <w:t xml:space="preserve"> </w:t>
      </w:r>
      <w:r w:rsidRPr="00EF319B">
        <w:rPr>
          <w:rFonts w:ascii="Times New Roman" w:hAnsi="Times New Roman" w:cs="Times New Roman"/>
          <w:sz w:val="20"/>
          <w:szCs w:val="20"/>
        </w:rPr>
        <w:fldChar w:fldCharType="begin"/>
      </w:r>
      <w:r w:rsidR="00105FA5" w:rsidRPr="00EF319B">
        <w:rPr>
          <w:rFonts w:ascii="Times New Roman" w:hAnsi="Times New Roman" w:cs="Times New Roman"/>
          <w:sz w:val="20"/>
          <w:szCs w:val="20"/>
        </w:rPr>
        <w:instrText xml:space="preserve"> ADDIN ZOTERO_ITEM CSL_CITATION {"citationID":"GdbslkK6","properties":{"formattedCitation":"[43]","plainCitation":"[43]","noteIndex":0},"citationItems":[{"id":881,"uris":["http://zotero.org/users/14115032/items/IQ3A3TWJ"],"itemData":{"id":881,"type":"article-journal","abstract":"Abstract\n            \n              Soil cation exchange capacity (CEC) strongly influences the chemical, physical, and biological properties of soil. As the direct measurement of the CEC is difficult, costly, and time-consuming, the indirect estimation of CEC from chemical and physical parameters has been considered as an alternative method by researchers. Accordingly, in this study, a new hybrid model using a support vector machine (SVM), coupling with particle swarm optimization (PSO), and integrated invasive weed optimization (IWO) algorithm is developed for estimating the soil CEC. The physical and chemical data (i.e., clay, organic matter (OM), and pH) from two field sites of Taybad and Semnan in Iran were used for validating the new proposed approach. The ability of the proposed model (SVM-PSOIWO) was compared with the individual model (SVM) and the hybrid model (SVM-PSO). The results of the SVM-PSOIWO model were also compared with those of existing studies. Different performance evaluation criteria such as RMSE,\n              R\n              2\n              , MAE, RRMSE, and MAPE, Box plots, and scatter diagrams were used to test the ability of the proposed models for estimation of the CEC values. The results showed that the SVM-PSOIWO model with the RMSE (\n              R\n              2\n              ) of 0.229 Cmol + kg\n              −1\n              (0.924) was better than those of the SVM and SVM-PSO models with the RMSE (\n              R\n              2\n              ) of 0.335 Cmol + kg\n              −1\n              (0.843) and 0.279 Cmol + kg\n              −1\n              (0.888), respectively. Furthermore, the ability of the SVM-PSOIWO model compared with existing studies, which used the genetic expression programming, artificial neural network, and multivariate adaptive regression splines models. The results indicated that the SVM-PSOIWO model estimates the CEC more accurately than existing studies.","container-title":"Soft Computing","DOI":"10.1007/s00500-021-06095-4","ISSN":"1432-7643, 1433-7479","issue":"21","journalAbbreviation":"Soft Comput","language":"en","page":"13451-13464","source":"DOI.org (Crossref)","title":"New hybrid nature-based algorithm to integration support vector machine for prediction of soil cation exchange capacity","volume":"25","author":[{"family":"Emamgholizadeh","given":"Samad"},{"family":"Mohammadi","given":"Babak"}],"issued":{"date-parts":[["2021",11]]}}}],"schema":"https://github.com/citation-style-language/schema/raw/master/csl-citation.json"} </w:instrText>
      </w:r>
      <w:r w:rsidRPr="00EF319B">
        <w:rPr>
          <w:rFonts w:ascii="Times New Roman" w:hAnsi="Times New Roman" w:cs="Times New Roman"/>
          <w:sz w:val="20"/>
          <w:szCs w:val="20"/>
        </w:rPr>
        <w:fldChar w:fldCharType="separate"/>
      </w:r>
      <w:r w:rsidR="00105FA5" w:rsidRPr="00EF319B">
        <w:rPr>
          <w:rFonts w:ascii="Times New Roman" w:hAnsi="Times New Roman" w:cs="Times New Roman"/>
          <w:sz w:val="20"/>
        </w:rPr>
        <w:t>[43]</w:t>
      </w:r>
      <w:r w:rsidRPr="00EF319B">
        <w:rPr>
          <w:rFonts w:ascii="Times New Roman" w:hAnsi="Times New Roman" w:cs="Times New Roman"/>
          <w:sz w:val="20"/>
          <w:szCs w:val="20"/>
        </w:rPr>
        <w:fldChar w:fldCharType="end"/>
      </w:r>
      <w:r w:rsidRPr="00EF319B">
        <w:rPr>
          <w:rFonts w:ascii="Times New Roman" w:hAnsi="Times New Roman" w:cs="Times New Roman"/>
          <w:sz w:val="20"/>
          <w:szCs w:val="20"/>
        </w:rPr>
        <w:t xml:space="preserve">. Its robustness against overfitting and strong </w:t>
      </w:r>
      <w:r w:rsidR="00F35532" w:rsidRPr="00EF319B">
        <w:rPr>
          <w:rFonts w:ascii="Times New Roman" w:hAnsi="Times New Roman" w:cs="Times New Roman"/>
          <w:sz w:val="20"/>
          <w:szCs w:val="20"/>
        </w:rPr>
        <w:t xml:space="preserve">generalization ability </w:t>
      </w:r>
      <w:r w:rsidR="00D54712" w:rsidRPr="00EF319B">
        <w:rPr>
          <w:rFonts w:ascii="Times New Roman" w:hAnsi="Times New Roman" w:cs="Times New Roman"/>
          <w:sz w:val="20"/>
          <w:szCs w:val="20"/>
        </w:rPr>
        <w:t>makes</w:t>
      </w:r>
      <w:r w:rsidRPr="00EF319B">
        <w:rPr>
          <w:rFonts w:ascii="Times New Roman" w:hAnsi="Times New Roman" w:cs="Times New Roman"/>
          <w:sz w:val="20"/>
          <w:szCs w:val="20"/>
        </w:rPr>
        <w:t xml:space="preserve"> it a key component of the hybrid framework.</w:t>
      </w:r>
      <w:r w:rsidR="004E74B9" w:rsidRPr="00EF319B">
        <w:rPr>
          <w:rFonts w:ascii="Times New Roman" w:hAnsi="Times New Roman" w:cs="Times New Roman"/>
          <w:sz w:val="20"/>
          <w:szCs w:val="20"/>
        </w:rPr>
        <w:t xml:space="preserve"> Enhancing </w:t>
      </w:r>
      <w:r w:rsidR="00F35532" w:rsidRPr="00EF319B">
        <w:rPr>
          <w:rFonts w:ascii="Times New Roman" w:hAnsi="Times New Roman" w:cs="Times New Roman"/>
          <w:sz w:val="20"/>
          <w:szCs w:val="20"/>
        </w:rPr>
        <w:t xml:space="preserve">SVMs with kernels improves their flexibility and simplifies handling </w:t>
      </w:r>
      <w:r w:rsidR="004E74B9" w:rsidRPr="00EF319B">
        <w:rPr>
          <w:rFonts w:ascii="Times New Roman" w:hAnsi="Times New Roman" w:cs="Times New Roman"/>
          <w:sz w:val="20"/>
          <w:szCs w:val="20"/>
        </w:rPr>
        <w:t>nonlinear tasks. The equations defining the prediction function for the target output differ between a linear support vector machine and a nonlinear SVM (including quadratic and cubic variations)</w:t>
      </w:r>
      <w:r w:rsidR="00402E6F" w:rsidRPr="00EF319B">
        <w:rPr>
          <w:rFonts w:ascii="Times New Roman" w:hAnsi="Times New Roman" w:cs="Times New Roman"/>
          <w:sz w:val="20"/>
          <w:szCs w:val="20"/>
        </w:rPr>
        <w:t xml:space="preserve"> </w:t>
      </w:r>
      <w:r w:rsidR="00402E6F" w:rsidRPr="00EF319B">
        <w:rPr>
          <w:rFonts w:ascii="Times New Roman" w:hAnsi="Times New Roman" w:cs="Times New Roman"/>
          <w:sz w:val="20"/>
          <w:szCs w:val="20"/>
        </w:rPr>
        <w:fldChar w:fldCharType="begin"/>
      </w:r>
      <w:r w:rsidR="00105FA5" w:rsidRPr="00EF319B">
        <w:rPr>
          <w:rFonts w:ascii="Times New Roman" w:hAnsi="Times New Roman" w:cs="Times New Roman"/>
          <w:sz w:val="20"/>
          <w:szCs w:val="20"/>
        </w:rPr>
        <w:instrText xml:space="preserve"> ADDIN ZOTERO_ITEM CSL_CITATION {"citationID":"ZKhUi7aE","properties":{"formattedCitation":"[44]","plainCitation":"[44]","noteIndex":0},"citationItems":[{"id":897,"uris":["http://zotero.org/users/14115032/items/2K6JVEW7"],"itemData":{"id":897,"type":"article-journal","container-title":"Chemosphere","DOI":"10.1016/j.chemosphere.2021.132052","ISSN":"00456535","journalAbbreviation":"Chemosphere","language":"en","page":"132052","source":"DOI.org (Crossref)","title":"Elucidating the effect of process parameters on the production of hydrogen-rich syngas by biomass and coal Co-gasification techniques: A multi-criteria modeling approach","title-short":"Elucidating the effect of process parameters on the production of hydrogen-rich syngas by biomass and coal Co-gasification techniques","volume":"287","author":[{"family":"Bahadar","given":"Ali"},{"family":"Kanthasamy","given":"Ramesh"},{"family":"Sait","given":"Hani Hussain"},{"family":"Zwawi","given":"Mohammed"},{"family":"Algarni","given":"Mohammed"},{"family":"Ayodele","given":"Bamidele Victor"},{"family":"Cheng","given":"Chin Kui"},{"family":"Wei","given":"Lim Jun"}],"issued":{"date-parts":[["2022",1]]}}}],"schema":"https://github.com/citation-style-language/schema/raw/master/csl-citation.json"} </w:instrText>
      </w:r>
      <w:r w:rsidR="00402E6F" w:rsidRPr="00EF319B">
        <w:rPr>
          <w:rFonts w:ascii="Times New Roman" w:hAnsi="Times New Roman" w:cs="Times New Roman"/>
          <w:sz w:val="20"/>
          <w:szCs w:val="20"/>
        </w:rPr>
        <w:fldChar w:fldCharType="separate"/>
      </w:r>
      <w:r w:rsidR="00105FA5" w:rsidRPr="00EF319B">
        <w:rPr>
          <w:rFonts w:ascii="Times New Roman" w:hAnsi="Times New Roman" w:cs="Times New Roman"/>
          <w:sz w:val="20"/>
        </w:rPr>
        <w:t>[44]</w:t>
      </w:r>
      <w:r w:rsidR="00402E6F" w:rsidRPr="00EF319B">
        <w:rPr>
          <w:rFonts w:ascii="Times New Roman" w:hAnsi="Times New Roman" w:cs="Times New Roman"/>
          <w:sz w:val="20"/>
          <w:szCs w:val="20"/>
        </w:rPr>
        <w:fldChar w:fldCharType="end"/>
      </w:r>
      <w:r w:rsidR="004E74B9" w:rsidRPr="00EF319B">
        <w:rPr>
          <w:rFonts w:ascii="Times New Roman" w:hAnsi="Times New Roman" w:cs="Times New Roman"/>
          <w:sz w:val="20"/>
          <w:szCs w:val="20"/>
        </w:rPr>
        <w:t xml:space="preserve">. </w:t>
      </w:r>
    </w:p>
    <w:p w14:paraId="3F162317" w14:textId="6060AE54" w:rsidR="00556274" w:rsidRPr="00D54712" w:rsidRDefault="00000000" w:rsidP="00556274">
      <w:pPr>
        <w:spacing w:line="276" w:lineRule="auto"/>
        <w:jc w:val="both"/>
        <w:rPr>
          <w:rFonts w:ascii="Times New Roman" w:eastAsiaTheme="minorEastAsia" w:hAnsi="Times New Roman" w:cs="Times New Roman"/>
          <w:sz w:val="20"/>
          <w:szCs w:val="20"/>
        </w:rPr>
      </w:pPr>
      <m:oMathPara>
        <m:oMath>
          <m:eqArr>
            <m:eqArrPr>
              <m:maxDist m:val="1"/>
              <m:ctrlPr>
                <w:rPr>
                  <w:rFonts w:ascii="Cambria Math" w:hAnsi="Cambria Math" w:cs="Times New Roman"/>
                  <w:i/>
                  <w:sz w:val="20"/>
                  <w:szCs w:val="20"/>
                </w:rPr>
              </m:ctrlPr>
            </m:eqArrPr>
            <m:e>
              <m:r>
                <w:rPr>
                  <w:rFonts w:ascii="Cambria Math" w:hAnsi="Cambria Math" w:cs="Times New Roman"/>
                  <w:sz w:val="20"/>
                  <w:szCs w:val="20"/>
                </w:rPr>
                <m:t>y</m:t>
              </m:r>
              <m:d>
                <m:dPr>
                  <m:ctrlPr>
                    <w:rPr>
                      <w:rFonts w:ascii="Cambria Math" w:hAnsi="Cambria Math" w:cs="Times New Roman"/>
                      <w:i/>
                      <w:sz w:val="20"/>
                      <w:szCs w:val="20"/>
                    </w:rPr>
                  </m:ctrlPr>
                </m:dPr>
                <m:e>
                  <m:r>
                    <w:rPr>
                      <w:rFonts w:ascii="Cambria Math" w:hAnsi="Cambria Math" w:cs="Times New Roman"/>
                      <w:sz w:val="20"/>
                      <w:szCs w:val="20"/>
                    </w:rPr>
                    <m:t>x</m:t>
                  </m:r>
                </m:e>
              </m:d>
              <m:r>
                <w:rPr>
                  <w:rFonts w:ascii="Cambria Math" w:hAnsi="Cambria Math" w:cs="Times New Roman"/>
                  <w:sz w:val="20"/>
                  <w:szCs w:val="20"/>
                </w:rPr>
                <m:t>=</m:t>
              </m:r>
              <m:nary>
                <m:naryPr>
                  <m:chr m:val="∑"/>
                  <m:limLoc m:val="undOvr"/>
                  <m:grow m:val="1"/>
                  <m:ctrlPr>
                    <w:rPr>
                      <w:rFonts w:ascii="Cambria Math" w:hAnsi="Cambria Math" w:cs="Times New Roman"/>
                      <w:i/>
                      <w:sz w:val="20"/>
                      <w:szCs w:val="20"/>
                    </w:rPr>
                  </m:ctrlPr>
                </m:naryPr>
                <m:sub>
                  <m:r>
                    <w:rPr>
                      <w:rFonts w:ascii="Cambria Math" w:hAnsi="Cambria Math" w:cs="Times New Roman"/>
                      <w:sz w:val="20"/>
                      <w:szCs w:val="20"/>
                    </w:rPr>
                    <m:t>u=1</m:t>
                  </m:r>
                </m:sub>
                <m:sup>
                  <m:r>
                    <w:rPr>
                      <w:rFonts w:ascii="Cambria Math" w:hAnsi="Cambria Math" w:cs="Times New Roman"/>
                      <w:sz w:val="20"/>
                      <w:szCs w:val="20"/>
                    </w:rPr>
                    <m:t>U</m:t>
                  </m:r>
                </m:sup>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u</m:t>
                          </m:r>
                        </m:sub>
                      </m:sSub>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a</m:t>
                          </m:r>
                        </m:e>
                        <m:sub>
                          <m:r>
                            <w:rPr>
                              <w:rFonts w:ascii="Cambria Math" w:hAnsi="Cambria Math" w:cs="Times New Roman"/>
                              <w:sz w:val="20"/>
                              <w:szCs w:val="20"/>
                            </w:rPr>
                            <m:t>u</m:t>
                          </m:r>
                        </m:sub>
                        <m:sup>
                          <m:r>
                            <w:rPr>
                              <w:rFonts w:ascii="Cambria Math" w:hAnsi="Cambria Math" w:cs="Times New Roman"/>
                              <w:sz w:val="20"/>
                              <w:szCs w:val="20"/>
                            </w:rPr>
                            <m:t>*</m:t>
                          </m:r>
                        </m:sup>
                      </m:sSubSup>
                    </m:e>
                  </m:d>
                  <m:d>
                    <m:dPr>
                      <m:ctrlPr>
                        <w:rPr>
                          <w:rFonts w:ascii="Cambria Math" w:hAnsi="Cambria Math" w:cs="Times New Roman"/>
                          <w:i/>
                          <w:sz w:val="20"/>
                          <w:szCs w:val="20"/>
                        </w:rPr>
                      </m:ctrlPr>
                    </m:dPr>
                    <m:e>
                      <m:sSubSup>
                        <m:sSubSupPr>
                          <m:ctrlPr>
                            <w:rPr>
                              <w:rFonts w:ascii="Cambria Math" w:hAnsi="Cambria Math" w:cs="Times New Roman"/>
                              <w:i/>
                              <w:sz w:val="20"/>
                              <w:szCs w:val="20"/>
                            </w:rPr>
                          </m:ctrlPr>
                        </m:sSubSupPr>
                        <m:e>
                          <m:r>
                            <w:rPr>
                              <w:rFonts w:ascii="Cambria Math" w:hAnsi="Cambria Math" w:cs="Times New Roman"/>
                              <w:sz w:val="20"/>
                              <w:szCs w:val="20"/>
                            </w:rPr>
                            <m:t>x</m:t>
                          </m:r>
                        </m:e>
                        <m:sub>
                          <m:r>
                            <w:rPr>
                              <w:rFonts w:ascii="Cambria Math" w:hAnsi="Cambria Math" w:cs="Times New Roman"/>
                              <w:sz w:val="20"/>
                              <w:szCs w:val="20"/>
                            </w:rPr>
                            <m:t>u</m:t>
                          </m:r>
                        </m:sub>
                        <m:sup>
                          <m:r>
                            <w:rPr>
                              <w:rFonts w:ascii="Cambria Math" w:hAnsi="Cambria Math" w:cs="Times New Roman"/>
                              <w:sz w:val="20"/>
                              <w:szCs w:val="20"/>
                            </w:rPr>
                            <m:t>'</m:t>
                          </m:r>
                        </m:sup>
                      </m:sSubSup>
                      <m:r>
                        <w:rPr>
                          <w:rFonts w:ascii="Cambria Math" w:hAnsi="Cambria Math" w:cs="Times New Roman"/>
                          <w:sz w:val="20"/>
                          <w:szCs w:val="20"/>
                        </w:rPr>
                        <m:t>,x</m:t>
                      </m:r>
                    </m:e>
                  </m:d>
                </m:e>
              </m:nary>
              <m:r>
                <w:rPr>
                  <w:rFonts w:ascii="Cambria Math" w:hAnsi="Cambria Math" w:cs="Times New Roman"/>
                  <w:sz w:val="20"/>
                  <w:szCs w:val="20"/>
                </w:rPr>
                <m:t>+b#</m:t>
              </m:r>
              <m:d>
                <m:dPr>
                  <m:ctrlPr>
                    <w:rPr>
                      <w:rFonts w:ascii="Cambria Math" w:hAnsi="Cambria Math" w:cs="Times New Roman"/>
                      <w:i/>
                      <w:sz w:val="20"/>
                      <w:szCs w:val="20"/>
                    </w:rPr>
                  </m:ctrlPr>
                </m:dPr>
                <m:e>
                  <m:r>
                    <w:rPr>
                      <w:rFonts w:ascii="Cambria Math" w:hAnsi="Cambria Math" w:cs="Times New Roman"/>
                      <w:sz w:val="20"/>
                      <w:szCs w:val="20"/>
                    </w:rPr>
                    <m:t>7</m:t>
                  </m:r>
                </m:e>
              </m:d>
            </m:e>
          </m:eqArr>
        </m:oMath>
      </m:oMathPara>
    </w:p>
    <w:p w14:paraId="1A46CB79" w14:textId="3E2BF83B" w:rsidR="00C977C6" w:rsidRPr="00D54712" w:rsidRDefault="00000000" w:rsidP="00556274">
      <w:pPr>
        <w:spacing w:line="276" w:lineRule="auto"/>
        <w:jc w:val="both"/>
        <w:rPr>
          <w:rFonts w:ascii="Times New Roman" w:eastAsiaTheme="minorEastAsia" w:hAnsi="Times New Roman" w:cs="Times New Roman"/>
          <w:sz w:val="20"/>
          <w:szCs w:val="20"/>
        </w:rPr>
      </w:pPr>
      <m:oMath>
        <m:eqArr>
          <m:eqArrPr>
            <m:maxDist m:val="1"/>
            <m:ctrlPr>
              <w:rPr>
                <w:rFonts w:ascii="Cambria Math" w:hAnsi="Cambria Math" w:cs="Times New Roman"/>
                <w:i/>
                <w:sz w:val="20"/>
                <w:szCs w:val="20"/>
              </w:rPr>
            </m:ctrlPr>
          </m:eqArrPr>
          <m:e>
            <m:r>
              <w:rPr>
                <w:rFonts w:ascii="Cambria Math" w:hAnsi="Cambria Math" w:cs="Times New Roman"/>
                <w:sz w:val="20"/>
                <w:szCs w:val="20"/>
              </w:rPr>
              <m:t>y</m:t>
            </m:r>
            <m:d>
              <m:dPr>
                <m:ctrlPr>
                  <w:rPr>
                    <w:rFonts w:ascii="Cambria Math" w:hAnsi="Cambria Math" w:cs="Times New Roman"/>
                    <w:i/>
                    <w:sz w:val="20"/>
                    <w:szCs w:val="20"/>
                  </w:rPr>
                </m:ctrlPr>
              </m:dPr>
              <m:e>
                <m:r>
                  <w:rPr>
                    <w:rFonts w:ascii="Cambria Math" w:hAnsi="Cambria Math" w:cs="Times New Roman"/>
                    <w:sz w:val="20"/>
                    <w:szCs w:val="20"/>
                  </w:rPr>
                  <m:t>x</m:t>
                </m:r>
              </m:e>
            </m:d>
            <m:r>
              <w:rPr>
                <w:rFonts w:ascii="Cambria Math" w:hAnsi="Cambria Math" w:cs="Times New Roman"/>
                <w:sz w:val="20"/>
                <w:szCs w:val="20"/>
              </w:rPr>
              <m:t>=</m:t>
            </m:r>
            <m:nary>
              <m:naryPr>
                <m:chr m:val="∑"/>
                <m:limLoc m:val="undOvr"/>
                <m:grow m:val="1"/>
                <m:ctrlPr>
                  <w:rPr>
                    <w:rFonts w:ascii="Cambria Math" w:hAnsi="Cambria Math" w:cs="Times New Roman"/>
                    <w:i/>
                    <w:sz w:val="20"/>
                    <w:szCs w:val="20"/>
                  </w:rPr>
                </m:ctrlPr>
              </m:naryPr>
              <m:sub>
                <m:r>
                  <w:rPr>
                    <w:rFonts w:ascii="Cambria Math" w:hAnsi="Cambria Math" w:cs="Times New Roman"/>
                    <w:sz w:val="20"/>
                    <w:szCs w:val="20"/>
                  </w:rPr>
                  <m:t>u=1</m:t>
                </m:r>
              </m:sub>
              <m:sup>
                <m:r>
                  <w:rPr>
                    <w:rFonts w:ascii="Cambria Math" w:hAnsi="Cambria Math" w:cs="Times New Roman"/>
                    <w:sz w:val="20"/>
                    <w:szCs w:val="20"/>
                  </w:rPr>
                  <m:t>U</m:t>
                </m:r>
              </m:sup>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u</m:t>
                        </m:r>
                      </m:sub>
                    </m:sSub>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a</m:t>
                        </m:r>
                      </m:e>
                      <m:sub>
                        <m:r>
                          <w:rPr>
                            <w:rFonts w:ascii="Cambria Math" w:hAnsi="Cambria Math" w:cs="Times New Roman"/>
                            <w:sz w:val="20"/>
                            <w:szCs w:val="20"/>
                          </w:rPr>
                          <m:t>u</m:t>
                        </m:r>
                      </m:sub>
                      <m:sup>
                        <m:r>
                          <w:rPr>
                            <w:rFonts w:ascii="Cambria Math" w:hAnsi="Cambria Math" w:cs="Times New Roman"/>
                            <w:sz w:val="20"/>
                            <w:szCs w:val="20"/>
                          </w:rPr>
                          <m:t>*</m:t>
                        </m:r>
                      </m:sup>
                    </m:sSubSup>
                  </m:e>
                </m:d>
                <m:r>
                  <w:rPr>
                    <w:rFonts w:ascii="Cambria Math" w:hAnsi="Cambria Math" w:cs="Times New Roman"/>
                    <w:sz w:val="20"/>
                    <w:szCs w:val="20"/>
                  </w:rPr>
                  <m:t>P</m:t>
                </m:r>
                <m:d>
                  <m:dPr>
                    <m:ctrlPr>
                      <w:rPr>
                        <w:rFonts w:ascii="Cambria Math" w:hAnsi="Cambria Math" w:cs="Times New Roman"/>
                        <w:i/>
                        <w:sz w:val="20"/>
                        <w:szCs w:val="20"/>
                      </w:rPr>
                    </m:ctrlPr>
                  </m:dPr>
                  <m:e>
                    <m:sSubSup>
                      <m:sSubSupPr>
                        <m:ctrlPr>
                          <w:rPr>
                            <w:rFonts w:ascii="Cambria Math" w:hAnsi="Cambria Math" w:cs="Times New Roman"/>
                            <w:i/>
                            <w:sz w:val="20"/>
                            <w:szCs w:val="20"/>
                          </w:rPr>
                        </m:ctrlPr>
                      </m:sSubSupPr>
                      <m:e>
                        <m:r>
                          <w:rPr>
                            <w:rFonts w:ascii="Cambria Math" w:hAnsi="Cambria Math" w:cs="Times New Roman"/>
                            <w:sz w:val="20"/>
                            <w:szCs w:val="20"/>
                          </w:rPr>
                          <m:t>x</m:t>
                        </m:r>
                      </m:e>
                      <m:sub>
                        <m:r>
                          <w:rPr>
                            <w:rFonts w:ascii="Cambria Math" w:hAnsi="Cambria Math" w:cs="Times New Roman"/>
                            <w:sz w:val="20"/>
                            <w:szCs w:val="20"/>
                          </w:rPr>
                          <m:t>u</m:t>
                        </m:r>
                      </m:sub>
                      <m:sup>
                        <m:r>
                          <w:rPr>
                            <w:rFonts w:ascii="Cambria Math" w:hAnsi="Cambria Math" w:cs="Times New Roman"/>
                            <w:sz w:val="20"/>
                            <w:szCs w:val="20"/>
                          </w:rPr>
                          <m:t>'</m:t>
                        </m:r>
                      </m:sup>
                    </m:sSubSup>
                    <m:r>
                      <w:rPr>
                        <w:rFonts w:ascii="Cambria Math" w:hAnsi="Cambria Math" w:cs="Times New Roman"/>
                        <w:sz w:val="20"/>
                        <w:szCs w:val="20"/>
                      </w:rPr>
                      <m:t>,x</m:t>
                    </m:r>
                  </m:e>
                </m:d>
              </m:e>
            </m:nary>
            <m:r>
              <w:rPr>
                <w:rFonts w:ascii="Cambria Math" w:hAnsi="Cambria Math" w:cs="Times New Roman"/>
                <w:sz w:val="20"/>
                <w:szCs w:val="20"/>
              </w:rPr>
              <m:t>+b#(8)</m:t>
            </m:r>
          </m:e>
        </m:eqArr>
      </m:oMath>
      <w:r w:rsidR="00556274" w:rsidRPr="00D54712">
        <w:rPr>
          <w:rFonts w:ascii="Times New Roman" w:eastAsiaTheme="minorEastAsia" w:hAnsi="Times New Roman" w:cs="Times New Roman"/>
          <w:sz w:val="20"/>
          <w:szCs w:val="20"/>
        </w:rPr>
        <w:t xml:space="preserve">                           </w:t>
      </w:r>
    </w:p>
    <w:p w14:paraId="48990910" w14:textId="71E029F2" w:rsidR="0022023A" w:rsidRPr="00EF319B" w:rsidRDefault="00C977C6" w:rsidP="0022023A">
      <w:pPr>
        <w:spacing w:line="360" w:lineRule="auto"/>
        <w:jc w:val="both"/>
        <w:rPr>
          <w:rFonts w:ascii="Times New Roman" w:hAnsi="Times New Roman" w:cs="Times New Roman"/>
          <w:sz w:val="20"/>
          <w:szCs w:val="20"/>
        </w:rPr>
      </w:pPr>
      <w:r w:rsidRPr="00EF319B">
        <w:rPr>
          <w:rFonts w:ascii="Times New Roman" w:hAnsi="Times New Roman" w:cs="Times New Roman"/>
          <w:sz w:val="20"/>
          <w:szCs w:val="20"/>
        </w:rPr>
        <w:t>where, x</w:t>
      </w:r>
      <w:r w:rsidRPr="00EF319B">
        <w:rPr>
          <w:rFonts w:ascii="Times New Roman" w:hAnsi="Times New Roman" w:cs="Times New Roman"/>
          <w:sz w:val="20"/>
          <w:szCs w:val="20"/>
          <w:vertAlign w:val="subscript"/>
        </w:rPr>
        <w:t>u</w:t>
      </w:r>
      <w:r w:rsidRPr="00EF319B">
        <w:rPr>
          <w:rFonts w:ascii="Times New Roman" w:hAnsi="Times New Roman" w:cs="Times New Roman"/>
          <w:sz w:val="20"/>
          <w:szCs w:val="20"/>
        </w:rPr>
        <w:t xml:space="preserve"> =observed predictors, </w:t>
      </w:r>
      <w:r w:rsidRPr="00EF319B">
        <w:rPr>
          <w:rFonts w:ascii="Times New Roman" w:hAnsi="Times New Roman" w:cs="Times New Roman"/>
          <w:i/>
          <w:iCs/>
          <w:sz w:val="20"/>
          <w:szCs w:val="20"/>
        </w:rPr>
        <w:t>a</w:t>
      </w:r>
      <w:r w:rsidRPr="00EF319B">
        <w:rPr>
          <w:rFonts w:ascii="Times New Roman" w:hAnsi="Times New Roman" w:cs="Times New Roman"/>
          <w:i/>
          <w:iCs/>
          <w:sz w:val="20"/>
          <w:szCs w:val="20"/>
          <w:vertAlign w:val="subscript"/>
        </w:rPr>
        <w:t>u</w:t>
      </w:r>
      <w:r w:rsidRPr="00EF319B">
        <w:rPr>
          <w:rFonts w:ascii="Times New Roman" w:hAnsi="Times New Roman" w:cs="Times New Roman"/>
          <w:sz w:val="20"/>
          <w:szCs w:val="20"/>
        </w:rPr>
        <w:t xml:space="preserve"> and </w:t>
      </w:r>
      <w:r w:rsidRPr="00EF319B">
        <w:rPr>
          <w:rFonts w:ascii="Times New Roman" w:hAnsi="Times New Roman" w:cs="Times New Roman"/>
          <w:i/>
          <w:iCs/>
          <w:sz w:val="20"/>
          <w:szCs w:val="20"/>
        </w:rPr>
        <w:t>a</w:t>
      </w:r>
      <w:r w:rsidRPr="00EF319B">
        <w:rPr>
          <w:rFonts w:ascii="Times New Roman" w:hAnsi="Times New Roman" w:cs="Times New Roman"/>
          <w:i/>
          <w:iCs/>
          <w:sz w:val="20"/>
          <w:szCs w:val="20"/>
          <w:vertAlign w:val="superscript"/>
        </w:rPr>
        <w:t>*</w:t>
      </w:r>
      <w:r w:rsidRPr="00EF319B">
        <w:rPr>
          <w:rFonts w:ascii="Times New Roman" w:hAnsi="Times New Roman" w:cs="Times New Roman"/>
          <w:i/>
          <w:iCs/>
          <w:sz w:val="20"/>
          <w:szCs w:val="20"/>
          <w:vertAlign w:val="subscript"/>
        </w:rPr>
        <w:t>u</w:t>
      </w:r>
      <w:r w:rsidRPr="00EF319B">
        <w:rPr>
          <w:rFonts w:ascii="Times New Roman" w:hAnsi="Times New Roman" w:cs="Times New Roman"/>
          <w:sz w:val="20"/>
          <w:szCs w:val="20"/>
        </w:rPr>
        <w:t xml:space="preserve"> =non-negative multiplier, b=random error term, P=Gram matrix of size </w:t>
      </w:r>
      <w:r w:rsidRPr="00EF319B">
        <w:rPr>
          <w:rFonts w:ascii="Times New Roman" w:hAnsi="Times New Roman" w:cs="Times New Roman"/>
          <w:i/>
          <w:iCs/>
          <w:sz w:val="20"/>
          <w:szCs w:val="20"/>
        </w:rPr>
        <w:t>u</w:t>
      </w:r>
      <w:r w:rsidRPr="00EF319B">
        <w:rPr>
          <w:rFonts w:ascii="Times New Roman" w:hAnsi="Times New Roman" w:cs="Times New Roman"/>
          <w:sz w:val="20"/>
          <w:szCs w:val="20"/>
        </w:rPr>
        <w:t>*</w:t>
      </w:r>
      <w:r w:rsidRPr="00EF319B">
        <w:rPr>
          <w:rFonts w:ascii="Times New Roman" w:hAnsi="Times New Roman" w:cs="Times New Roman"/>
          <w:i/>
          <w:iCs/>
          <w:sz w:val="20"/>
          <w:szCs w:val="20"/>
        </w:rPr>
        <w:t>u</w:t>
      </w:r>
      <w:r w:rsidRPr="00EF319B">
        <w:rPr>
          <w:rFonts w:ascii="Times New Roman" w:hAnsi="Times New Roman" w:cs="Times New Roman"/>
          <w:sz w:val="20"/>
          <w:szCs w:val="20"/>
        </w:rPr>
        <w:t xml:space="preserve"> that consists of elements p</w:t>
      </w:r>
      <w:r w:rsidRPr="00EF319B">
        <w:rPr>
          <w:rFonts w:ascii="Times New Roman" w:hAnsi="Times New Roman" w:cs="Times New Roman"/>
          <w:sz w:val="20"/>
          <w:szCs w:val="20"/>
          <w:vertAlign w:val="subscript"/>
        </w:rPr>
        <w:t>i,j</w:t>
      </w:r>
      <w:r w:rsidRPr="00EF319B">
        <w:rPr>
          <w:rFonts w:ascii="Times New Roman" w:hAnsi="Times New Roman" w:cs="Times New Roman"/>
          <w:sz w:val="20"/>
          <w:szCs w:val="20"/>
        </w:rPr>
        <w:t xml:space="preserve"> = P(x</w:t>
      </w:r>
      <w:r w:rsidRPr="00EF319B">
        <w:rPr>
          <w:rFonts w:ascii="Times New Roman" w:hAnsi="Times New Roman" w:cs="Times New Roman"/>
          <w:sz w:val="20"/>
          <w:szCs w:val="20"/>
          <w:vertAlign w:val="subscript"/>
        </w:rPr>
        <w:t>i</w:t>
      </w:r>
      <w:r w:rsidRPr="00EF319B">
        <w:rPr>
          <w:rFonts w:ascii="Times New Roman" w:hAnsi="Times New Roman" w:cs="Times New Roman"/>
          <w:sz w:val="20"/>
          <w:szCs w:val="20"/>
        </w:rPr>
        <w:t>,x</w:t>
      </w:r>
      <w:r w:rsidRPr="00EF319B">
        <w:rPr>
          <w:rFonts w:ascii="Times New Roman" w:hAnsi="Times New Roman" w:cs="Times New Roman"/>
          <w:sz w:val="20"/>
          <w:szCs w:val="20"/>
          <w:vertAlign w:val="subscript"/>
        </w:rPr>
        <w:t>j</w:t>
      </w:r>
      <w:r w:rsidRPr="00EF319B">
        <w:rPr>
          <w:rFonts w:ascii="Times New Roman" w:hAnsi="Times New Roman" w:cs="Times New Roman"/>
          <w:sz w:val="20"/>
          <w:szCs w:val="20"/>
        </w:rPr>
        <w:t>).</w:t>
      </w:r>
    </w:p>
    <w:p w14:paraId="31FD7405" w14:textId="77777777" w:rsidR="0022023A" w:rsidRPr="00EF319B" w:rsidRDefault="0022023A" w:rsidP="0022023A">
      <w:pPr>
        <w:pStyle w:val="ListParagraph"/>
        <w:numPr>
          <w:ilvl w:val="1"/>
          <w:numId w:val="8"/>
        </w:numPr>
        <w:spacing w:line="360" w:lineRule="auto"/>
        <w:rPr>
          <w:rFonts w:ascii="Times New Roman" w:hAnsi="Times New Roman" w:cs="Times New Roman"/>
          <w:b/>
          <w:bCs/>
          <w:sz w:val="20"/>
          <w:szCs w:val="20"/>
        </w:rPr>
      </w:pPr>
      <w:r w:rsidRPr="00EF319B">
        <w:rPr>
          <w:rFonts w:ascii="Times New Roman" w:hAnsi="Times New Roman" w:cs="Times New Roman"/>
          <w:b/>
          <w:bCs/>
          <w:sz w:val="20"/>
          <w:szCs w:val="20"/>
        </w:rPr>
        <w:t>Optimization strategies</w:t>
      </w:r>
    </w:p>
    <w:p w14:paraId="481BAB5B" w14:textId="2E06311F" w:rsidR="0022023A" w:rsidRPr="00EF319B" w:rsidRDefault="0022023A" w:rsidP="00413A6A">
      <w:pPr>
        <w:spacing w:line="360" w:lineRule="auto"/>
        <w:jc w:val="both"/>
        <w:rPr>
          <w:rFonts w:ascii="Times New Roman" w:hAnsi="Times New Roman" w:cs="Times New Roman"/>
          <w:sz w:val="20"/>
          <w:szCs w:val="20"/>
        </w:rPr>
      </w:pPr>
      <w:r w:rsidRPr="00EF319B">
        <w:rPr>
          <w:rFonts w:ascii="Times New Roman" w:hAnsi="Times New Roman" w:cs="Times New Roman"/>
          <w:sz w:val="20"/>
          <w:szCs w:val="20"/>
        </w:rPr>
        <w:t xml:space="preserve">To further refine model performance and identify optimal parameter configurations, Bayesian </w:t>
      </w:r>
      <w:r w:rsidR="00BE44B8" w:rsidRPr="00EF319B">
        <w:rPr>
          <w:rFonts w:ascii="Times New Roman" w:hAnsi="Times New Roman" w:cs="Times New Roman"/>
          <w:sz w:val="20"/>
          <w:szCs w:val="20"/>
        </w:rPr>
        <w:t>o</w:t>
      </w:r>
      <w:r w:rsidRPr="00EF319B">
        <w:rPr>
          <w:rFonts w:ascii="Times New Roman" w:hAnsi="Times New Roman" w:cs="Times New Roman"/>
          <w:sz w:val="20"/>
          <w:szCs w:val="20"/>
        </w:rPr>
        <w:t xml:space="preserve">ptimization (BO) was implemented as the optimization strategy. BO is a data-efficient, probabilistic approach that iteratively explores the hyperparameter space to locate the best-performing model settings with minimal computational cost  </w:t>
      </w:r>
      <w:r w:rsidRPr="00EF319B">
        <w:rPr>
          <w:rFonts w:ascii="Times New Roman" w:hAnsi="Times New Roman" w:cs="Times New Roman"/>
          <w:sz w:val="20"/>
          <w:szCs w:val="20"/>
        </w:rPr>
        <w:fldChar w:fldCharType="begin"/>
      </w:r>
      <w:r w:rsidR="00105FA5" w:rsidRPr="00EF319B">
        <w:rPr>
          <w:rFonts w:ascii="Times New Roman" w:hAnsi="Times New Roman" w:cs="Times New Roman"/>
          <w:sz w:val="20"/>
          <w:szCs w:val="20"/>
        </w:rPr>
        <w:instrText xml:space="preserve"> ADDIN ZOTERO_ITEM CSL_CITATION {"citationID":"omxtvB4v","properties":{"formattedCitation":"[45]","plainCitation":"[45]","noteIndex":0},"citationItems":[{"id":882,"uris":["http://zotero.org/users/14115032/items/NKFVPCLV"],"itemData":{"id":882,"type":"article-journal","container-title":"Knowledge-Based Systems","DOI":"10.1016/j.knosys.2025.113039","ISSN":"09507051","journalAbbreviation":"Knowledge-Based Systems","language":"en","page":"113039","source":"DOI.org (Crossref)","title":"Robust prior-biased acquisition function for human-in-the-loop Bayesian optimization","volume":"311","author":[{"family":"Guay-Hottin","given":"Rose"},{"family":"Kardassevitch","given":"Lison"},{"family":"Pham","given":"Hugo"},{"family":"Lajoie","given":"Guillaume"},{"family":"Bonizzato","given":"Marco"}],"issued":{"date-parts":[["2025",2]]}}}],"schema":"https://github.com/citation-style-language/schema/raw/master/csl-citation.json"} </w:instrText>
      </w:r>
      <w:r w:rsidRPr="00EF319B">
        <w:rPr>
          <w:rFonts w:ascii="Times New Roman" w:hAnsi="Times New Roman" w:cs="Times New Roman"/>
          <w:sz w:val="20"/>
          <w:szCs w:val="20"/>
        </w:rPr>
        <w:fldChar w:fldCharType="separate"/>
      </w:r>
      <w:r w:rsidR="00105FA5" w:rsidRPr="00EF319B">
        <w:rPr>
          <w:rFonts w:ascii="Times New Roman" w:hAnsi="Times New Roman" w:cs="Times New Roman"/>
          <w:sz w:val="20"/>
        </w:rPr>
        <w:t>[45]</w:t>
      </w:r>
      <w:r w:rsidRPr="00EF319B">
        <w:rPr>
          <w:rFonts w:ascii="Times New Roman" w:hAnsi="Times New Roman" w:cs="Times New Roman"/>
          <w:sz w:val="20"/>
          <w:szCs w:val="20"/>
        </w:rPr>
        <w:fldChar w:fldCharType="end"/>
      </w:r>
      <w:r w:rsidRPr="00EF319B">
        <w:rPr>
          <w:rFonts w:ascii="Times New Roman" w:hAnsi="Times New Roman" w:cs="Times New Roman"/>
          <w:sz w:val="20"/>
          <w:szCs w:val="20"/>
        </w:rPr>
        <w:t xml:space="preserve">. Unlike exhaustive search methods such as grid or random search, </w:t>
      </w:r>
      <w:r w:rsidR="00BE44B8" w:rsidRPr="00EF319B">
        <w:rPr>
          <w:rFonts w:ascii="Times New Roman" w:hAnsi="Times New Roman" w:cs="Times New Roman"/>
          <w:sz w:val="20"/>
          <w:szCs w:val="20"/>
        </w:rPr>
        <w:t>BO</w:t>
      </w:r>
      <w:r w:rsidRPr="00EF319B">
        <w:rPr>
          <w:rFonts w:ascii="Times New Roman" w:hAnsi="Times New Roman" w:cs="Times New Roman"/>
          <w:sz w:val="20"/>
          <w:szCs w:val="20"/>
        </w:rPr>
        <w:t xml:space="preserve"> constructs a surrogate model of the objective function and continuously updates it using prior evaluations </w:t>
      </w:r>
      <w:r w:rsidRPr="00EF319B">
        <w:rPr>
          <w:rFonts w:ascii="Times New Roman" w:hAnsi="Times New Roman" w:cs="Times New Roman"/>
          <w:sz w:val="20"/>
          <w:szCs w:val="20"/>
        </w:rPr>
        <w:fldChar w:fldCharType="begin"/>
      </w:r>
      <w:r w:rsidR="00105FA5" w:rsidRPr="00EF319B">
        <w:rPr>
          <w:rFonts w:ascii="Times New Roman" w:hAnsi="Times New Roman" w:cs="Times New Roman"/>
          <w:sz w:val="20"/>
          <w:szCs w:val="20"/>
        </w:rPr>
        <w:instrText xml:space="preserve"> ADDIN ZOTERO_ITEM CSL_CITATION {"citationID":"YvAhzL1v","properties":{"formattedCitation":"[46]","plainCitation":"[46]","noteIndex":0},"citationItems":[{"id":883,"uris":["http://zotero.org/users/14115032/items/LB7S2KX2"],"itemData":{"id":883,"type":"article-journal","abstract":"Abstract\n            Bayesian optimization (BO) is an indispensable tool to optimize objective functions that either do not have known functional forms or are expensive to evaluate. Currently, optimal experimental design is always conducted within the workflow of BO leading to more efficient exploration of the design space compared to traditional strategies. This can have a significant impact on modern scientific discovery, in particular autonomous materials discovery, which can be viewed as an optimization problem aimed at looking for the maximum (or minimum) point for the desired materials properties. The performance of BO-based experimental design depends not only on the adopted acquisition function but also on the surrogate models that help to approximate underlying objective functions. In this paper, we propose a fully autonomous experimental design framework that uses more adaptive and flexible Bayesian surrogate models in a BO procedure, namely Bayesian multivariate adaptive regression splines and Bayesian additive regression trees. They can overcome the weaknesses of widely used Gaussian process-based methods when faced with relatively high-dimensional design space or non-smooth patterns of objective functions. Both simulation studies and real-world materials science case studies demonstrate their enhanced search efficiency and robustness.","container-title":"npj Computational Materials","DOI":"10.1038/s41524-021-00662-x","ISSN":"2057-3960","issue":"1","journalAbbreviation":"npj Comput Mater","language":"en","page":"194","source":"DOI.org (Crossref)","title":"Bayesian optimization with adaptive surrogate models for automated experimental design","volume":"7","author":[{"family":"Lei","given":"Bowen"},{"family":"Kirk","given":"Tanner Quinn"},{"family":"Bhattacharya","given":"Anirban"},{"family":"Pati","given":"Debdeep"},{"family":"Qian","given":"Xiaoning"},{"family":"Arroyave","given":"Raymundo"},{"family":"Mallick","given":"Bani K."}],"issued":{"date-parts":[["2021",12,3]]}}}],"schema":"https://github.com/citation-style-language/schema/raw/master/csl-citation.json"} </w:instrText>
      </w:r>
      <w:r w:rsidRPr="00EF319B">
        <w:rPr>
          <w:rFonts w:ascii="Times New Roman" w:hAnsi="Times New Roman" w:cs="Times New Roman"/>
          <w:sz w:val="20"/>
          <w:szCs w:val="20"/>
        </w:rPr>
        <w:fldChar w:fldCharType="separate"/>
      </w:r>
      <w:r w:rsidR="00105FA5" w:rsidRPr="00EF319B">
        <w:rPr>
          <w:rFonts w:ascii="Times New Roman" w:hAnsi="Times New Roman" w:cs="Times New Roman"/>
          <w:sz w:val="20"/>
        </w:rPr>
        <w:t>[46]</w:t>
      </w:r>
      <w:r w:rsidRPr="00EF319B">
        <w:rPr>
          <w:rFonts w:ascii="Times New Roman" w:hAnsi="Times New Roman" w:cs="Times New Roman"/>
          <w:sz w:val="20"/>
          <w:szCs w:val="20"/>
        </w:rPr>
        <w:fldChar w:fldCharType="end"/>
      </w:r>
      <w:r w:rsidRPr="00EF319B">
        <w:rPr>
          <w:rFonts w:ascii="Times New Roman" w:hAnsi="Times New Roman" w:cs="Times New Roman"/>
          <w:sz w:val="20"/>
          <w:szCs w:val="20"/>
        </w:rPr>
        <w:t xml:space="preserve"> . This enables a balanced trade-off between exploration (testing new regions of the parameter space) and exploitation (refining known promising areas). In this study, BO was employed to systematically optimize each ML model’s hyperparameters, ensuring convergence toward the global optimum for adsorption prediction accuracy. This strategy significantly improved predictive performance while maintaining computational efficiency, making it well-suited for complex, nonlinear adsorption datasets.</w:t>
      </w:r>
      <w:r w:rsidR="000E18CD" w:rsidRPr="00EF319B">
        <w:rPr>
          <w:rFonts w:ascii="Times New Roman" w:hAnsi="Times New Roman" w:cs="Times New Roman"/>
          <w:sz w:val="20"/>
          <w:szCs w:val="20"/>
        </w:rPr>
        <w:t xml:space="preserve"> The utilized hyper</w:t>
      </w:r>
      <w:r w:rsidR="00DF2322" w:rsidRPr="00EF319B">
        <w:rPr>
          <w:rFonts w:ascii="Times New Roman" w:hAnsi="Times New Roman" w:cs="Times New Roman"/>
          <w:sz w:val="20"/>
          <w:szCs w:val="20"/>
        </w:rPr>
        <w:t xml:space="preserve"> tuning parameters for selected ML models are </w:t>
      </w:r>
      <w:r w:rsidR="00DF2322" w:rsidRPr="008A469C">
        <w:rPr>
          <w:rFonts w:ascii="Times New Roman" w:hAnsi="Times New Roman" w:cs="Times New Roman"/>
          <w:sz w:val="20"/>
          <w:szCs w:val="20"/>
        </w:rPr>
        <w:t xml:space="preserve">provided in Table </w:t>
      </w:r>
      <w:r w:rsidR="00413A6A" w:rsidRPr="008A469C">
        <w:rPr>
          <w:rFonts w:ascii="Times New Roman" w:hAnsi="Times New Roman" w:cs="Times New Roman"/>
          <w:sz w:val="20"/>
          <w:szCs w:val="20"/>
        </w:rPr>
        <w:t>S</w:t>
      </w:r>
      <w:r w:rsidR="00433716" w:rsidRPr="008A469C">
        <w:rPr>
          <w:rFonts w:ascii="Times New Roman" w:hAnsi="Times New Roman" w:cs="Times New Roman"/>
          <w:sz w:val="20"/>
          <w:szCs w:val="20"/>
        </w:rPr>
        <w:t>2</w:t>
      </w:r>
      <w:r w:rsidR="00DF2322" w:rsidRPr="008A469C">
        <w:rPr>
          <w:rFonts w:ascii="Times New Roman" w:hAnsi="Times New Roman" w:cs="Times New Roman"/>
          <w:sz w:val="20"/>
          <w:szCs w:val="20"/>
        </w:rPr>
        <w:t>.</w:t>
      </w:r>
    </w:p>
    <w:p w14:paraId="68899AEC" w14:textId="559E98FF" w:rsidR="0022023A" w:rsidRPr="00EF319B" w:rsidRDefault="00756630" w:rsidP="004839A6">
      <w:pPr>
        <w:pStyle w:val="ListParagraph"/>
        <w:numPr>
          <w:ilvl w:val="1"/>
          <w:numId w:val="8"/>
        </w:numPr>
        <w:spacing w:line="360" w:lineRule="auto"/>
        <w:rPr>
          <w:rFonts w:ascii="Times New Roman" w:hAnsi="Times New Roman" w:cs="Times New Roman"/>
          <w:b/>
          <w:bCs/>
          <w:sz w:val="20"/>
          <w:szCs w:val="20"/>
        </w:rPr>
      </w:pPr>
      <w:r w:rsidRPr="00EF319B">
        <w:rPr>
          <w:rFonts w:ascii="Times New Roman" w:hAnsi="Times New Roman" w:cs="Times New Roman"/>
          <w:b/>
          <w:bCs/>
          <w:sz w:val="20"/>
          <w:szCs w:val="20"/>
        </w:rPr>
        <w:t>Pr</w:t>
      </w:r>
      <w:r w:rsidR="004839A6" w:rsidRPr="00EF319B">
        <w:rPr>
          <w:rFonts w:ascii="Times New Roman" w:hAnsi="Times New Roman" w:cs="Times New Roman"/>
          <w:b/>
          <w:bCs/>
          <w:sz w:val="20"/>
          <w:szCs w:val="20"/>
        </w:rPr>
        <w:t>oduction of biochar</w:t>
      </w:r>
    </w:p>
    <w:p w14:paraId="5E7BE797" w14:textId="2E478B2F" w:rsidR="00566459" w:rsidRPr="00EF319B" w:rsidRDefault="0062313A" w:rsidP="0062313A">
      <w:pPr>
        <w:spacing w:line="360" w:lineRule="auto"/>
        <w:jc w:val="both"/>
        <w:rPr>
          <w:rFonts w:ascii="Times New Roman" w:eastAsia="Yu Gothic Light" w:hAnsi="Times New Roman" w:cs="Times New Roman"/>
          <w:bCs/>
          <w:kern w:val="0"/>
          <w:sz w:val="20"/>
          <w:szCs w:val="20"/>
          <w14:ligatures w14:val="none"/>
        </w:rPr>
      </w:pPr>
      <w:r w:rsidRPr="00EF319B">
        <w:rPr>
          <w:rFonts w:ascii="Times New Roman" w:eastAsia="Yu Gothic Light" w:hAnsi="Times New Roman" w:cs="Times New Roman"/>
          <w:bCs/>
          <w:kern w:val="0"/>
          <w:sz w:val="20"/>
          <w:szCs w:val="20"/>
          <w14:ligatures w14:val="none"/>
        </w:rPr>
        <w:t xml:space="preserve">In this study, biochar was produced </w:t>
      </w:r>
      <w:r w:rsidR="00716084" w:rsidRPr="00EF319B">
        <w:rPr>
          <w:rFonts w:ascii="Times New Roman" w:eastAsia="Yu Gothic Light" w:hAnsi="Times New Roman" w:cs="Times New Roman"/>
          <w:bCs/>
          <w:kern w:val="0"/>
          <w:sz w:val="20"/>
          <w:szCs w:val="20"/>
          <w14:ligatures w14:val="none"/>
        </w:rPr>
        <w:t>from jojoba residues at different temperatures and heating times to experimentally validate the developed ML models</w:t>
      </w:r>
      <w:r w:rsidRPr="00EF319B">
        <w:rPr>
          <w:rFonts w:ascii="Times New Roman" w:eastAsia="Yu Gothic Light" w:hAnsi="Times New Roman" w:cs="Times New Roman"/>
          <w:bCs/>
          <w:kern w:val="0"/>
          <w:sz w:val="20"/>
          <w:szCs w:val="20"/>
          <w14:ligatures w14:val="none"/>
        </w:rPr>
        <w:t xml:space="preserve">. The jojoba residues </w:t>
      </w:r>
      <w:r w:rsidR="00FD061D" w:rsidRPr="00EF319B">
        <w:rPr>
          <w:rFonts w:ascii="Times New Roman" w:eastAsia="Yu Gothic Light" w:hAnsi="Times New Roman" w:cs="Times New Roman"/>
          <w:bCs/>
          <w:kern w:val="0"/>
          <w:sz w:val="20"/>
          <w:szCs w:val="20"/>
          <w14:ligatures w14:val="none"/>
        </w:rPr>
        <w:t xml:space="preserve">were obtained after pressing oil from jojoba seeds, </w:t>
      </w:r>
      <w:r w:rsidR="00C555BF" w:rsidRPr="00EF319B">
        <w:rPr>
          <w:rFonts w:ascii="Times New Roman" w:eastAsia="Yu Gothic Light" w:hAnsi="Times New Roman" w:cs="Times New Roman"/>
          <w:bCs/>
          <w:kern w:val="0"/>
          <w:sz w:val="20"/>
          <w:szCs w:val="20"/>
          <w14:ligatures w14:val="none"/>
        </w:rPr>
        <w:t>by crushing</w:t>
      </w:r>
      <w:r w:rsidR="00FD061D" w:rsidRPr="00EF319B">
        <w:rPr>
          <w:rFonts w:ascii="Times New Roman" w:eastAsia="Yu Gothic Light" w:hAnsi="Times New Roman" w:cs="Times New Roman"/>
          <w:bCs/>
          <w:kern w:val="0"/>
          <w:sz w:val="20"/>
          <w:szCs w:val="20"/>
          <w14:ligatures w14:val="none"/>
        </w:rPr>
        <w:t xml:space="preserve"> and </w:t>
      </w:r>
      <w:r w:rsidR="00C555BF" w:rsidRPr="00EF319B">
        <w:rPr>
          <w:rFonts w:ascii="Times New Roman" w:eastAsia="Yu Gothic Light" w:hAnsi="Times New Roman" w:cs="Times New Roman"/>
          <w:bCs/>
          <w:kern w:val="0"/>
          <w:sz w:val="20"/>
          <w:szCs w:val="20"/>
          <w14:ligatures w14:val="none"/>
        </w:rPr>
        <w:t>sieving</w:t>
      </w:r>
      <w:r w:rsidR="00FD061D" w:rsidRPr="00EF319B">
        <w:rPr>
          <w:rFonts w:ascii="Times New Roman" w:eastAsia="Yu Gothic Light" w:hAnsi="Times New Roman" w:cs="Times New Roman"/>
          <w:bCs/>
          <w:kern w:val="0"/>
          <w:sz w:val="20"/>
          <w:szCs w:val="20"/>
          <w14:ligatures w14:val="none"/>
        </w:rPr>
        <w:t xml:space="preserve"> through a </w:t>
      </w:r>
      <w:r w:rsidR="00B803F7" w:rsidRPr="00EF319B">
        <w:rPr>
          <w:rFonts w:ascii="Times New Roman" w:eastAsia="Yu Gothic Light" w:hAnsi="Times New Roman" w:cs="Times New Roman"/>
          <w:bCs/>
          <w:kern w:val="0"/>
          <w:sz w:val="20"/>
          <w:szCs w:val="20"/>
          <w14:ligatures w14:val="none"/>
        </w:rPr>
        <w:t>500-micron</w:t>
      </w:r>
      <w:r w:rsidRPr="00EF319B">
        <w:rPr>
          <w:rFonts w:ascii="Times New Roman" w:eastAsia="Yu Gothic Light" w:hAnsi="Times New Roman" w:cs="Times New Roman"/>
          <w:bCs/>
          <w:kern w:val="0"/>
          <w:sz w:val="20"/>
          <w:szCs w:val="20"/>
          <w14:ligatures w14:val="none"/>
        </w:rPr>
        <w:t xml:space="preserve"> mesh. The residues were </w:t>
      </w:r>
      <w:r w:rsidR="00FD061D" w:rsidRPr="00EF319B">
        <w:rPr>
          <w:rFonts w:ascii="Times New Roman" w:eastAsia="Yu Gothic Light" w:hAnsi="Times New Roman" w:cs="Times New Roman"/>
          <w:bCs/>
          <w:kern w:val="0"/>
          <w:sz w:val="20"/>
          <w:szCs w:val="20"/>
          <w14:ligatures w14:val="none"/>
        </w:rPr>
        <w:t xml:space="preserve">pyrolyzed using a muffle furnace at a temperature of (500-800) °C, heating time (2-4) h, and a </w:t>
      </w:r>
      <w:r w:rsidRPr="00EF319B">
        <w:rPr>
          <w:rFonts w:ascii="Times New Roman" w:eastAsia="Yu Gothic Light" w:hAnsi="Times New Roman" w:cs="Times New Roman"/>
          <w:bCs/>
          <w:kern w:val="0"/>
          <w:sz w:val="20"/>
          <w:szCs w:val="20"/>
          <w14:ligatures w14:val="none"/>
        </w:rPr>
        <w:t>fixed heating rate of 10</w:t>
      </w:r>
      <w:r w:rsidR="006C73AB" w:rsidRPr="00EF319B">
        <w:rPr>
          <w:rFonts w:ascii="Times New Roman" w:eastAsia="Yu Gothic Light" w:hAnsi="Times New Roman" w:cs="Times New Roman"/>
          <w:bCs/>
          <w:kern w:val="0"/>
          <w:sz w:val="20"/>
          <w:szCs w:val="20"/>
          <w14:ligatures w14:val="none"/>
        </w:rPr>
        <w:t xml:space="preserve"> </w:t>
      </w:r>
      <w:r w:rsidRPr="00EF319B">
        <w:rPr>
          <w:rFonts w:ascii="Times New Roman" w:eastAsia="Yu Gothic Light" w:hAnsi="Times New Roman" w:cs="Times New Roman"/>
          <w:bCs/>
          <w:kern w:val="0"/>
          <w:sz w:val="20"/>
          <w:szCs w:val="20"/>
          <w14:ligatures w14:val="none"/>
        </w:rPr>
        <w:t>°C/min</w:t>
      </w:r>
      <w:r w:rsidR="00433716">
        <w:rPr>
          <w:rFonts w:ascii="Times New Roman" w:eastAsia="Yu Gothic Light" w:hAnsi="Times New Roman" w:cs="Times New Roman"/>
          <w:bCs/>
          <w:kern w:val="0"/>
          <w:sz w:val="20"/>
          <w:szCs w:val="20"/>
          <w14:ligatures w14:val="none"/>
        </w:rPr>
        <w:t xml:space="preserve"> (Figure 4)</w:t>
      </w:r>
      <w:r w:rsidRPr="00EF319B">
        <w:rPr>
          <w:rFonts w:ascii="Times New Roman" w:eastAsia="Yu Gothic Light" w:hAnsi="Times New Roman" w:cs="Times New Roman"/>
          <w:bCs/>
          <w:kern w:val="0"/>
          <w:sz w:val="20"/>
          <w:szCs w:val="20"/>
          <w14:ligatures w14:val="none"/>
        </w:rPr>
        <w:t xml:space="preserve">. The produced </w:t>
      </w:r>
      <w:r w:rsidR="00FD061D" w:rsidRPr="00EF319B">
        <w:rPr>
          <w:rFonts w:ascii="Times New Roman" w:eastAsia="Yu Gothic Light" w:hAnsi="Times New Roman" w:cs="Times New Roman"/>
          <w:bCs/>
          <w:kern w:val="0"/>
          <w:sz w:val="20"/>
          <w:szCs w:val="20"/>
          <w14:ligatures w14:val="none"/>
        </w:rPr>
        <w:t>biochar</w:t>
      </w:r>
      <w:r w:rsidRPr="00EF319B">
        <w:rPr>
          <w:rFonts w:ascii="Times New Roman" w:eastAsia="Yu Gothic Light" w:hAnsi="Times New Roman" w:cs="Times New Roman"/>
          <w:bCs/>
          <w:kern w:val="0"/>
          <w:sz w:val="20"/>
          <w:szCs w:val="20"/>
          <w14:ligatures w14:val="none"/>
        </w:rPr>
        <w:t xml:space="preserve"> </w:t>
      </w:r>
      <w:r w:rsidR="00FD061D" w:rsidRPr="00EF319B">
        <w:rPr>
          <w:rFonts w:ascii="Times New Roman" w:eastAsia="Yu Gothic Light" w:hAnsi="Times New Roman" w:cs="Times New Roman"/>
          <w:bCs/>
          <w:kern w:val="0"/>
          <w:sz w:val="20"/>
          <w:szCs w:val="20"/>
          <w14:ligatures w14:val="none"/>
        </w:rPr>
        <w:t>was</w:t>
      </w:r>
      <w:r w:rsidRPr="00EF319B">
        <w:rPr>
          <w:rFonts w:ascii="Times New Roman" w:eastAsia="Yu Gothic Light" w:hAnsi="Times New Roman" w:cs="Times New Roman"/>
          <w:bCs/>
          <w:kern w:val="0"/>
          <w:sz w:val="20"/>
          <w:szCs w:val="20"/>
          <w14:ligatures w14:val="none"/>
        </w:rPr>
        <w:t xml:space="preserve"> then tested for the adsorption of anionic dyes.</w:t>
      </w:r>
    </w:p>
    <w:p w14:paraId="04A325AF" w14:textId="77777777" w:rsidR="00C34B29" w:rsidRPr="00EF319B" w:rsidRDefault="00566459" w:rsidP="00C34B29">
      <w:pPr>
        <w:keepNext/>
        <w:spacing w:line="360" w:lineRule="auto"/>
        <w:jc w:val="center"/>
        <w:rPr>
          <w:rFonts w:ascii="Times New Roman" w:hAnsi="Times New Roman" w:cs="Times New Roman"/>
        </w:rPr>
      </w:pPr>
      <w:r w:rsidRPr="00EF319B">
        <w:rPr>
          <w:rFonts w:ascii="Times New Roman" w:eastAsia="Yu Gothic Light" w:hAnsi="Times New Roman" w:cs="Times New Roman"/>
          <w:bCs/>
          <w:noProof/>
          <w:kern w:val="0"/>
          <w:sz w:val="20"/>
          <w:szCs w:val="20"/>
          <w14:ligatures w14:val="none"/>
        </w:rPr>
        <w:lastRenderedPageBreak/>
        <w:drawing>
          <wp:inline distT="0" distB="0" distL="0" distR="0" wp14:anchorId="0749E6B5" wp14:editId="1401CE2E">
            <wp:extent cx="5554639" cy="2114605"/>
            <wp:effectExtent l="0" t="0" r="8255" b="0"/>
            <wp:docPr id="4" name="Picture 4" descr="A diagram of a heating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heating system&#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4023" cy="2133405"/>
                    </a:xfrm>
                    <a:prstGeom prst="rect">
                      <a:avLst/>
                    </a:prstGeom>
                    <a:noFill/>
                  </pic:spPr>
                </pic:pic>
              </a:graphicData>
            </a:graphic>
          </wp:inline>
        </w:drawing>
      </w:r>
    </w:p>
    <w:p w14:paraId="7FFB46AC" w14:textId="709F2F0A" w:rsidR="0022023A" w:rsidRPr="00EF319B" w:rsidRDefault="00C34B29" w:rsidP="004D01E4">
      <w:pPr>
        <w:pStyle w:val="Caption"/>
        <w:jc w:val="center"/>
        <w:rPr>
          <w:rFonts w:ascii="Times New Roman" w:eastAsia="Yu Gothic Light" w:hAnsi="Times New Roman" w:cs="Times New Roman"/>
          <w:bCs/>
          <w:i w:val="0"/>
          <w:iCs w:val="0"/>
          <w:color w:val="auto"/>
          <w:kern w:val="0"/>
          <w:sz w:val="22"/>
          <w:szCs w:val="22"/>
          <w14:ligatures w14:val="none"/>
        </w:rPr>
      </w:pPr>
      <w:r w:rsidRPr="00EF319B">
        <w:rPr>
          <w:rFonts w:ascii="Times New Roman" w:hAnsi="Times New Roman" w:cs="Times New Roman"/>
          <w:b/>
          <w:bCs/>
          <w:i w:val="0"/>
          <w:iCs w:val="0"/>
          <w:color w:val="auto"/>
          <w:sz w:val="20"/>
          <w:szCs w:val="20"/>
        </w:rPr>
        <w:t xml:space="preserve">Figure </w:t>
      </w:r>
      <w:r w:rsidRPr="00EF319B">
        <w:rPr>
          <w:rFonts w:ascii="Times New Roman" w:hAnsi="Times New Roman" w:cs="Times New Roman"/>
          <w:b/>
          <w:bCs/>
          <w:i w:val="0"/>
          <w:iCs w:val="0"/>
          <w:color w:val="auto"/>
          <w:sz w:val="20"/>
          <w:szCs w:val="20"/>
        </w:rPr>
        <w:fldChar w:fldCharType="begin"/>
      </w:r>
      <w:r w:rsidRPr="00EF319B">
        <w:rPr>
          <w:rFonts w:ascii="Times New Roman" w:hAnsi="Times New Roman" w:cs="Times New Roman"/>
          <w:b/>
          <w:bCs/>
          <w:i w:val="0"/>
          <w:iCs w:val="0"/>
          <w:color w:val="auto"/>
          <w:sz w:val="20"/>
          <w:szCs w:val="20"/>
        </w:rPr>
        <w:instrText xml:space="preserve"> SEQ Figure \* ARABIC </w:instrText>
      </w:r>
      <w:r w:rsidRPr="00EF319B">
        <w:rPr>
          <w:rFonts w:ascii="Times New Roman" w:hAnsi="Times New Roman" w:cs="Times New Roman"/>
          <w:b/>
          <w:bCs/>
          <w:i w:val="0"/>
          <w:iCs w:val="0"/>
          <w:color w:val="auto"/>
          <w:sz w:val="20"/>
          <w:szCs w:val="20"/>
        </w:rPr>
        <w:fldChar w:fldCharType="separate"/>
      </w:r>
      <w:r w:rsidR="00E100D9" w:rsidRPr="00EF319B">
        <w:rPr>
          <w:rFonts w:ascii="Times New Roman" w:hAnsi="Times New Roman" w:cs="Times New Roman"/>
          <w:b/>
          <w:bCs/>
          <w:i w:val="0"/>
          <w:iCs w:val="0"/>
          <w:color w:val="auto"/>
          <w:sz w:val="20"/>
          <w:szCs w:val="20"/>
        </w:rPr>
        <w:t>4</w:t>
      </w:r>
      <w:r w:rsidRPr="00EF319B">
        <w:rPr>
          <w:rFonts w:ascii="Times New Roman" w:hAnsi="Times New Roman" w:cs="Times New Roman"/>
          <w:b/>
          <w:bCs/>
          <w:i w:val="0"/>
          <w:iCs w:val="0"/>
          <w:color w:val="auto"/>
          <w:sz w:val="20"/>
          <w:szCs w:val="20"/>
        </w:rPr>
        <w:fldChar w:fldCharType="end"/>
      </w:r>
      <w:r w:rsidRPr="00EF319B">
        <w:rPr>
          <w:rFonts w:ascii="Times New Roman" w:hAnsi="Times New Roman" w:cs="Times New Roman"/>
          <w:i w:val="0"/>
          <w:iCs w:val="0"/>
          <w:color w:val="auto"/>
          <w:sz w:val="20"/>
          <w:szCs w:val="20"/>
        </w:rPr>
        <w:t xml:space="preserve">. </w:t>
      </w:r>
      <w:r w:rsidR="00A07B83" w:rsidRPr="00EF319B">
        <w:rPr>
          <w:rFonts w:ascii="Times New Roman" w:hAnsi="Times New Roman" w:cs="Times New Roman"/>
          <w:i w:val="0"/>
          <w:iCs w:val="0"/>
          <w:color w:val="auto"/>
          <w:sz w:val="20"/>
          <w:szCs w:val="20"/>
        </w:rPr>
        <w:t>Production of biochar from jojoba residues.</w:t>
      </w:r>
    </w:p>
    <w:p w14:paraId="65D34385" w14:textId="77777777" w:rsidR="0022023A" w:rsidRPr="00EF319B" w:rsidRDefault="0022023A" w:rsidP="0022023A">
      <w:pPr>
        <w:pStyle w:val="ListParagraph"/>
        <w:keepNext/>
        <w:keepLines/>
        <w:numPr>
          <w:ilvl w:val="0"/>
          <w:numId w:val="7"/>
        </w:numPr>
        <w:spacing w:before="40" w:after="0" w:line="259" w:lineRule="auto"/>
        <w:outlineLvl w:val="2"/>
        <w:rPr>
          <w:rFonts w:ascii="Times New Roman" w:eastAsia="Yu Gothic Light" w:hAnsi="Times New Roman" w:cs="Times New Roman"/>
          <w:b/>
          <w:kern w:val="0"/>
          <w:sz w:val="20"/>
          <w:szCs w:val="20"/>
          <w14:ligatures w14:val="none"/>
        </w:rPr>
      </w:pPr>
      <w:r w:rsidRPr="00EF319B">
        <w:rPr>
          <w:rFonts w:ascii="Times New Roman" w:eastAsia="Yu Gothic Light" w:hAnsi="Times New Roman" w:cs="Times New Roman"/>
          <w:b/>
          <w:kern w:val="0"/>
          <w:sz w:val="20"/>
          <w:szCs w:val="20"/>
          <w14:ligatures w14:val="none"/>
        </w:rPr>
        <w:t>Results and discussion</w:t>
      </w:r>
    </w:p>
    <w:p w14:paraId="74D23C13" w14:textId="6A71F860" w:rsidR="0022023A" w:rsidRPr="00EF319B" w:rsidRDefault="0030633C" w:rsidP="0022023A">
      <w:pPr>
        <w:keepNext/>
        <w:keepLines/>
        <w:spacing w:before="40" w:after="0" w:line="360" w:lineRule="auto"/>
        <w:jc w:val="both"/>
        <w:outlineLvl w:val="2"/>
        <w:rPr>
          <w:rFonts w:ascii="Times New Roman" w:eastAsia="Yu Gothic Light" w:hAnsi="Times New Roman" w:cs="Times New Roman"/>
          <w:bCs/>
          <w:kern w:val="0"/>
          <w:sz w:val="20"/>
          <w:szCs w:val="20"/>
          <w14:ligatures w14:val="none"/>
        </w:rPr>
      </w:pPr>
      <w:r w:rsidRPr="00EF319B">
        <w:rPr>
          <w:rFonts w:ascii="Times New Roman" w:eastAsia="Yu Gothic Light" w:hAnsi="Times New Roman" w:cs="Times New Roman"/>
          <w:bCs/>
          <w:kern w:val="0"/>
          <w:sz w:val="20"/>
          <w:szCs w:val="20"/>
          <w14:ligatures w14:val="none"/>
        </w:rPr>
        <w:t xml:space="preserve">The selected models were trained and tested </w:t>
      </w:r>
      <w:r w:rsidR="00FB14E7" w:rsidRPr="00EF319B">
        <w:rPr>
          <w:rFonts w:ascii="Times New Roman" w:eastAsia="Yu Gothic Light" w:hAnsi="Times New Roman" w:cs="Times New Roman"/>
          <w:bCs/>
          <w:kern w:val="0"/>
          <w:sz w:val="20"/>
          <w:szCs w:val="20"/>
          <w14:ligatures w14:val="none"/>
        </w:rPr>
        <w:t xml:space="preserve">by using the obtained dataset, as shown in Figure 5. </w:t>
      </w:r>
      <w:r w:rsidR="0022023A" w:rsidRPr="00EF319B">
        <w:rPr>
          <w:rFonts w:ascii="Times New Roman" w:eastAsia="Yu Gothic Light" w:hAnsi="Times New Roman" w:cs="Times New Roman"/>
          <w:bCs/>
          <w:kern w:val="0"/>
          <w:sz w:val="20"/>
          <w:szCs w:val="20"/>
          <w14:ligatures w14:val="none"/>
        </w:rPr>
        <w:t xml:space="preserve">After applying the four ML models (DT, GPR, SVM, and ELT) and </w:t>
      </w:r>
      <w:r w:rsidR="00050E6C" w:rsidRPr="00EF319B">
        <w:rPr>
          <w:rFonts w:ascii="Times New Roman" w:eastAsia="Yu Gothic Light" w:hAnsi="Times New Roman" w:cs="Times New Roman"/>
          <w:bCs/>
          <w:kern w:val="0"/>
          <w:sz w:val="20"/>
          <w:szCs w:val="20"/>
          <w14:ligatures w14:val="none"/>
        </w:rPr>
        <w:t>optimi</w:t>
      </w:r>
      <w:r w:rsidR="008A469C">
        <w:rPr>
          <w:rFonts w:ascii="Times New Roman" w:eastAsia="Yu Gothic Light" w:hAnsi="Times New Roman" w:cs="Times New Roman"/>
          <w:bCs/>
          <w:kern w:val="0"/>
          <w:sz w:val="20"/>
          <w:szCs w:val="20"/>
          <w14:ligatures w14:val="none"/>
        </w:rPr>
        <w:t>z</w:t>
      </w:r>
      <w:r w:rsidR="00050E6C" w:rsidRPr="00EF319B">
        <w:rPr>
          <w:rFonts w:ascii="Times New Roman" w:eastAsia="Yu Gothic Light" w:hAnsi="Times New Roman" w:cs="Times New Roman"/>
          <w:bCs/>
          <w:kern w:val="0"/>
          <w:sz w:val="20"/>
          <w:szCs w:val="20"/>
          <w14:ligatures w14:val="none"/>
        </w:rPr>
        <w:t xml:space="preserve">ing using </w:t>
      </w:r>
      <w:r w:rsidR="00A80C15" w:rsidRPr="00EF319B">
        <w:rPr>
          <w:rFonts w:ascii="Times New Roman" w:eastAsia="Yu Gothic Light" w:hAnsi="Times New Roman" w:cs="Times New Roman"/>
          <w:bCs/>
          <w:kern w:val="0"/>
          <w:sz w:val="20"/>
          <w:szCs w:val="20"/>
          <w14:ligatures w14:val="none"/>
        </w:rPr>
        <w:t>BO</w:t>
      </w:r>
      <w:r w:rsidR="00050E6C" w:rsidRPr="00EF319B">
        <w:rPr>
          <w:rFonts w:ascii="Times New Roman" w:eastAsia="Yu Gothic Light" w:hAnsi="Times New Roman" w:cs="Times New Roman"/>
          <w:bCs/>
          <w:kern w:val="0"/>
          <w:sz w:val="20"/>
          <w:szCs w:val="20"/>
          <w14:ligatures w14:val="none"/>
        </w:rPr>
        <w:t xml:space="preserve">, the results are provided in Table </w:t>
      </w:r>
      <w:r w:rsidR="00CB3B25">
        <w:rPr>
          <w:rFonts w:ascii="Times New Roman" w:eastAsia="Yu Gothic Light" w:hAnsi="Times New Roman" w:cs="Times New Roman"/>
          <w:bCs/>
          <w:kern w:val="0"/>
          <w:sz w:val="20"/>
          <w:szCs w:val="20"/>
          <w14:ligatures w14:val="none"/>
        </w:rPr>
        <w:t>1</w:t>
      </w:r>
      <w:r w:rsidR="0022023A" w:rsidRPr="00EF319B">
        <w:rPr>
          <w:rFonts w:ascii="Times New Roman" w:eastAsia="Yu Gothic Light" w:hAnsi="Times New Roman" w:cs="Times New Roman"/>
          <w:bCs/>
          <w:kern w:val="0"/>
          <w:sz w:val="20"/>
          <w:szCs w:val="20"/>
          <w14:ligatures w14:val="none"/>
        </w:rPr>
        <w:t xml:space="preserve">. </w:t>
      </w:r>
      <w:r w:rsidR="00A00613" w:rsidRPr="00EF319B">
        <w:rPr>
          <w:rFonts w:ascii="Times New Roman" w:eastAsia="Yu Gothic Light" w:hAnsi="Times New Roman" w:cs="Times New Roman"/>
          <w:bCs/>
          <w:kern w:val="0"/>
          <w:sz w:val="20"/>
          <w:szCs w:val="20"/>
          <w14:ligatures w14:val="none"/>
        </w:rPr>
        <w:t>The results show that the DT model is the least effective, underfitting the data and exhibiting very low explanatory power on both the training and test</w:t>
      </w:r>
      <w:r w:rsidR="002E672A" w:rsidRPr="00EF319B">
        <w:rPr>
          <w:rFonts w:ascii="Times New Roman" w:eastAsia="Yu Gothic Light" w:hAnsi="Times New Roman" w:cs="Times New Roman"/>
          <w:bCs/>
          <w:kern w:val="0"/>
          <w:sz w:val="20"/>
          <w:szCs w:val="20"/>
          <w14:ligatures w14:val="none"/>
        </w:rPr>
        <w:t xml:space="preserve"> datasets</w:t>
      </w:r>
      <w:r w:rsidR="0022023A" w:rsidRPr="00EF319B">
        <w:rPr>
          <w:rFonts w:ascii="Times New Roman" w:eastAsia="Yu Gothic Light" w:hAnsi="Times New Roman" w:cs="Times New Roman"/>
          <w:bCs/>
          <w:kern w:val="0"/>
          <w:sz w:val="20"/>
          <w:szCs w:val="20"/>
          <w14:ligatures w14:val="none"/>
        </w:rPr>
        <w:t>. Followed by GPR</w:t>
      </w:r>
      <w:r w:rsidR="002E672A" w:rsidRPr="00EF319B">
        <w:rPr>
          <w:rFonts w:ascii="Times New Roman" w:eastAsia="Yu Gothic Light" w:hAnsi="Times New Roman" w:cs="Times New Roman"/>
          <w:bCs/>
          <w:kern w:val="0"/>
          <w:sz w:val="20"/>
          <w:szCs w:val="20"/>
          <w14:ligatures w14:val="none"/>
        </w:rPr>
        <w:t xml:space="preserve">, which had a slightly better result but only explained about 33% of the </w:t>
      </w:r>
      <w:r w:rsidR="0022023A" w:rsidRPr="00EF319B">
        <w:rPr>
          <w:rFonts w:ascii="Times New Roman" w:eastAsia="Yu Gothic Light" w:hAnsi="Times New Roman" w:cs="Times New Roman"/>
          <w:bCs/>
          <w:kern w:val="0"/>
          <w:sz w:val="20"/>
          <w:szCs w:val="20"/>
          <w14:ligatures w14:val="none"/>
        </w:rPr>
        <w:t>variance. SVM is not better than DT</w:t>
      </w:r>
      <w:r w:rsidR="00A00613" w:rsidRPr="00EF319B">
        <w:rPr>
          <w:rFonts w:ascii="Times New Roman" w:eastAsia="Yu Gothic Light" w:hAnsi="Times New Roman" w:cs="Times New Roman"/>
          <w:bCs/>
          <w:kern w:val="0"/>
          <w:sz w:val="20"/>
          <w:szCs w:val="20"/>
          <w14:ligatures w14:val="none"/>
        </w:rPr>
        <w:t>, explaining only 22% of the variance</w:t>
      </w:r>
      <w:r w:rsidR="00050E6C" w:rsidRPr="00EF319B">
        <w:rPr>
          <w:rFonts w:ascii="Times New Roman" w:eastAsia="Yu Gothic Light" w:hAnsi="Times New Roman" w:cs="Times New Roman"/>
          <w:bCs/>
          <w:kern w:val="0"/>
          <w:sz w:val="20"/>
          <w:szCs w:val="20"/>
          <w14:ligatures w14:val="none"/>
        </w:rPr>
        <w:t xml:space="preserve"> and showing</w:t>
      </w:r>
      <w:r w:rsidR="00A00613" w:rsidRPr="00EF319B">
        <w:rPr>
          <w:rFonts w:ascii="Times New Roman" w:eastAsia="Yu Gothic Light" w:hAnsi="Times New Roman" w:cs="Times New Roman"/>
          <w:bCs/>
          <w:kern w:val="0"/>
          <w:sz w:val="20"/>
          <w:szCs w:val="20"/>
          <w14:ligatures w14:val="none"/>
        </w:rPr>
        <w:t xml:space="preserve"> weak predictive capability and overfitting</w:t>
      </w:r>
      <w:r w:rsidR="0022023A" w:rsidRPr="00EF319B">
        <w:rPr>
          <w:rFonts w:ascii="Times New Roman" w:eastAsia="Yu Gothic Light" w:hAnsi="Times New Roman" w:cs="Times New Roman"/>
          <w:bCs/>
          <w:kern w:val="0"/>
          <w:sz w:val="20"/>
          <w:szCs w:val="20"/>
          <w14:ligatures w14:val="none"/>
        </w:rPr>
        <w:t>. ELT</w:t>
      </w:r>
      <w:r w:rsidR="00A00613" w:rsidRPr="00EF319B">
        <w:rPr>
          <w:rFonts w:ascii="Times New Roman" w:eastAsia="Yu Gothic Light" w:hAnsi="Times New Roman" w:cs="Times New Roman"/>
          <w:bCs/>
          <w:kern w:val="0"/>
          <w:sz w:val="20"/>
          <w:szCs w:val="20"/>
          <w14:ligatures w14:val="none"/>
        </w:rPr>
        <w:t xml:space="preserve"> has performed best among all ML models and improved </w:t>
      </w:r>
      <w:r w:rsidR="00A00613" w:rsidRPr="00EF319B">
        <w:rPr>
          <w:rFonts w:ascii="Times New Roman" w:eastAsia="Yu Gothic Light" w:hAnsi="Times New Roman" w:cs="Times New Roman"/>
          <w:bCs/>
          <w:i/>
          <w:iCs/>
          <w:kern w:val="0"/>
          <w:sz w:val="20"/>
          <w:szCs w:val="20"/>
          <w14:ligatures w14:val="none"/>
        </w:rPr>
        <w:t>R</w:t>
      </w:r>
      <w:r w:rsidR="00A00613" w:rsidRPr="00EF319B">
        <w:rPr>
          <w:rFonts w:ascii="Times New Roman" w:eastAsia="Yu Gothic Light" w:hAnsi="Times New Roman" w:cs="Times New Roman"/>
          <w:bCs/>
          <w:i/>
          <w:iCs/>
          <w:kern w:val="0"/>
          <w:sz w:val="20"/>
          <w:szCs w:val="20"/>
          <w:vertAlign w:val="superscript"/>
          <w14:ligatures w14:val="none"/>
        </w:rPr>
        <w:t>2</w:t>
      </w:r>
      <w:r w:rsidR="00A00613" w:rsidRPr="00EF319B">
        <w:rPr>
          <w:rFonts w:ascii="Times New Roman" w:eastAsia="Yu Gothic Light" w:hAnsi="Times New Roman" w:cs="Times New Roman"/>
          <w:bCs/>
          <w:kern w:val="0"/>
          <w:sz w:val="20"/>
          <w:szCs w:val="20"/>
          <w14:ligatures w14:val="none"/>
        </w:rPr>
        <w:t xml:space="preserve"> on the test dataset</w:t>
      </w:r>
      <w:r w:rsidR="0022023A" w:rsidRPr="00EF319B">
        <w:rPr>
          <w:rFonts w:ascii="Times New Roman" w:eastAsia="Yu Gothic Light" w:hAnsi="Times New Roman" w:cs="Times New Roman"/>
          <w:bCs/>
          <w:kern w:val="0"/>
          <w:sz w:val="20"/>
          <w:szCs w:val="20"/>
          <w14:ligatures w14:val="none"/>
        </w:rPr>
        <w:t xml:space="preserve">. </w:t>
      </w:r>
      <w:r w:rsidR="00B803F7" w:rsidRPr="00EF319B">
        <w:rPr>
          <w:rFonts w:ascii="Times New Roman" w:eastAsia="Yu Gothic Light" w:hAnsi="Times New Roman" w:cs="Times New Roman"/>
          <w:bCs/>
          <w:kern w:val="0"/>
          <w:sz w:val="20"/>
          <w:szCs w:val="20"/>
          <w14:ligatures w14:val="none"/>
        </w:rPr>
        <w:t>The dataset shows overfitting in some values, but overall</w:t>
      </w:r>
      <w:r w:rsidR="00BE44B8" w:rsidRPr="00EF319B">
        <w:rPr>
          <w:rFonts w:ascii="Times New Roman" w:eastAsia="Yu Gothic Light" w:hAnsi="Times New Roman" w:cs="Times New Roman"/>
          <w:bCs/>
          <w:kern w:val="0"/>
          <w:sz w:val="20"/>
          <w:szCs w:val="20"/>
          <w14:ligatures w14:val="none"/>
        </w:rPr>
        <w:t>,</w:t>
      </w:r>
      <w:r w:rsidR="00A00613" w:rsidRPr="00EF319B">
        <w:rPr>
          <w:rFonts w:ascii="Times New Roman" w:eastAsia="Yu Gothic Light" w:hAnsi="Times New Roman" w:cs="Times New Roman"/>
          <w:bCs/>
          <w:kern w:val="0"/>
          <w:sz w:val="20"/>
          <w:szCs w:val="20"/>
          <w14:ligatures w14:val="none"/>
        </w:rPr>
        <w:t xml:space="preserve"> the</w:t>
      </w:r>
      <w:r w:rsidR="0022023A" w:rsidRPr="00EF319B">
        <w:rPr>
          <w:rFonts w:ascii="Times New Roman" w:eastAsia="Yu Gothic Light" w:hAnsi="Times New Roman" w:cs="Times New Roman"/>
          <w:bCs/>
          <w:kern w:val="0"/>
          <w:sz w:val="20"/>
          <w:szCs w:val="20"/>
          <w14:ligatures w14:val="none"/>
        </w:rPr>
        <w:t xml:space="preserve"> model fits well.</w:t>
      </w:r>
      <w:r w:rsidR="00034A19" w:rsidRPr="00EF319B">
        <w:rPr>
          <w:rFonts w:ascii="Times New Roman" w:eastAsia="Yu Gothic Light" w:hAnsi="Times New Roman" w:cs="Times New Roman"/>
          <w:bCs/>
          <w:kern w:val="0"/>
          <w:sz w:val="20"/>
          <w:szCs w:val="20"/>
          <w14:ligatures w14:val="none"/>
        </w:rPr>
        <w:t xml:space="preserve">   </w:t>
      </w:r>
    </w:p>
    <w:p w14:paraId="01A87F80" w14:textId="77777777" w:rsidR="004043CD" w:rsidRPr="00EF319B" w:rsidRDefault="0022023A" w:rsidP="004043CD">
      <w:pPr>
        <w:keepNext/>
        <w:jc w:val="both"/>
      </w:pPr>
      <w:r w:rsidRPr="00EF319B">
        <w:rPr>
          <w:rFonts w:ascii="Times New Roman" w:hAnsi="Times New Roman" w:cs="Times New Roman"/>
          <w:noProof/>
        </w:rPr>
        <w:drawing>
          <wp:inline distT="0" distB="0" distL="0" distR="0" wp14:anchorId="7788864D" wp14:editId="79C2DC36">
            <wp:extent cx="5943600" cy="2796639"/>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t="131" b="131"/>
                    <a:stretch>
                      <a:fillRect/>
                    </a:stretch>
                  </pic:blipFill>
                  <pic:spPr bwMode="auto">
                    <a:xfrm>
                      <a:off x="0" y="0"/>
                      <a:ext cx="5943600" cy="2796639"/>
                    </a:xfrm>
                    <a:prstGeom prst="rect">
                      <a:avLst/>
                    </a:prstGeom>
                    <a:noFill/>
                    <a:ln>
                      <a:noFill/>
                    </a:ln>
                    <a:extLst>
                      <a:ext uri="{53640926-AAD7-44D8-BBD7-CCE9431645EC}">
                        <a14:shadowObscured xmlns:a14="http://schemas.microsoft.com/office/drawing/2010/main"/>
                      </a:ext>
                    </a:extLst>
                  </pic:spPr>
                </pic:pic>
              </a:graphicData>
            </a:graphic>
          </wp:inline>
        </w:drawing>
      </w:r>
    </w:p>
    <w:p w14:paraId="4057A149" w14:textId="14A238B0" w:rsidR="0022023A" w:rsidRPr="00EF319B" w:rsidRDefault="004043CD" w:rsidP="004043CD">
      <w:pPr>
        <w:pStyle w:val="Caption"/>
        <w:jc w:val="center"/>
        <w:rPr>
          <w:rFonts w:ascii="Times New Roman" w:hAnsi="Times New Roman" w:cs="Times New Roman"/>
          <w:i w:val="0"/>
          <w:iCs w:val="0"/>
          <w:color w:val="auto"/>
          <w:sz w:val="20"/>
          <w:szCs w:val="20"/>
        </w:rPr>
      </w:pPr>
      <w:r w:rsidRPr="00EF319B">
        <w:rPr>
          <w:rFonts w:ascii="Times New Roman" w:hAnsi="Times New Roman" w:cs="Times New Roman"/>
          <w:b/>
          <w:bCs/>
          <w:i w:val="0"/>
          <w:iCs w:val="0"/>
          <w:color w:val="auto"/>
          <w:sz w:val="20"/>
          <w:szCs w:val="20"/>
        </w:rPr>
        <w:t xml:space="preserve">Figure </w:t>
      </w:r>
      <w:r w:rsidRPr="00EF319B">
        <w:rPr>
          <w:rFonts w:ascii="Times New Roman" w:hAnsi="Times New Roman" w:cs="Times New Roman"/>
          <w:b/>
          <w:bCs/>
          <w:i w:val="0"/>
          <w:iCs w:val="0"/>
          <w:color w:val="auto"/>
          <w:sz w:val="20"/>
          <w:szCs w:val="20"/>
        </w:rPr>
        <w:fldChar w:fldCharType="begin"/>
      </w:r>
      <w:r w:rsidRPr="00EF319B">
        <w:rPr>
          <w:rFonts w:ascii="Times New Roman" w:hAnsi="Times New Roman" w:cs="Times New Roman"/>
          <w:b/>
          <w:bCs/>
          <w:i w:val="0"/>
          <w:iCs w:val="0"/>
          <w:color w:val="auto"/>
          <w:sz w:val="20"/>
          <w:szCs w:val="20"/>
        </w:rPr>
        <w:instrText xml:space="preserve"> SEQ Figure \* ARABIC </w:instrText>
      </w:r>
      <w:r w:rsidRPr="00EF319B">
        <w:rPr>
          <w:rFonts w:ascii="Times New Roman" w:hAnsi="Times New Roman" w:cs="Times New Roman"/>
          <w:b/>
          <w:bCs/>
          <w:i w:val="0"/>
          <w:iCs w:val="0"/>
          <w:color w:val="auto"/>
          <w:sz w:val="20"/>
          <w:szCs w:val="20"/>
        </w:rPr>
        <w:fldChar w:fldCharType="separate"/>
      </w:r>
      <w:r w:rsidR="00E100D9" w:rsidRPr="00EF319B">
        <w:rPr>
          <w:rFonts w:ascii="Times New Roman" w:hAnsi="Times New Roman" w:cs="Times New Roman"/>
          <w:b/>
          <w:bCs/>
          <w:i w:val="0"/>
          <w:iCs w:val="0"/>
          <w:color w:val="auto"/>
          <w:sz w:val="20"/>
          <w:szCs w:val="20"/>
        </w:rPr>
        <w:t>5</w:t>
      </w:r>
      <w:r w:rsidRPr="00EF319B">
        <w:rPr>
          <w:rFonts w:ascii="Times New Roman" w:hAnsi="Times New Roman" w:cs="Times New Roman"/>
          <w:b/>
          <w:bCs/>
          <w:i w:val="0"/>
          <w:iCs w:val="0"/>
          <w:color w:val="auto"/>
          <w:sz w:val="20"/>
          <w:szCs w:val="20"/>
        </w:rPr>
        <w:fldChar w:fldCharType="end"/>
      </w:r>
      <w:r w:rsidRPr="00EF319B">
        <w:rPr>
          <w:rFonts w:ascii="Times New Roman" w:hAnsi="Times New Roman" w:cs="Times New Roman"/>
          <w:i w:val="0"/>
          <w:iCs w:val="0"/>
          <w:color w:val="auto"/>
          <w:sz w:val="20"/>
          <w:szCs w:val="20"/>
        </w:rPr>
        <w:t>. Model training and testing dataset optimized utilizing four different ML models: (a) DT, (b) GPR, (c) SVM, and (d) ELT.</w:t>
      </w:r>
    </w:p>
    <w:p w14:paraId="20FD3EAD" w14:textId="77777777" w:rsidR="004B6E0D" w:rsidRPr="00EF319B" w:rsidRDefault="004B6E0D" w:rsidP="004B6E0D">
      <w:pPr>
        <w:jc w:val="center"/>
        <w:rPr>
          <w:rFonts w:ascii="Times New Roman" w:hAnsi="Times New Roman" w:cs="Times New Roman"/>
          <w:sz w:val="20"/>
          <w:szCs w:val="20"/>
        </w:rPr>
      </w:pPr>
    </w:p>
    <w:p w14:paraId="72FFEEA5" w14:textId="77777777" w:rsidR="00FF4A92" w:rsidRPr="00EF319B" w:rsidRDefault="00FF4A92" w:rsidP="004B6E0D">
      <w:pPr>
        <w:jc w:val="center"/>
        <w:rPr>
          <w:rFonts w:ascii="Times New Roman" w:hAnsi="Times New Roman" w:cs="Times New Roman"/>
          <w:sz w:val="20"/>
          <w:szCs w:val="20"/>
        </w:rPr>
      </w:pPr>
    </w:p>
    <w:p w14:paraId="1625B9AB" w14:textId="77777777" w:rsidR="004D01E4" w:rsidRPr="00EF319B" w:rsidRDefault="004D01E4" w:rsidP="004B6E0D">
      <w:pPr>
        <w:jc w:val="center"/>
        <w:rPr>
          <w:rFonts w:ascii="Times New Roman" w:hAnsi="Times New Roman" w:cs="Times New Roman"/>
          <w:sz w:val="20"/>
          <w:szCs w:val="20"/>
        </w:rPr>
      </w:pPr>
    </w:p>
    <w:p w14:paraId="4DA805A6" w14:textId="18AE0DFD" w:rsidR="0022023A" w:rsidRPr="00EF319B" w:rsidRDefault="0022023A" w:rsidP="0022023A">
      <w:pPr>
        <w:pStyle w:val="Caption"/>
        <w:keepNext/>
        <w:jc w:val="center"/>
        <w:rPr>
          <w:rFonts w:ascii="Times New Roman" w:hAnsi="Times New Roman" w:cs="Times New Roman"/>
          <w:i w:val="0"/>
          <w:iCs w:val="0"/>
          <w:color w:val="auto"/>
        </w:rPr>
      </w:pPr>
      <w:r w:rsidRPr="00EF319B">
        <w:rPr>
          <w:rFonts w:ascii="Times New Roman" w:hAnsi="Times New Roman" w:cs="Times New Roman"/>
          <w:b/>
          <w:bCs/>
          <w:i w:val="0"/>
          <w:iCs w:val="0"/>
          <w:color w:val="auto"/>
        </w:rPr>
        <w:lastRenderedPageBreak/>
        <w:t xml:space="preserve">Table </w:t>
      </w:r>
      <w:r w:rsidRPr="00EF319B">
        <w:rPr>
          <w:rFonts w:ascii="Times New Roman" w:hAnsi="Times New Roman" w:cs="Times New Roman"/>
          <w:b/>
          <w:bCs/>
          <w:i w:val="0"/>
          <w:iCs w:val="0"/>
          <w:color w:val="auto"/>
        </w:rPr>
        <w:fldChar w:fldCharType="begin"/>
      </w:r>
      <w:r w:rsidRPr="00EF319B">
        <w:rPr>
          <w:rFonts w:ascii="Times New Roman" w:hAnsi="Times New Roman" w:cs="Times New Roman"/>
          <w:b/>
          <w:bCs/>
          <w:i w:val="0"/>
          <w:iCs w:val="0"/>
          <w:color w:val="auto"/>
        </w:rPr>
        <w:instrText xml:space="preserve"> SEQ Table \* ARABIC </w:instrText>
      </w:r>
      <w:r w:rsidRPr="00EF319B">
        <w:rPr>
          <w:rFonts w:ascii="Times New Roman" w:hAnsi="Times New Roman" w:cs="Times New Roman"/>
          <w:b/>
          <w:bCs/>
          <w:i w:val="0"/>
          <w:iCs w:val="0"/>
          <w:color w:val="auto"/>
        </w:rPr>
        <w:fldChar w:fldCharType="separate"/>
      </w:r>
      <w:r w:rsidR="00A37ABB" w:rsidRPr="00EF319B">
        <w:rPr>
          <w:rFonts w:ascii="Times New Roman" w:hAnsi="Times New Roman" w:cs="Times New Roman"/>
          <w:b/>
          <w:bCs/>
          <w:i w:val="0"/>
          <w:iCs w:val="0"/>
          <w:color w:val="auto"/>
        </w:rPr>
        <w:t>1</w:t>
      </w:r>
      <w:r w:rsidRPr="00EF319B">
        <w:rPr>
          <w:rFonts w:ascii="Times New Roman" w:hAnsi="Times New Roman" w:cs="Times New Roman"/>
          <w:b/>
          <w:bCs/>
          <w:i w:val="0"/>
          <w:iCs w:val="0"/>
          <w:color w:val="auto"/>
        </w:rPr>
        <w:fldChar w:fldCharType="end"/>
      </w:r>
      <w:r w:rsidRPr="00EF319B">
        <w:rPr>
          <w:rFonts w:ascii="Times New Roman" w:hAnsi="Times New Roman" w:cs="Times New Roman"/>
          <w:i w:val="0"/>
          <w:iCs w:val="0"/>
          <w:color w:val="auto"/>
        </w:rPr>
        <w:t>. Model training and testing dataset utilizing four different ML models.</w:t>
      </w:r>
    </w:p>
    <w:tbl>
      <w:tblPr>
        <w:tblStyle w:val="TableGrid"/>
        <w:tblW w:w="9792" w:type="dxa"/>
        <w:tblLayout w:type="fixed"/>
        <w:tblLook w:val="04A0" w:firstRow="1" w:lastRow="0" w:firstColumn="1" w:lastColumn="0" w:noHBand="0" w:noVBand="1"/>
      </w:tblPr>
      <w:tblGrid>
        <w:gridCol w:w="913"/>
        <w:gridCol w:w="955"/>
        <w:gridCol w:w="806"/>
        <w:gridCol w:w="916"/>
        <w:gridCol w:w="969"/>
        <w:gridCol w:w="1090"/>
        <w:gridCol w:w="942"/>
        <w:gridCol w:w="942"/>
        <w:gridCol w:w="797"/>
        <w:gridCol w:w="1462"/>
      </w:tblGrid>
      <w:tr w:rsidR="00A94F22" w:rsidRPr="00EF319B" w14:paraId="2CBA5F5B" w14:textId="77777777" w:rsidTr="00710CFF">
        <w:trPr>
          <w:trHeight w:val="282"/>
        </w:trPr>
        <w:tc>
          <w:tcPr>
            <w:tcW w:w="1868" w:type="dxa"/>
            <w:gridSpan w:val="2"/>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07A394D9" w14:textId="414C3DEB" w:rsidR="00A94F22" w:rsidRPr="00EF319B" w:rsidRDefault="00A94F22"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Models</w:t>
            </w:r>
          </w:p>
        </w:tc>
        <w:tc>
          <w:tcPr>
            <w:tcW w:w="1722" w:type="dxa"/>
            <w:gridSpan w:val="2"/>
            <w:tcBorders>
              <w:top w:val="single" w:sz="8" w:space="0" w:color="auto"/>
              <w:left w:val="single" w:sz="8" w:space="0" w:color="auto"/>
              <w:bottom w:val="single" w:sz="8" w:space="0" w:color="auto"/>
              <w:right w:val="single" w:sz="8" w:space="0" w:color="auto"/>
            </w:tcBorders>
            <w:shd w:val="clear" w:color="auto" w:fill="F4B083" w:themeFill="accent2" w:themeFillTint="99"/>
            <w:tcMar>
              <w:left w:w="108" w:type="dxa"/>
              <w:right w:w="108" w:type="dxa"/>
            </w:tcMar>
            <w:vAlign w:val="center"/>
          </w:tcPr>
          <w:p w14:paraId="60BFD1EA" w14:textId="6D96AC8E" w:rsidR="00A94F22" w:rsidRPr="00EF319B" w:rsidRDefault="00A94F22"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Before optimization</w:t>
            </w:r>
          </w:p>
        </w:tc>
        <w:tc>
          <w:tcPr>
            <w:tcW w:w="2059" w:type="dxa"/>
            <w:gridSpan w:val="2"/>
            <w:tcBorders>
              <w:top w:val="single" w:sz="8" w:space="0" w:color="auto"/>
              <w:left w:val="single" w:sz="8" w:space="0" w:color="auto"/>
              <w:bottom w:val="single" w:sz="8" w:space="0" w:color="auto"/>
              <w:right w:val="single" w:sz="8" w:space="0" w:color="auto"/>
            </w:tcBorders>
            <w:vAlign w:val="center"/>
          </w:tcPr>
          <w:p w14:paraId="1AEBD500" w14:textId="5602747B" w:rsidR="00A94F22" w:rsidRPr="00EF319B" w:rsidRDefault="00A94F22"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After optimization</w:t>
            </w:r>
          </w:p>
        </w:tc>
        <w:tc>
          <w:tcPr>
            <w:tcW w:w="4143" w:type="dxa"/>
            <w:gridSpan w:val="4"/>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7B2A9C48" w14:textId="3313991B" w:rsidR="00A94F22" w:rsidRPr="00EF319B" w:rsidRDefault="00A94F22"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Performance metrics</w:t>
            </w:r>
          </w:p>
        </w:tc>
      </w:tr>
      <w:tr w:rsidR="00E16B74" w:rsidRPr="00EF319B" w14:paraId="15BD29E0" w14:textId="77777777" w:rsidTr="00E16B74">
        <w:trPr>
          <w:trHeight w:val="282"/>
        </w:trPr>
        <w:tc>
          <w:tcPr>
            <w:tcW w:w="9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ED92F0" w14:textId="77777777" w:rsidR="00E16B74" w:rsidRPr="00EF319B" w:rsidRDefault="00E16B74" w:rsidP="00E16B74">
            <w:pPr>
              <w:jc w:val="center"/>
              <w:rPr>
                <w:rFonts w:ascii="Times New Roman" w:eastAsia="Calibri" w:hAnsi="Times New Roman" w:cs="Times New Roman"/>
                <w:sz w:val="18"/>
                <w:szCs w:val="18"/>
              </w:rPr>
            </w:pPr>
          </w:p>
        </w:tc>
        <w:tc>
          <w:tcPr>
            <w:tcW w:w="9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2ACEAA" w14:textId="373B72BE" w:rsidR="00E16B74" w:rsidRPr="00EF319B" w:rsidRDefault="00E16B74" w:rsidP="00E16B74">
            <w:pPr>
              <w:jc w:val="center"/>
              <w:rPr>
                <w:rFonts w:ascii="Times New Roman" w:hAnsi="Times New Roman" w:cs="Times New Roman"/>
                <w:sz w:val="18"/>
                <w:szCs w:val="18"/>
              </w:rPr>
            </w:pPr>
          </w:p>
        </w:tc>
        <w:tc>
          <w:tcPr>
            <w:tcW w:w="806" w:type="dxa"/>
            <w:tcBorders>
              <w:top w:val="single" w:sz="8" w:space="0" w:color="auto"/>
              <w:left w:val="single" w:sz="8" w:space="0" w:color="auto"/>
              <w:bottom w:val="single" w:sz="8" w:space="0" w:color="auto"/>
              <w:right w:val="single" w:sz="8" w:space="0" w:color="auto"/>
            </w:tcBorders>
            <w:shd w:val="clear" w:color="auto" w:fill="F4B083" w:themeFill="accent2" w:themeFillTint="99"/>
            <w:tcMar>
              <w:left w:w="108" w:type="dxa"/>
              <w:right w:w="108" w:type="dxa"/>
            </w:tcMar>
            <w:vAlign w:val="center"/>
          </w:tcPr>
          <w:p w14:paraId="4F47228E" w14:textId="5B3BDB4E" w:rsidR="00E16B74" w:rsidRPr="00EF319B" w:rsidRDefault="00E16B74" w:rsidP="00E16B74">
            <w:pPr>
              <w:jc w:val="center"/>
              <w:rPr>
                <w:rFonts w:ascii="Times New Roman" w:eastAsia="Calibri" w:hAnsi="Times New Roman" w:cs="Times New Roman"/>
                <w:i/>
                <w:iCs/>
                <w:sz w:val="18"/>
                <w:szCs w:val="18"/>
              </w:rPr>
            </w:pPr>
            <w:r w:rsidRPr="00EF319B">
              <w:rPr>
                <w:rFonts w:ascii="Times New Roman" w:eastAsia="Calibri" w:hAnsi="Times New Roman" w:cs="Times New Roman"/>
                <w:i/>
                <w:iCs/>
                <w:sz w:val="18"/>
                <w:szCs w:val="18"/>
              </w:rPr>
              <w:t>R</w:t>
            </w:r>
            <w:r w:rsidRPr="00EF319B">
              <w:rPr>
                <w:rFonts w:ascii="Times New Roman" w:eastAsia="Calibri" w:hAnsi="Times New Roman" w:cs="Times New Roman"/>
                <w:i/>
                <w:iCs/>
                <w:sz w:val="18"/>
                <w:szCs w:val="18"/>
                <w:vertAlign w:val="superscript"/>
              </w:rPr>
              <w:t>2</w:t>
            </w:r>
          </w:p>
        </w:tc>
        <w:tc>
          <w:tcPr>
            <w:tcW w:w="916" w:type="dxa"/>
            <w:tcBorders>
              <w:top w:val="single" w:sz="8" w:space="0" w:color="auto"/>
              <w:left w:val="single" w:sz="8" w:space="0" w:color="auto"/>
              <w:bottom w:val="single" w:sz="8" w:space="0" w:color="auto"/>
              <w:right w:val="single" w:sz="8" w:space="0" w:color="auto"/>
            </w:tcBorders>
            <w:shd w:val="clear" w:color="auto" w:fill="F4B083" w:themeFill="accent2" w:themeFillTint="99"/>
            <w:tcMar>
              <w:left w:w="108" w:type="dxa"/>
              <w:right w:w="108" w:type="dxa"/>
            </w:tcMar>
            <w:vAlign w:val="center"/>
          </w:tcPr>
          <w:p w14:paraId="77057068" w14:textId="2259320E"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RMSE</w:t>
            </w:r>
          </w:p>
        </w:tc>
        <w:tc>
          <w:tcPr>
            <w:tcW w:w="969" w:type="dxa"/>
            <w:tcBorders>
              <w:top w:val="single" w:sz="8" w:space="0" w:color="auto"/>
              <w:left w:val="single" w:sz="8" w:space="0" w:color="auto"/>
              <w:bottom w:val="single" w:sz="8" w:space="0" w:color="auto"/>
              <w:right w:val="single" w:sz="8" w:space="0" w:color="auto"/>
            </w:tcBorders>
            <w:vAlign w:val="center"/>
          </w:tcPr>
          <w:p w14:paraId="3A0ACCE5" w14:textId="382D4D8A" w:rsidR="00E16B74" w:rsidRPr="00EF319B" w:rsidRDefault="00E16B74" w:rsidP="00E16B74">
            <w:pPr>
              <w:jc w:val="center"/>
              <w:rPr>
                <w:rFonts w:ascii="Times New Roman" w:eastAsia="Calibri" w:hAnsi="Times New Roman" w:cs="Times New Roman"/>
                <w:i/>
                <w:iCs/>
                <w:sz w:val="18"/>
                <w:szCs w:val="18"/>
              </w:rPr>
            </w:pPr>
            <w:r w:rsidRPr="00EF319B">
              <w:rPr>
                <w:rFonts w:ascii="Times New Roman" w:eastAsia="Calibri" w:hAnsi="Times New Roman" w:cs="Times New Roman"/>
                <w:i/>
                <w:iCs/>
                <w:sz w:val="18"/>
                <w:szCs w:val="18"/>
              </w:rPr>
              <w:t>R</w:t>
            </w:r>
            <w:r w:rsidRPr="00EF319B">
              <w:rPr>
                <w:rFonts w:ascii="Times New Roman" w:eastAsia="Calibri" w:hAnsi="Times New Roman" w:cs="Times New Roman"/>
                <w:i/>
                <w:iCs/>
                <w:sz w:val="18"/>
                <w:szCs w:val="18"/>
                <w:vertAlign w:val="superscript"/>
              </w:rPr>
              <w:t>2</w:t>
            </w:r>
          </w:p>
        </w:tc>
        <w:tc>
          <w:tcPr>
            <w:tcW w:w="1090" w:type="dxa"/>
            <w:tcBorders>
              <w:top w:val="single" w:sz="8" w:space="0" w:color="auto"/>
              <w:left w:val="single" w:sz="8" w:space="0" w:color="auto"/>
              <w:bottom w:val="single" w:sz="8" w:space="0" w:color="auto"/>
              <w:right w:val="single" w:sz="8" w:space="0" w:color="auto"/>
            </w:tcBorders>
            <w:vAlign w:val="center"/>
          </w:tcPr>
          <w:p w14:paraId="4B6348AE" w14:textId="712ADE3F"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RMSE</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B64948" w14:textId="3267F50F"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MAE</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26209B"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EVS</w:t>
            </w:r>
          </w:p>
        </w:tc>
        <w:tc>
          <w:tcPr>
            <w:tcW w:w="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BD9ECB"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MAPE</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81AC55"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RSR</w:t>
            </w:r>
          </w:p>
        </w:tc>
      </w:tr>
      <w:tr w:rsidR="00E16B74" w:rsidRPr="00EF319B" w14:paraId="1B47B5C0" w14:textId="77777777" w:rsidTr="00E16B74">
        <w:trPr>
          <w:trHeight w:val="282"/>
        </w:trPr>
        <w:tc>
          <w:tcPr>
            <w:tcW w:w="913"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FC268F"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DT</w:t>
            </w:r>
          </w:p>
        </w:tc>
        <w:tc>
          <w:tcPr>
            <w:tcW w:w="9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5FE78F"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Train</w:t>
            </w:r>
          </w:p>
        </w:tc>
        <w:tc>
          <w:tcPr>
            <w:tcW w:w="806" w:type="dxa"/>
            <w:tcBorders>
              <w:top w:val="single" w:sz="6" w:space="0" w:color="auto"/>
              <w:left w:val="single" w:sz="6" w:space="0" w:color="auto"/>
              <w:bottom w:val="single" w:sz="6" w:space="0" w:color="auto"/>
              <w:right w:val="single" w:sz="6" w:space="0" w:color="auto"/>
            </w:tcBorders>
            <w:shd w:val="clear" w:color="auto" w:fill="F4B083"/>
            <w:tcMar>
              <w:left w:w="108" w:type="dxa"/>
              <w:right w:w="108" w:type="dxa"/>
            </w:tcMar>
            <w:vAlign w:val="center"/>
          </w:tcPr>
          <w:p w14:paraId="024327DA" w14:textId="1F274D8A"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0.1212</w:t>
            </w:r>
          </w:p>
        </w:tc>
        <w:tc>
          <w:tcPr>
            <w:tcW w:w="916" w:type="dxa"/>
            <w:tcBorders>
              <w:top w:val="single" w:sz="6" w:space="0" w:color="auto"/>
              <w:left w:val="single" w:sz="6" w:space="0" w:color="auto"/>
              <w:bottom w:val="single" w:sz="6" w:space="0" w:color="auto"/>
              <w:right w:val="single" w:sz="6" w:space="0" w:color="auto"/>
            </w:tcBorders>
            <w:shd w:val="clear" w:color="auto" w:fill="F4B083"/>
            <w:tcMar>
              <w:left w:w="108" w:type="dxa"/>
              <w:right w:w="108" w:type="dxa"/>
            </w:tcMar>
            <w:vAlign w:val="center"/>
          </w:tcPr>
          <w:p w14:paraId="655C93EF" w14:textId="41D65F1B"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17.251</w:t>
            </w:r>
          </w:p>
        </w:tc>
        <w:tc>
          <w:tcPr>
            <w:tcW w:w="969" w:type="dxa"/>
            <w:tcBorders>
              <w:top w:val="single" w:sz="8" w:space="0" w:color="auto"/>
              <w:left w:val="single" w:sz="8" w:space="0" w:color="auto"/>
              <w:bottom w:val="single" w:sz="8" w:space="0" w:color="auto"/>
              <w:right w:val="single" w:sz="8" w:space="0" w:color="auto"/>
            </w:tcBorders>
            <w:vAlign w:val="center"/>
          </w:tcPr>
          <w:p w14:paraId="54C8067F" w14:textId="6832AE9F"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0.1816</w:t>
            </w:r>
          </w:p>
        </w:tc>
        <w:tc>
          <w:tcPr>
            <w:tcW w:w="1090" w:type="dxa"/>
            <w:tcBorders>
              <w:top w:val="single" w:sz="8" w:space="0" w:color="auto"/>
              <w:left w:val="single" w:sz="8" w:space="0" w:color="auto"/>
              <w:bottom w:val="single" w:sz="8" w:space="0" w:color="auto"/>
              <w:right w:val="single" w:sz="8" w:space="0" w:color="auto"/>
            </w:tcBorders>
            <w:vAlign w:val="center"/>
          </w:tcPr>
          <w:p w14:paraId="18AE1719" w14:textId="75BE789B"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11.608</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A42B71" w14:textId="7996B970"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7.9411</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2362F2"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0.18161</w:t>
            </w:r>
          </w:p>
        </w:tc>
        <w:tc>
          <w:tcPr>
            <w:tcW w:w="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97B008"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22.867</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49261C"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0.90313</w:t>
            </w:r>
          </w:p>
        </w:tc>
      </w:tr>
      <w:tr w:rsidR="00E16B74" w:rsidRPr="00EF319B" w14:paraId="57BE63EE" w14:textId="77777777" w:rsidTr="00E16B74">
        <w:trPr>
          <w:trHeight w:val="282"/>
        </w:trPr>
        <w:tc>
          <w:tcPr>
            <w:tcW w:w="913" w:type="dxa"/>
            <w:vMerge/>
            <w:vAlign w:val="center"/>
          </w:tcPr>
          <w:p w14:paraId="2914355B" w14:textId="77777777" w:rsidR="00E16B74" w:rsidRPr="00EF319B" w:rsidRDefault="00E16B74" w:rsidP="00E16B74">
            <w:pPr>
              <w:jc w:val="center"/>
              <w:rPr>
                <w:rFonts w:ascii="Times New Roman" w:hAnsi="Times New Roman" w:cs="Times New Roman"/>
                <w:sz w:val="18"/>
                <w:szCs w:val="18"/>
              </w:rPr>
            </w:pPr>
          </w:p>
        </w:tc>
        <w:tc>
          <w:tcPr>
            <w:tcW w:w="955" w:type="dxa"/>
            <w:tcBorders>
              <w:top w:val="single" w:sz="8" w:space="0" w:color="auto"/>
              <w:left w:val="nil"/>
              <w:bottom w:val="single" w:sz="8" w:space="0" w:color="auto"/>
              <w:right w:val="single" w:sz="8" w:space="0" w:color="auto"/>
            </w:tcBorders>
            <w:tcMar>
              <w:left w:w="108" w:type="dxa"/>
              <w:right w:w="108" w:type="dxa"/>
            </w:tcMar>
            <w:vAlign w:val="center"/>
          </w:tcPr>
          <w:p w14:paraId="074FBD27"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Test</w:t>
            </w:r>
          </w:p>
        </w:tc>
        <w:tc>
          <w:tcPr>
            <w:tcW w:w="806" w:type="dxa"/>
            <w:tcBorders>
              <w:top w:val="single" w:sz="6" w:space="0" w:color="auto"/>
              <w:left w:val="single" w:sz="6" w:space="0" w:color="auto"/>
              <w:bottom w:val="single" w:sz="6" w:space="0" w:color="auto"/>
              <w:right w:val="single" w:sz="6" w:space="0" w:color="auto"/>
            </w:tcBorders>
            <w:shd w:val="clear" w:color="auto" w:fill="F4B083"/>
            <w:tcMar>
              <w:left w:w="108" w:type="dxa"/>
              <w:right w:w="108" w:type="dxa"/>
            </w:tcMar>
            <w:vAlign w:val="center"/>
          </w:tcPr>
          <w:p w14:paraId="19183386" w14:textId="580B5C95"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0.2175</w:t>
            </w:r>
          </w:p>
        </w:tc>
        <w:tc>
          <w:tcPr>
            <w:tcW w:w="916" w:type="dxa"/>
            <w:tcBorders>
              <w:top w:val="single" w:sz="6" w:space="0" w:color="auto"/>
              <w:left w:val="single" w:sz="6" w:space="0" w:color="auto"/>
              <w:bottom w:val="single" w:sz="6" w:space="0" w:color="auto"/>
              <w:right w:val="single" w:sz="6" w:space="0" w:color="auto"/>
            </w:tcBorders>
            <w:shd w:val="clear" w:color="auto" w:fill="F4B083"/>
            <w:tcMar>
              <w:left w:w="108" w:type="dxa"/>
              <w:right w:w="108" w:type="dxa"/>
            </w:tcMar>
            <w:vAlign w:val="center"/>
          </w:tcPr>
          <w:p w14:paraId="507D518D" w14:textId="46EBAECC"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18.214</w:t>
            </w:r>
          </w:p>
        </w:tc>
        <w:tc>
          <w:tcPr>
            <w:tcW w:w="969" w:type="dxa"/>
            <w:tcBorders>
              <w:top w:val="single" w:sz="8" w:space="0" w:color="auto"/>
              <w:left w:val="single" w:sz="8" w:space="0" w:color="auto"/>
              <w:bottom w:val="single" w:sz="8" w:space="0" w:color="auto"/>
              <w:right w:val="single" w:sz="8" w:space="0" w:color="auto"/>
            </w:tcBorders>
            <w:vAlign w:val="center"/>
          </w:tcPr>
          <w:p w14:paraId="30CCDBEE" w14:textId="6F1593D6"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0.1595</w:t>
            </w:r>
          </w:p>
        </w:tc>
        <w:tc>
          <w:tcPr>
            <w:tcW w:w="1090" w:type="dxa"/>
            <w:tcBorders>
              <w:top w:val="single" w:sz="8" w:space="0" w:color="auto"/>
              <w:left w:val="single" w:sz="8" w:space="0" w:color="auto"/>
              <w:bottom w:val="single" w:sz="8" w:space="0" w:color="auto"/>
              <w:right w:val="single" w:sz="8" w:space="0" w:color="auto"/>
            </w:tcBorders>
            <w:vAlign w:val="center"/>
          </w:tcPr>
          <w:p w14:paraId="3E1E0B6F" w14:textId="7CC196C4"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13.639</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AE7F10" w14:textId="28A2226C"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9.6844</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4D77C8"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0.1743</w:t>
            </w:r>
          </w:p>
        </w:tc>
        <w:tc>
          <w:tcPr>
            <w:tcW w:w="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F90DF2"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24.227</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98D208"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0.91055</w:t>
            </w:r>
          </w:p>
        </w:tc>
      </w:tr>
      <w:tr w:rsidR="00E16B74" w:rsidRPr="00EF319B" w14:paraId="07C282FC" w14:textId="77777777" w:rsidTr="00E16B74">
        <w:trPr>
          <w:trHeight w:val="282"/>
        </w:trPr>
        <w:tc>
          <w:tcPr>
            <w:tcW w:w="913" w:type="dxa"/>
            <w:vMerge w:val="restart"/>
            <w:tcBorders>
              <w:top w:val="nil"/>
              <w:left w:val="single" w:sz="8" w:space="0" w:color="auto"/>
              <w:bottom w:val="single" w:sz="8" w:space="0" w:color="auto"/>
              <w:right w:val="single" w:sz="8" w:space="0" w:color="auto"/>
            </w:tcBorders>
            <w:tcMar>
              <w:left w:w="108" w:type="dxa"/>
              <w:right w:w="108" w:type="dxa"/>
            </w:tcMar>
            <w:vAlign w:val="center"/>
          </w:tcPr>
          <w:p w14:paraId="3E0C984C"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GPR</w:t>
            </w:r>
          </w:p>
        </w:tc>
        <w:tc>
          <w:tcPr>
            <w:tcW w:w="9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3B7899"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Train</w:t>
            </w:r>
          </w:p>
        </w:tc>
        <w:tc>
          <w:tcPr>
            <w:tcW w:w="806" w:type="dxa"/>
            <w:tcBorders>
              <w:top w:val="single" w:sz="6" w:space="0" w:color="auto"/>
              <w:left w:val="single" w:sz="6" w:space="0" w:color="auto"/>
              <w:bottom w:val="single" w:sz="6" w:space="0" w:color="auto"/>
              <w:right w:val="single" w:sz="6" w:space="0" w:color="auto"/>
            </w:tcBorders>
            <w:shd w:val="clear" w:color="auto" w:fill="F4B083"/>
            <w:tcMar>
              <w:left w:w="108" w:type="dxa"/>
              <w:right w:w="108" w:type="dxa"/>
            </w:tcMar>
            <w:vAlign w:val="center"/>
          </w:tcPr>
          <w:p w14:paraId="788E4904" w14:textId="7EADB79D"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0.1254</w:t>
            </w:r>
          </w:p>
        </w:tc>
        <w:tc>
          <w:tcPr>
            <w:tcW w:w="916" w:type="dxa"/>
            <w:tcBorders>
              <w:top w:val="single" w:sz="6" w:space="0" w:color="auto"/>
              <w:left w:val="single" w:sz="6" w:space="0" w:color="auto"/>
              <w:bottom w:val="single" w:sz="6" w:space="0" w:color="auto"/>
              <w:right w:val="single" w:sz="6" w:space="0" w:color="auto"/>
            </w:tcBorders>
            <w:shd w:val="clear" w:color="auto" w:fill="F4B083"/>
            <w:tcMar>
              <w:left w:w="108" w:type="dxa"/>
              <w:right w:w="108" w:type="dxa"/>
            </w:tcMar>
            <w:vAlign w:val="center"/>
          </w:tcPr>
          <w:p w14:paraId="05940A94" w14:textId="6DFB8632"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15.257</w:t>
            </w:r>
          </w:p>
        </w:tc>
        <w:tc>
          <w:tcPr>
            <w:tcW w:w="969" w:type="dxa"/>
            <w:tcBorders>
              <w:top w:val="single" w:sz="8" w:space="0" w:color="auto"/>
              <w:left w:val="single" w:sz="8" w:space="0" w:color="auto"/>
              <w:bottom w:val="single" w:sz="8" w:space="0" w:color="auto"/>
              <w:right w:val="single" w:sz="8" w:space="0" w:color="auto"/>
            </w:tcBorders>
            <w:vAlign w:val="center"/>
          </w:tcPr>
          <w:p w14:paraId="00CDB5E5" w14:textId="0B216A15"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0.3345</w:t>
            </w:r>
          </w:p>
        </w:tc>
        <w:tc>
          <w:tcPr>
            <w:tcW w:w="1090" w:type="dxa"/>
            <w:tcBorders>
              <w:top w:val="single" w:sz="8" w:space="0" w:color="auto"/>
              <w:left w:val="single" w:sz="8" w:space="0" w:color="auto"/>
              <w:bottom w:val="single" w:sz="8" w:space="0" w:color="auto"/>
              <w:right w:val="single" w:sz="8" w:space="0" w:color="auto"/>
            </w:tcBorders>
            <w:vAlign w:val="center"/>
          </w:tcPr>
          <w:p w14:paraId="6EC7CDFB" w14:textId="4B7AEA78"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10.467</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668771" w14:textId="4DD26F78"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7.234</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66ABF4"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0.33479</w:t>
            </w:r>
          </w:p>
        </w:tc>
        <w:tc>
          <w:tcPr>
            <w:tcW w:w="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DF886E"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20.822</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81C72B"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0.81441</w:t>
            </w:r>
          </w:p>
        </w:tc>
      </w:tr>
      <w:tr w:rsidR="00E16B74" w:rsidRPr="00EF319B" w14:paraId="2BCE30C3" w14:textId="77777777" w:rsidTr="00E16B74">
        <w:trPr>
          <w:trHeight w:val="282"/>
        </w:trPr>
        <w:tc>
          <w:tcPr>
            <w:tcW w:w="913" w:type="dxa"/>
            <w:vMerge/>
            <w:vAlign w:val="center"/>
          </w:tcPr>
          <w:p w14:paraId="4C27A02A" w14:textId="77777777" w:rsidR="00E16B74" w:rsidRPr="00EF319B" w:rsidRDefault="00E16B74" w:rsidP="00E16B74">
            <w:pPr>
              <w:jc w:val="center"/>
              <w:rPr>
                <w:rFonts w:ascii="Times New Roman" w:hAnsi="Times New Roman" w:cs="Times New Roman"/>
                <w:sz w:val="18"/>
                <w:szCs w:val="18"/>
              </w:rPr>
            </w:pPr>
          </w:p>
        </w:tc>
        <w:tc>
          <w:tcPr>
            <w:tcW w:w="955" w:type="dxa"/>
            <w:tcBorders>
              <w:top w:val="single" w:sz="8" w:space="0" w:color="auto"/>
              <w:left w:val="nil"/>
              <w:bottom w:val="single" w:sz="8" w:space="0" w:color="auto"/>
              <w:right w:val="single" w:sz="8" w:space="0" w:color="auto"/>
            </w:tcBorders>
            <w:tcMar>
              <w:left w:w="108" w:type="dxa"/>
              <w:right w:w="108" w:type="dxa"/>
            </w:tcMar>
            <w:vAlign w:val="center"/>
          </w:tcPr>
          <w:p w14:paraId="273841F4"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Test</w:t>
            </w:r>
          </w:p>
        </w:tc>
        <w:tc>
          <w:tcPr>
            <w:tcW w:w="806" w:type="dxa"/>
            <w:tcBorders>
              <w:top w:val="single" w:sz="6" w:space="0" w:color="auto"/>
              <w:left w:val="single" w:sz="6" w:space="0" w:color="auto"/>
              <w:bottom w:val="single" w:sz="6" w:space="0" w:color="auto"/>
              <w:right w:val="single" w:sz="6" w:space="0" w:color="auto"/>
            </w:tcBorders>
            <w:shd w:val="clear" w:color="auto" w:fill="F4B083"/>
            <w:tcMar>
              <w:left w:w="108" w:type="dxa"/>
              <w:right w:w="108" w:type="dxa"/>
            </w:tcMar>
            <w:vAlign w:val="center"/>
          </w:tcPr>
          <w:p w14:paraId="3446E730" w14:textId="655815D0"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0.2954</w:t>
            </w:r>
          </w:p>
        </w:tc>
        <w:tc>
          <w:tcPr>
            <w:tcW w:w="916" w:type="dxa"/>
            <w:tcBorders>
              <w:top w:val="single" w:sz="6" w:space="0" w:color="auto"/>
              <w:left w:val="single" w:sz="6" w:space="0" w:color="auto"/>
              <w:bottom w:val="single" w:sz="6" w:space="0" w:color="auto"/>
              <w:right w:val="single" w:sz="6" w:space="0" w:color="auto"/>
            </w:tcBorders>
            <w:shd w:val="clear" w:color="auto" w:fill="F4B083"/>
            <w:tcMar>
              <w:left w:w="108" w:type="dxa"/>
              <w:right w:w="108" w:type="dxa"/>
            </w:tcMar>
            <w:vAlign w:val="center"/>
          </w:tcPr>
          <w:p w14:paraId="1F1FE319" w14:textId="7F49AAE5"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17.8154</w:t>
            </w:r>
          </w:p>
        </w:tc>
        <w:tc>
          <w:tcPr>
            <w:tcW w:w="969" w:type="dxa"/>
            <w:tcBorders>
              <w:top w:val="single" w:sz="8" w:space="0" w:color="auto"/>
              <w:left w:val="single" w:sz="8" w:space="0" w:color="auto"/>
              <w:bottom w:val="single" w:sz="8" w:space="0" w:color="auto"/>
              <w:right w:val="single" w:sz="8" w:space="0" w:color="auto"/>
            </w:tcBorders>
            <w:vAlign w:val="center"/>
          </w:tcPr>
          <w:p w14:paraId="29341265" w14:textId="1FAE8075"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0.33377</w:t>
            </w:r>
          </w:p>
        </w:tc>
        <w:tc>
          <w:tcPr>
            <w:tcW w:w="1090" w:type="dxa"/>
            <w:tcBorders>
              <w:top w:val="single" w:sz="8" w:space="0" w:color="auto"/>
              <w:left w:val="single" w:sz="8" w:space="0" w:color="auto"/>
              <w:bottom w:val="single" w:sz="8" w:space="0" w:color="auto"/>
              <w:right w:val="single" w:sz="8" w:space="0" w:color="auto"/>
            </w:tcBorders>
            <w:vAlign w:val="center"/>
          </w:tcPr>
          <w:p w14:paraId="4DB27299" w14:textId="2943DD65"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12.143</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57F493" w14:textId="50B8987F"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8.4353</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4E719C"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0.35124</w:t>
            </w:r>
          </w:p>
        </w:tc>
        <w:tc>
          <w:tcPr>
            <w:tcW w:w="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694F13"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21.125</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0B9133"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0.81069</w:t>
            </w:r>
          </w:p>
        </w:tc>
      </w:tr>
      <w:tr w:rsidR="00E16B74" w:rsidRPr="00EF319B" w14:paraId="62E4D3CD" w14:textId="77777777" w:rsidTr="00E16B74">
        <w:trPr>
          <w:trHeight w:val="112"/>
        </w:trPr>
        <w:tc>
          <w:tcPr>
            <w:tcW w:w="913" w:type="dxa"/>
            <w:vMerge w:val="restart"/>
            <w:tcBorders>
              <w:top w:val="nil"/>
              <w:left w:val="single" w:sz="8" w:space="0" w:color="auto"/>
              <w:bottom w:val="single" w:sz="8" w:space="0" w:color="auto"/>
              <w:right w:val="single" w:sz="8" w:space="0" w:color="auto"/>
            </w:tcBorders>
            <w:tcMar>
              <w:left w:w="108" w:type="dxa"/>
              <w:right w:w="108" w:type="dxa"/>
            </w:tcMar>
            <w:vAlign w:val="center"/>
          </w:tcPr>
          <w:p w14:paraId="20317D83"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SVM</w:t>
            </w:r>
          </w:p>
        </w:tc>
        <w:tc>
          <w:tcPr>
            <w:tcW w:w="9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A8C7CF"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Train</w:t>
            </w:r>
          </w:p>
        </w:tc>
        <w:tc>
          <w:tcPr>
            <w:tcW w:w="806" w:type="dxa"/>
            <w:tcBorders>
              <w:top w:val="single" w:sz="6" w:space="0" w:color="auto"/>
              <w:left w:val="single" w:sz="6" w:space="0" w:color="auto"/>
              <w:bottom w:val="single" w:sz="6" w:space="0" w:color="auto"/>
              <w:right w:val="single" w:sz="6" w:space="0" w:color="auto"/>
            </w:tcBorders>
            <w:shd w:val="clear" w:color="auto" w:fill="F4B083"/>
            <w:tcMar>
              <w:left w:w="108" w:type="dxa"/>
              <w:right w:w="108" w:type="dxa"/>
            </w:tcMar>
            <w:vAlign w:val="center"/>
          </w:tcPr>
          <w:p w14:paraId="57061309" w14:textId="482E0755"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0.1595</w:t>
            </w:r>
          </w:p>
        </w:tc>
        <w:tc>
          <w:tcPr>
            <w:tcW w:w="916" w:type="dxa"/>
            <w:tcBorders>
              <w:top w:val="single" w:sz="6" w:space="0" w:color="auto"/>
              <w:left w:val="single" w:sz="6" w:space="0" w:color="auto"/>
              <w:bottom w:val="single" w:sz="6" w:space="0" w:color="auto"/>
              <w:right w:val="single" w:sz="6" w:space="0" w:color="auto"/>
            </w:tcBorders>
            <w:shd w:val="clear" w:color="auto" w:fill="F4B083"/>
            <w:tcMar>
              <w:left w:w="108" w:type="dxa"/>
              <w:right w:w="108" w:type="dxa"/>
            </w:tcMar>
            <w:vAlign w:val="center"/>
          </w:tcPr>
          <w:p w14:paraId="1F151B03" w14:textId="28DC1056"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13.254</w:t>
            </w:r>
          </w:p>
        </w:tc>
        <w:tc>
          <w:tcPr>
            <w:tcW w:w="969" w:type="dxa"/>
            <w:tcBorders>
              <w:top w:val="single" w:sz="8" w:space="0" w:color="auto"/>
              <w:left w:val="single" w:sz="8" w:space="0" w:color="auto"/>
              <w:bottom w:val="single" w:sz="8" w:space="0" w:color="auto"/>
              <w:right w:val="single" w:sz="8" w:space="0" w:color="auto"/>
            </w:tcBorders>
            <w:vAlign w:val="center"/>
          </w:tcPr>
          <w:p w14:paraId="55151393" w14:textId="7F4AA265"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0.2236</w:t>
            </w:r>
          </w:p>
        </w:tc>
        <w:tc>
          <w:tcPr>
            <w:tcW w:w="1090" w:type="dxa"/>
            <w:tcBorders>
              <w:top w:val="single" w:sz="8" w:space="0" w:color="auto"/>
              <w:left w:val="single" w:sz="8" w:space="0" w:color="auto"/>
              <w:bottom w:val="single" w:sz="8" w:space="0" w:color="auto"/>
              <w:right w:val="single" w:sz="8" w:space="0" w:color="auto"/>
            </w:tcBorders>
            <w:vAlign w:val="center"/>
          </w:tcPr>
          <w:p w14:paraId="249CDBCD" w14:textId="084DEA0C"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11.306</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B9F44C" w14:textId="4AAE2BF2"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8.5821</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DDAF8D"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0.2364</w:t>
            </w:r>
          </w:p>
        </w:tc>
        <w:tc>
          <w:tcPr>
            <w:tcW w:w="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A46094"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26.324</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19FBFC"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0.87966</w:t>
            </w:r>
          </w:p>
        </w:tc>
      </w:tr>
      <w:tr w:rsidR="00E16B74" w:rsidRPr="00EF319B" w14:paraId="59BA5C0A" w14:textId="77777777" w:rsidTr="00E16B74">
        <w:trPr>
          <w:trHeight w:val="282"/>
        </w:trPr>
        <w:tc>
          <w:tcPr>
            <w:tcW w:w="913" w:type="dxa"/>
            <w:vMerge/>
            <w:vAlign w:val="center"/>
          </w:tcPr>
          <w:p w14:paraId="7F9E56D4" w14:textId="77777777" w:rsidR="00E16B74" w:rsidRPr="00EF319B" w:rsidRDefault="00E16B74" w:rsidP="00E16B74">
            <w:pPr>
              <w:jc w:val="center"/>
              <w:rPr>
                <w:rFonts w:ascii="Times New Roman" w:hAnsi="Times New Roman" w:cs="Times New Roman"/>
                <w:sz w:val="18"/>
                <w:szCs w:val="18"/>
              </w:rPr>
            </w:pPr>
          </w:p>
        </w:tc>
        <w:tc>
          <w:tcPr>
            <w:tcW w:w="955" w:type="dxa"/>
            <w:tcBorders>
              <w:top w:val="single" w:sz="8" w:space="0" w:color="auto"/>
              <w:left w:val="nil"/>
              <w:bottom w:val="single" w:sz="8" w:space="0" w:color="auto"/>
              <w:right w:val="single" w:sz="8" w:space="0" w:color="auto"/>
            </w:tcBorders>
            <w:tcMar>
              <w:left w:w="108" w:type="dxa"/>
              <w:right w:w="108" w:type="dxa"/>
            </w:tcMar>
            <w:vAlign w:val="center"/>
          </w:tcPr>
          <w:p w14:paraId="787610C7"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Test</w:t>
            </w:r>
          </w:p>
        </w:tc>
        <w:tc>
          <w:tcPr>
            <w:tcW w:w="806" w:type="dxa"/>
            <w:tcBorders>
              <w:top w:val="single" w:sz="6" w:space="0" w:color="auto"/>
              <w:left w:val="single" w:sz="6" w:space="0" w:color="auto"/>
              <w:bottom w:val="single" w:sz="6" w:space="0" w:color="auto"/>
              <w:right w:val="single" w:sz="6" w:space="0" w:color="auto"/>
            </w:tcBorders>
            <w:shd w:val="clear" w:color="auto" w:fill="F4B083"/>
            <w:tcMar>
              <w:left w:w="108" w:type="dxa"/>
              <w:right w:w="108" w:type="dxa"/>
            </w:tcMar>
            <w:vAlign w:val="center"/>
          </w:tcPr>
          <w:p w14:paraId="646E959B" w14:textId="1D6B7F86"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0.1621</w:t>
            </w:r>
          </w:p>
        </w:tc>
        <w:tc>
          <w:tcPr>
            <w:tcW w:w="916" w:type="dxa"/>
            <w:tcBorders>
              <w:top w:val="single" w:sz="6" w:space="0" w:color="auto"/>
              <w:left w:val="single" w:sz="6" w:space="0" w:color="auto"/>
              <w:bottom w:val="single" w:sz="6" w:space="0" w:color="auto"/>
              <w:right w:val="single" w:sz="6" w:space="0" w:color="auto"/>
            </w:tcBorders>
            <w:shd w:val="clear" w:color="auto" w:fill="F4B083"/>
            <w:tcMar>
              <w:left w:w="108" w:type="dxa"/>
              <w:right w:w="108" w:type="dxa"/>
            </w:tcMar>
            <w:vAlign w:val="center"/>
          </w:tcPr>
          <w:p w14:paraId="016E4A22" w14:textId="4007E7B6"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17.215</w:t>
            </w:r>
          </w:p>
        </w:tc>
        <w:tc>
          <w:tcPr>
            <w:tcW w:w="969" w:type="dxa"/>
            <w:tcBorders>
              <w:top w:val="single" w:sz="8" w:space="0" w:color="auto"/>
              <w:left w:val="single" w:sz="8" w:space="0" w:color="auto"/>
              <w:bottom w:val="single" w:sz="8" w:space="0" w:color="auto"/>
              <w:right w:val="single" w:sz="8" w:space="0" w:color="auto"/>
            </w:tcBorders>
            <w:vAlign w:val="center"/>
          </w:tcPr>
          <w:p w14:paraId="51A04E9F" w14:textId="361A4D59"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0.22371</w:t>
            </w:r>
          </w:p>
        </w:tc>
        <w:tc>
          <w:tcPr>
            <w:tcW w:w="1090" w:type="dxa"/>
            <w:tcBorders>
              <w:top w:val="single" w:sz="8" w:space="0" w:color="auto"/>
              <w:left w:val="single" w:sz="8" w:space="0" w:color="auto"/>
              <w:bottom w:val="single" w:sz="8" w:space="0" w:color="auto"/>
              <w:right w:val="single" w:sz="8" w:space="0" w:color="auto"/>
            </w:tcBorders>
            <w:vAlign w:val="center"/>
          </w:tcPr>
          <w:p w14:paraId="0DF514FD" w14:textId="2DA9A081"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13.108</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1EA043" w14:textId="5620A590"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10.382</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F72718"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0.22526</w:t>
            </w:r>
          </w:p>
        </w:tc>
        <w:tc>
          <w:tcPr>
            <w:tcW w:w="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A3B9BC"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27.624</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1917FF"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0.8751</w:t>
            </w:r>
          </w:p>
        </w:tc>
      </w:tr>
      <w:tr w:rsidR="00E16B74" w:rsidRPr="00EF319B" w14:paraId="36D4B550" w14:textId="77777777" w:rsidTr="00E16B74">
        <w:trPr>
          <w:trHeight w:val="282"/>
        </w:trPr>
        <w:tc>
          <w:tcPr>
            <w:tcW w:w="913" w:type="dxa"/>
            <w:vMerge w:val="restart"/>
            <w:tcBorders>
              <w:top w:val="nil"/>
              <w:left w:val="single" w:sz="8" w:space="0" w:color="auto"/>
              <w:bottom w:val="single" w:sz="8" w:space="0" w:color="auto"/>
              <w:right w:val="single" w:sz="8" w:space="0" w:color="auto"/>
            </w:tcBorders>
            <w:tcMar>
              <w:left w:w="108" w:type="dxa"/>
              <w:right w:w="108" w:type="dxa"/>
            </w:tcMar>
            <w:vAlign w:val="center"/>
          </w:tcPr>
          <w:p w14:paraId="5D69D3A2"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ELT</w:t>
            </w:r>
          </w:p>
        </w:tc>
        <w:tc>
          <w:tcPr>
            <w:tcW w:w="9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E8CC30"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Train</w:t>
            </w:r>
          </w:p>
        </w:tc>
        <w:tc>
          <w:tcPr>
            <w:tcW w:w="806" w:type="dxa"/>
            <w:tcBorders>
              <w:top w:val="single" w:sz="6" w:space="0" w:color="auto"/>
              <w:left w:val="single" w:sz="6" w:space="0" w:color="auto"/>
              <w:bottom w:val="single" w:sz="6" w:space="0" w:color="auto"/>
              <w:right w:val="single" w:sz="6" w:space="0" w:color="auto"/>
            </w:tcBorders>
            <w:shd w:val="clear" w:color="auto" w:fill="F4B083"/>
            <w:tcMar>
              <w:left w:w="108" w:type="dxa"/>
              <w:right w:w="108" w:type="dxa"/>
            </w:tcMar>
            <w:vAlign w:val="center"/>
          </w:tcPr>
          <w:p w14:paraId="60EE1B36" w14:textId="0A50F528"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0.4487</w:t>
            </w:r>
          </w:p>
        </w:tc>
        <w:tc>
          <w:tcPr>
            <w:tcW w:w="916" w:type="dxa"/>
            <w:tcBorders>
              <w:top w:val="single" w:sz="6" w:space="0" w:color="auto"/>
              <w:left w:val="single" w:sz="6" w:space="0" w:color="auto"/>
              <w:bottom w:val="single" w:sz="6" w:space="0" w:color="auto"/>
              <w:right w:val="single" w:sz="6" w:space="0" w:color="auto"/>
            </w:tcBorders>
            <w:shd w:val="clear" w:color="auto" w:fill="F4B083"/>
            <w:tcMar>
              <w:left w:w="108" w:type="dxa"/>
              <w:right w:w="108" w:type="dxa"/>
            </w:tcMar>
            <w:vAlign w:val="center"/>
          </w:tcPr>
          <w:p w14:paraId="2996D54A" w14:textId="5ED9B04F"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84.2147</w:t>
            </w:r>
          </w:p>
        </w:tc>
        <w:tc>
          <w:tcPr>
            <w:tcW w:w="969" w:type="dxa"/>
            <w:tcBorders>
              <w:top w:val="single" w:sz="8" w:space="0" w:color="auto"/>
              <w:left w:val="single" w:sz="8" w:space="0" w:color="auto"/>
              <w:bottom w:val="single" w:sz="8" w:space="0" w:color="auto"/>
              <w:right w:val="single" w:sz="8" w:space="0" w:color="auto"/>
            </w:tcBorders>
            <w:vAlign w:val="center"/>
          </w:tcPr>
          <w:p w14:paraId="4BD26308" w14:textId="30E72D7B"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0.56672</w:t>
            </w:r>
          </w:p>
        </w:tc>
        <w:tc>
          <w:tcPr>
            <w:tcW w:w="1090" w:type="dxa"/>
            <w:tcBorders>
              <w:top w:val="single" w:sz="8" w:space="0" w:color="auto"/>
              <w:left w:val="single" w:sz="8" w:space="0" w:color="auto"/>
              <w:bottom w:val="single" w:sz="8" w:space="0" w:color="auto"/>
              <w:right w:val="single" w:sz="8" w:space="0" w:color="auto"/>
            </w:tcBorders>
            <w:vAlign w:val="center"/>
          </w:tcPr>
          <w:p w14:paraId="612E04DE" w14:textId="3AE451A7"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76.433</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81363A" w14:textId="4B76EC8B"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34.379</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0A0757"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0.56672</w:t>
            </w:r>
          </w:p>
        </w:tc>
        <w:tc>
          <w:tcPr>
            <w:tcW w:w="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C87E42"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48.528</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A061CD"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0.65696</w:t>
            </w:r>
          </w:p>
        </w:tc>
      </w:tr>
      <w:tr w:rsidR="00E16B74" w:rsidRPr="00EF319B" w14:paraId="452DB98D" w14:textId="77777777" w:rsidTr="00E16B74">
        <w:trPr>
          <w:trHeight w:val="282"/>
        </w:trPr>
        <w:tc>
          <w:tcPr>
            <w:tcW w:w="913" w:type="dxa"/>
            <w:vMerge/>
            <w:vAlign w:val="center"/>
          </w:tcPr>
          <w:p w14:paraId="193C8E9D" w14:textId="77777777" w:rsidR="00E16B74" w:rsidRPr="00EF319B" w:rsidRDefault="00E16B74" w:rsidP="00E16B74">
            <w:pPr>
              <w:jc w:val="center"/>
              <w:rPr>
                <w:rFonts w:ascii="Times New Roman" w:hAnsi="Times New Roman" w:cs="Times New Roman"/>
                <w:sz w:val="18"/>
                <w:szCs w:val="18"/>
              </w:rPr>
            </w:pPr>
          </w:p>
        </w:tc>
        <w:tc>
          <w:tcPr>
            <w:tcW w:w="955" w:type="dxa"/>
            <w:tcBorders>
              <w:top w:val="single" w:sz="8" w:space="0" w:color="auto"/>
              <w:left w:val="nil"/>
              <w:bottom w:val="single" w:sz="8" w:space="0" w:color="auto"/>
              <w:right w:val="single" w:sz="8" w:space="0" w:color="auto"/>
            </w:tcBorders>
            <w:tcMar>
              <w:left w:w="108" w:type="dxa"/>
              <w:right w:w="108" w:type="dxa"/>
            </w:tcMar>
            <w:vAlign w:val="center"/>
          </w:tcPr>
          <w:p w14:paraId="4337DAA0"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Test</w:t>
            </w:r>
          </w:p>
        </w:tc>
        <w:tc>
          <w:tcPr>
            <w:tcW w:w="806" w:type="dxa"/>
            <w:tcBorders>
              <w:top w:val="single" w:sz="6" w:space="0" w:color="auto"/>
              <w:left w:val="single" w:sz="6" w:space="0" w:color="auto"/>
              <w:bottom w:val="single" w:sz="6" w:space="0" w:color="auto"/>
              <w:right w:val="single" w:sz="6" w:space="0" w:color="auto"/>
            </w:tcBorders>
            <w:shd w:val="clear" w:color="auto" w:fill="F4B083"/>
            <w:tcMar>
              <w:left w:w="108" w:type="dxa"/>
              <w:right w:w="108" w:type="dxa"/>
            </w:tcMar>
            <w:vAlign w:val="center"/>
          </w:tcPr>
          <w:p w14:paraId="50CB11CD" w14:textId="604DAA0D"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0.6421</w:t>
            </w:r>
          </w:p>
        </w:tc>
        <w:tc>
          <w:tcPr>
            <w:tcW w:w="916" w:type="dxa"/>
            <w:tcBorders>
              <w:top w:val="single" w:sz="6" w:space="0" w:color="auto"/>
              <w:left w:val="single" w:sz="6" w:space="0" w:color="auto"/>
              <w:bottom w:val="single" w:sz="6" w:space="0" w:color="auto"/>
              <w:right w:val="single" w:sz="6" w:space="0" w:color="auto"/>
            </w:tcBorders>
            <w:shd w:val="clear" w:color="auto" w:fill="F4B083"/>
            <w:tcMar>
              <w:left w:w="108" w:type="dxa"/>
              <w:right w:w="108" w:type="dxa"/>
            </w:tcMar>
            <w:vAlign w:val="center"/>
          </w:tcPr>
          <w:p w14:paraId="1976D1F9" w14:textId="1E81AF62"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45.251</w:t>
            </w:r>
          </w:p>
        </w:tc>
        <w:tc>
          <w:tcPr>
            <w:tcW w:w="969" w:type="dxa"/>
            <w:tcBorders>
              <w:top w:val="single" w:sz="8" w:space="0" w:color="auto"/>
              <w:left w:val="single" w:sz="8" w:space="0" w:color="auto"/>
              <w:bottom w:val="single" w:sz="8" w:space="0" w:color="auto"/>
              <w:right w:val="single" w:sz="8" w:space="0" w:color="auto"/>
            </w:tcBorders>
            <w:vAlign w:val="center"/>
          </w:tcPr>
          <w:p w14:paraId="1D33D52B" w14:textId="5002EAA0"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0.78345</w:t>
            </w:r>
          </w:p>
        </w:tc>
        <w:tc>
          <w:tcPr>
            <w:tcW w:w="1090" w:type="dxa"/>
            <w:tcBorders>
              <w:top w:val="single" w:sz="8" w:space="0" w:color="auto"/>
              <w:left w:val="single" w:sz="8" w:space="0" w:color="auto"/>
              <w:bottom w:val="single" w:sz="8" w:space="0" w:color="auto"/>
              <w:right w:val="single" w:sz="8" w:space="0" w:color="auto"/>
            </w:tcBorders>
            <w:vAlign w:val="center"/>
          </w:tcPr>
          <w:p w14:paraId="68859C93" w14:textId="00CA558F" w:rsidR="00E16B74" w:rsidRPr="00EF319B" w:rsidRDefault="00E16B74" w:rsidP="00E16B74">
            <w:pPr>
              <w:jc w:val="center"/>
              <w:rPr>
                <w:rFonts w:ascii="Times New Roman" w:eastAsia="Calibri" w:hAnsi="Times New Roman" w:cs="Times New Roman"/>
                <w:sz w:val="18"/>
                <w:szCs w:val="18"/>
              </w:rPr>
            </w:pPr>
            <w:r w:rsidRPr="00EF319B">
              <w:rPr>
                <w:rFonts w:ascii="Times New Roman" w:eastAsia="Calibri" w:hAnsi="Times New Roman" w:cs="Times New Roman"/>
                <w:sz w:val="18"/>
                <w:szCs w:val="18"/>
              </w:rPr>
              <w:t>38.472</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61F187" w14:textId="27FBEC9C"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23.077</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7BD177"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0.79312</w:t>
            </w:r>
          </w:p>
        </w:tc>
        <w:tc>
          <w:tcPr>
            <w:tcW w:w="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1F7ACD"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21.882</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B6E9A2" w14:textId="77777777" w:rsidR="00E16B74" w:rsidRPr="00EF319B" w:rsidRDefault="00E16B74" w:rsidP="00E16B74">
            <w:pPr>
              <w:jc w:val="center"/>
              <w:rPr>
                <w:rFonts w:ascii="Times New Roman" w:hAnsi="Times New Roman" w:cs="Times New Roman"/>
                <w:sz w:val="18"/>
                <w:szCs w:val="18"/>
              </w:rPr>
            </w:pPr>
            <w:r w:rsidRPr="00EF319B">
              <w:rPr>
                <w:rFonts w:ascii="Times New Roman" w:eastAsia="Calibri" w:hAnsi="Times New Roman" w:cs="Times New Roman"/>
                <w:sz w:val="18"/>
                <w:szCs w:val="18"/>
              </w:rPr>
              <w:t>0.4169</w:t>
            </w:r>
          </w:p>
        </w:tc>
      </w:tr>
    </w:tbl>
    <w:p w14:paraId="3C57164F" w14:textId="77777777" w:rsidR="00957396" w:rsidRPr="00EF319B" w:rsidRDefault="00957396" w:rsidP="0022023A">
      <w:pPr>
        <w:jc w:val="both"/>
        <w:rPr>
          <w:rFonts w:ascii="Times New Roman" w:hAnsi="Times New Roman" w:cs="Times New Roman"/>
        </w:rPr>
      </w:pPr>
    </w:p>
    <w:p w14:paraId="04819F07" w14:textId="13F2BD5A" w:rsidR="0022023A" w:rsidRPr="00EF319B" w:rsidRDefault="0022023A" w:rsidP="0022023A">
      <w:pPr>
        <w:jc w:val="both"/>
        <w:rPr>
          <w:rFonts w:ascii="Times New Roman" w:eastAsia="Yu Gothic Light" w:hAnsi="Times New Roman" w:cs="Times New Roman"/>
          <w:b/>
          <w:kern w:val="0"/>
          <w:sz w:val="20"/>
          <w:szCs w:val="20"/>
          <w14:ligatures w14:val="none"/>
        </w:rPr>
      </w:pPr>
      <w:r w:rsidRPr="00EF319B">
        <w:rPr>
          <w:rFonts w:ascii="Times New Roman" w:eastAsia="Yu Gothic Light" w:hAnsi="Times New Roman" w:cs="Times New Roman"/>
          <w:b/>
          <w:kern w:val="0"/>
          <w:sz w:val="20"/>
          <w:szCs w:val="20"/>
          <w14:ligatures w14:val="none"/>
        </w:rPr>
        <w:t>2D partial dependence plots</w:t>
      </w:r>
    </w:p>
    <w:p w14:paraId="7BBE8D81" w14:textId="413C0261" w:rsidR="0022023A" w:rsidRPr="00EF319B" w:rsidRDefault="0022023A" w:rsidP="0022023A">
      <w:pPr>
        <w:spacing w:line="360" w:lineRule="auto"/>
        <w:jc w:val="both"/>
        <w:rPr>
          <w:rFonts w:ascii="Times New Roman" w:eastAsia="Yu Gothic Light" w:hAnsi="Times New Roman" w:cs="Times New Roman"/>
          <w:bCs/>
          <w:kern w:val="0"/>
          <w:sz w:val="20"/>
          <w:szCs w:val="20"/>
          <w14:ligatures w14:val="none"/>
        </w:rPr>
      </w:pPr>
      <w:r w:rsidRPr="00EF319B">
        <w:rPr>
          <w:rFonts w:ascii="Times New Roman" w:eastAsia="Yu Gothic Light" w:hAnsi="Times New Roman" w:cs="Times New Roman"/>
          <w:bCs/>
          <w:kern w:val="0"/>
          <w:sz w:val="20"/>
          <w:szCs w:val="20"/>
          <w14:ligatures w14:val="none"/>
        </w:rPr>
        <w:t xml:space="preserve">Machine Learning Models applied </w:t>
      </w:r>
      <w:r w:rsidR="004B6E0D" w:rsidRPr="00EF319B">
        <w:rPr>
          <w:rFonts w:ascii="Times New Roman" w:eastAsia="Yu Gothic Light" w:hAnsi="Times New Roman" w:cs="Times New Roman"/>
          <w:bCs/>
          <w:kern w:val="0"/>
          <w:sz w:val="20"/>
          <w:szCs w:val="20"/>
          <w14:ligatures w14:val="none"/>
        </w:rPr>
        <w:t>to</w:t>
      </w:r>
      <w:r w:rsidRPr="00EF319B">
        <w:rPr>
          <w:rFonts w:ascii="Times New Roman" w:eastAsia="Yu Gothic Light" w:hAnsi="Times New Roman" w:cs="Times New Roman"/>
          <w:bCs/>
          <w:kern w:val="0"/>
          <w:sz w:val="20"/>
          <w:szCs w:val="20"/>
          <w14:ligatures w14:val="none"/>
        </w:rPr>
        <w:t xml:space="preserve"> the tabular dataset can be explained using Partial dependence plots (PDPs). They provide information </w:t>
      </w:r>
      <w:r w:rsidR="004B6E0D" w:rsidRPr="00EF319B">
        <w:rPr>
          <w:rFonts w:ascii="Times New Roman" w:eastAsia="Yu Gothic Light" w:hAnsi="Times New Roman" w:cs="Times New Roman"/>
          <w:bCs/>
          <w:kern w:val="0"/>
          <w:sz w:val="20"/>
          <w:szCs w:val="20"/>
          <w14:ligatures w14:val="none"/>
        </w:rPr>
        <w:t>on</w:t>
      </w:r>
      <w:r w:rsidRPr="00EF319B">
        <w:rPr>
          <w:rFonts w:ascii="Times New Roman" w:eastAsia="Yu Gothic Light" w:hAnsi="Times New Roman" w:cs="Times New Roman"/>
          <w:bCs/>
          <w:kern w:val="0"/>
          <w:sz w:val="20"/>
          <w:szCs w:val="20"/>
          <w14:ligatures w14:val="none"/>
        </w:rPr>
        <w:t xml:space="preserve"> the impact of the input feature or features on the prediction of the output feature or features </w:t>
      </w:r>
      <w:r w:rsidRPr="00EF319B">
        <w:rPr>
          <w:rFonts w:ascii="Times New Roman" w:eastAsia="Yu Gothic Light" w:hAnsi="Times New Roman" w:cs="Times New Roman"/>
          <w:bCs/>
          <w:kern w:val="0"/>
          <w:sz w:val="20"/>
          <w:szCs w:val="20"/>
          <w14:ligatures w14:val="none"/>
        </w:rPr>
        <w:fldChar w:fldCharType="begin"/>
      </w:r>
      <w:r w:rsidR="00105FA5" w:rsidRPr="00EF319B">
        <w:rPr>
          <w:rFonts w:ascii="Times New Roman" w:eastAsia="Yu Gothic Light" w:hAnsi="Times New Roman" w:cs="Times New Roman"/>
          <w:bCs/>
          <w:kern w:val="0"/>
          <w:sz w:val="20"/>
          <w:szCs w:val="20"/>
          <w14:ligatures w14:val="none"/>
        </w:rPr>
        <w:instrText xml:space="preserve"> ADDIN ZOTERO_ITEM CSL_CITATION {"citationID":"6kSj1A9m","properties":{"formattedCitation":"[47]","plainCitation":"[47]","noteIndex":0},"citationItems":[{"id":864,"uris":["http://zotero.org/users/14115032/items/WJ2RPEYZ"],"itemData":{"id":864,"type":"article-journal","container-title":"IEEE Transactions on Visualization and Computer Graphics","DOI":"10.1109/TVCG.2025.3545025","ISSN":"1077-2626, 1941-0506, 2160-9306","issue":"10","journalAbbreviation":"IEEE Trans. Visual. Comput. Graphics","license":"https://ieeexplore.ieee.org/Xplorehelp/downloads/license-information/IEEE.html","page":"7377-7390","source":"DOI.org (Crossref)","title":"PDPilot: Exploring Partial Dependence Plots Through Ranking, Filtering, and Clustering","title-short":"PDPilot","volume":"31","author":[{"family":"Kerrigan","given":"Daniel"},{"family":"Barr","given":"Brian"},{"family":"Bertini","given":"Enrico"}],"issued":{"date-parts":[["2025",10]]}}}],"schema":"https://github.com/citation-style-language/schema/raw/master/csl-citation.json"} </w:instrText>
      </w:r>
      <w:r w:rsidRPr="00EF319B">
        <w:rPr>
          <w:rFonts w:ascii="Times New Roman" w:eastAsia="Yu Gothic Light" w:hAnsi="Times New Roman" w:cs="Times New Roman"/>
          <w:bCs/>
          <w:kern w:val="0"/>
          <w:sz w:val="20"/>
          <w:szCs w:val="20"/>
          <w14:ligatures w14:val="none"/>
        </w:rPr>
        <w:fldChar w:fldCharType="separate"/>
      </w:r>
      <w:r w:rsidR="00105FA5" w:rsidRPr="00EF319B">
        <w:rPr>
          <w:rFonts w:ascii="Times New Roman" w:hAnsi="Times New Roman" w:cs="Times New Roman"/>
          <w:sz w:val="20"/>
        </w:rPr>
        <w:t>[47]</w:t>
      </w:r>
      <w:r w:rsidRPr="00EF319B">
        <w:rPr>
          <w:rFonts w:ascii="Times New Roman" w:eastAsia="Yu Gothic Light" w:hAnsi="Times New Roman" w:cs="Times New Roman"/>
          <w:bCs/>
          <w:kern w:val="0"/>
          <w:sz w:val="20"/>
          <w:szCs w:val="20"/>
          <w14:ligatures w14:val="none"/>
        </w:rPr>
        <w:fldChar w:fldCharType="end"/>
      </w:r>
      <w:r w:rsidRPr="00EF319B">
        <w:rPr>
          <w:rFonts w:ascii="Times New Roman" w:eastAsia="Yu Gothic Light" w:hAnsi="Times New Roman" w:cs="Times New Roman"/>
          <w:bCs/>
          <w:kern w:val="0"/>
          <w:sz w:val="20"/>
          <w:szCs w:val="20"/>
          <w14:ligatures w14:val="none"/>
        </w:rPr>
        <w:t xml:space="preserve">.   </w:t>
      </w:r>
    </w:p>
    <w:p w14:paraId="58479662" w14:textId="050746B7" w:rsidR="0022023A" w:rsidRPr="00EF319B" w:rsidRDefault="0022023A" w:rsidP="0022023A">
      <w:pPr>
        <w:spacing w:line="360" w:lineRule="auto"/>
        <w:jc w:val="both"/>
        <w:rPr>
          <w:rFonts w:ascii="Times New Roman" w:eastAsia="Yu Gothic Light" w:hAnsi="Times New Roman" w:cs="Times New Roman"/>
          <w:bCs/>
          <w:kern w:val="0"/>
          <w:sz w:val="20"/>
          <w:szCs w:val="20"/>
          <w14:ligatures w14:val="none"/>
        </w:rPr>
      </w:pPr>
      <w:r w:rsidRPr="00EF319B">
        <w:rPr>
          <w:rFonts w:ascii="Times New Roman" w:eastAsia="Yu Gothic Light" w:hAnsi="Times New Roman" w:cs="Times New Roman"/>
          <w:bCs/>
          <w:kern w:val="0"/>
          <w:sz w:val="20"/>
          <w:szCs w:val="20"/>
          <w14:ligatures w14:val="none"/>
        </w:rPr>
        <w:t>In this regard</w:t>
      </w:r>
      <w:r w:rsidR="00620822" w:rsidRPr="00EF319B">
        <w:rPr>
          <w:rFonts w:ascii="Times New Roman" w:eastAsia="Yu Gothic Light" w:hAnsi="Times New Roman" w:cs="Times New Roman"/>
          <w:bCs/>
          <w:kern w:val="0"/>
          <w:sz w:val="20"/>
          <w:szCs w:val="20"/>
          <w14:ligatures w14:val="none"/>
        </w:rPr>
        <w:t xml:space="preserve">, 2D- PDPS of the input features (BET surface area, dosage of anionic dyes and proteins, equilibrium concentration, initial concentration, filtration material, pH of the solution, solution volume and time) are developed using the </w:t>
      </w:r>
      <w:r w:rsidRPr="00EF319B">
        <w:rPr>
          <w:rFonts w:ascii="Times New Roman" w:eastAsia="Yu Gothic Light" w:hAnsi="Times New Roman" w:cs="Times New Roman"/>
          <w:bCs/>
          <w:kern w:val="0"/>
          <w:sz w:val="20"/>
          <w:szCs w:val="20"/>
          <w14:ligatures w14:val="none"/>
        </w:rPr>
        <w:t xml:space="preserve">ELT model against the output features (Kinetics Qe and </w:t>
      </w:r>
      <w:r w:rsidR="00620822" w:rsidRPr="00EF319B">
        <w:rPr>
          <w:rFonts w:ascii="Times New Roman" w:eastAsia="Yu Gothic Light" w:hAnsi="Times New Roman" w:cs="Times New Roman"/>
          <w:bCs/>
          <w:kern w:val="0"/>
          <w:sz w:val="20"/>
          <w:szCs w:val="20"/>
          <w14:ligatures w14:val="none"/>
        </w:rPr>
        <w:t>a</w:t>
      </w:r>
      <w:r w:rsidRPr="00EF319B">
        <w:rPr>
          <w:rFonts w:ascii="Times New Roman" w:eastAsia="Yu Gothic Light" w:hAnsi="Times New Roman" w:cs="Times New Roman"/>
          <w:bCs/>
          <w:kern w:val="0"/>
          <w:sz w:val="20"/>
          <w:szCs w:val="20"/>
          <w14:ligatures w14:val="none"/>
        </w:rPr>
        <w:t>dsorption Capacity)</w:t>
      </w:r>
      <w:r w:rsidR="00F96E2F" w:rsidRPr="00EF319B">
        <w:rPr>
          <w:rFonts w:ascii="Times New Roman" w:eastAsia="Yu Gothic Light" w:hAnsi="Times New Roman" w:cs="Times New Roman"/>
          <w:bCs/>
          <w:kern w:val="0"/>
          <w:sz w:val="20"/>
          <w:szCs w:val="20"/>
          <w14:ligatures w14:val="none"/>
        </w:rPr>
        <w:t xml:space="preserve"> as shown in </w:t>
      </w:r>
      <w:r w:rsidR="00F96E2F" w:rsidRPr="008A469C">
        <w:rPr>
          <w:rFonts w:ascii="Times New Roman" w:eastAsia="Yu Gothic Light" w:hAnsi="Times New Roman" w:cs="Times New Roman"/>
          <w:bCs/>
          <w:kern w:val="0"/>
          <w:sz w:val="20"/>
          <w:szCs w:val="20"/>
          <w14:ligatures w14:val="none"/>
        </w:rPr>
        <w:t>Figure 6</w:t>
      </w:r>
      <w:r w:rsidRPr="008A469C">
        <w:rPr>
          <w:rFonts w:ascii="Times New Roman" w:eastAsia="Yu Gothic Light" w:hAnsi="Times New Roman" w:cs="Times New Roman"/>
          <w:bCs/>
          <w:kern w:val="0"/>
          <w:sz w:val="20"/>
          <w:szCs w:val="20"/>
          <w14:ligatures w14:val="none"/>
        </w:rPr>
        <w:t xml:space="preserve">. A decreasing trend is observed in both </w:t>
      </w:r>
      <w:r w:rsidR="00620822" w:rsidRPr="008A469C">
        <w:rPr>
          <w:rFonts w:ascii="Times New Roman" w:eastAsia="Yu Gothic Light" w:hAnsi="Times New Roman" w:cs="Times New Roman"/>
          <w:bCs/>
          <w:kern w:val="0"/>
          <w:sz w:val="20"/>
          <w:szCs w:val="20"/>
          <w14:ligatures w14:val="none"/>
        </w:rPr>
        <w:t>a</w:t>
      </w:r>
      <w:r w:rsidRPr="008A469C">
        <w:rPr>
          <w:rFonts w:ascii="Times New Roman" w:eastAsia="Yu Gothic Light" w:hAnsi="Times New Roman" w:cs="Times New Roman"/>
          <w:bCs/>
          <w:kern w:val="0"/>
          <w:sz w:val="20"/>
          <w:szCs w:val="20"/>
          <w14:ligatures w14:val="none"/>
        </w:rPr>
        <w:t>dsorption Capacity and Kinetics Q</w:t>
      </w:r>
      <w:r w:rsidRPr="008A469C">
        <w:rPr>
          <w:rFonts w:ascii="Times New Roman" w:eastAsia="Yu Gothic Light" w:hAnsi="Times New Roman" w:cs="Times New Roman"/>
          <w:bCs/>
          <w:kern w:val="0"/>
          <w:sz w:val="20"/>
          <w:szCs w:val="20"/>
          <w:vertAlign w:val="subscript"/>
          <w14:ligatures w14:val="none"/>
        </w:rPr>
        <w:t>e</w:t>
      </w:r>
      <w:r w:rsidRPr="008A469C">
        <w:rPr>
          <w:rFonts w:ascii="Times New Roman" w:eastAsia="Yu Gothic Light" w:hAnsi="Times New Roman" w:cs="Times New Roman"/>
          <w:bCs/>
          <w:kern w:val="0"/>
          <w:sz w:val="20"/>
          <w:szCs w:val="20"/>
          <w14:ligatures w14:val="none"/>
        </w:rPr>
        <w:t xml:space="preserve"> with the increase in the BET </w:t>
      </w:r>
      <w:r w:rsidR="00620822" w:rsidRPr="008A469C">
        <w:rPr>
          <w:rFonts w:ascii="Times New Roman" w:eastAsia="Yu Gothic Light" w:hAnsi="Times New Roman" w:cs="Times New Roman"/>
          <w:bCs/>
          <w:kern w:val="0"/>
          <w:sz w:val="20"/>
          <w:szCs w:val="20"/>
          <w14:ligatures w14:val="none"/>
        </w:rPr>
        <w:t>s</w:t>
      </w:r>
      <w:r w:rsidRPr="008A469C">
        <w:rPr>
          <w:rFonts w:ascii="Times New Roman" w:eastAsia="Yu Gothic Light" w:hAnsi="Times New Roman" w:cs="Times New Roman"/>
          <w:bCs/>
          <w:kern w:val="0"/>
          <w:sz w:val="20"/>
          <w:szCs w:val="20"/>
          <w14:ligatures w14:val="none"/>
        </w:rPr>
        <w:t>urface area</w:t>
      </w:r>
      <w:r w:rsidRPr="00EF319B">
        <w:rPr>
          <w:rFonts w:ascii="Times New Roman" w:eastAsia="Yu Gothic Light" w:hAnsi="Times New Roman" w:cs="Times New Roman"/>
          <w:bCs/>
          <w:kern w:val="0"/>
          <w:sz w:val="20"/>
          <w:szCs w:val="20"/>
          <w14:ligatures w14:val="none"/>
        </w:rPr>
        <w:t xml:space="preserve"> to about 600 m</w:t>
      </w:r>
      <w:r w:rsidRPr="00EF319B">
        <w:rPr>
          <w:rFonts w:ascii="Times New Roman" w:eastAsia="Yu Gothic Light" w:hAnsi="Times New Roman" w:cs="Times New Roman"/>
          <w:bCs/>
          <w:kern w:val="0"/>
          <w:sz w:val="20"/>
          <w:szCs w:val="20"/>
          <w:vertAlign w:val="superscript"/>
          <w14:ligatures w14:val="none"/>
        </w:rPr>
        <w:t>2</w:t>
      </w:r>
      <w:r w:rsidRPr="00EF319B">
        <w:rPr>
          <w:rFonts w:ascii="Times New Roman" w:eastAsia="Yu Gothic Light" w:hAnsi="Times New Roman" w:cs="Times New Roman"/>
          <w:bCs/>
          <w:kern w:val="0"/>
          <w:sz w:val="20"/>
          <w:szCs w:val="20"/>
          <w14:ligatures w14:val="none"/>
        </w:rPr>
        <w:t xml:space="preserve">/g after </w:t>
      </w:r>
      <w:r w:rsidR="00620822" w:rsidRPr="00EF319B">
        <w:rPr>
          <w:rFonts w:ascii="Times New Roman" w:eastAsia="Yu Gothic Light" w:hAnsi="Times New Roman" w:cs="Times New Roman"/>
          <w:bCs/>
          <w:kern w:val="0"/>
          <w:sz w:val="20"/>
          <w:szCs w:val="20"/>
          <w14:ligatures w14:val="none"/>
        </w:rPr>
        <w:t>which</w:t>
      </w:r>
      <w:r w:rsidRPr="00EF319B">
        <w:rPr>
          <w:rFonts w:ascii="Times New Roman" w:eastAsia="Yu Gothic Light" w:hAnsi="Times New Roman" w:cs="Times New Roman"/>
          <w:bCs/>
          <w:kern w:val="0"/>
          <w:sz w:val="20"/>
          <w:szCs w:val="20"/>
          <w14:ligatures w14:val="none"/>
        </w:rPr>
        <w:t xml:space="preserve"> it starts to increase. Adsorption </w:t>
      </w:r>
      <w:r w:rsidR="00620822" w:rsidRPr="00EF319B">
        <w:rPr>
          <w:rFonts w:ascii="Times New Roman" w:eastAsia="Yu Gothic Light" w:hAnsi="Times New Roman" w:cs="Times New Roman"/>
          <w:bCs/>
          <w:kern w:val="0"/>
          <w:sz w:val="20"/>
          <w:szCs w:val="20"/>
          <w14:ligatures w14:val="none"/>
        </w:rPr>
        <w:t>c</w:t>
      </w:r>
      <w:r w:rsidRPr="00EF319B">
        <w:rPr>
          <w:rFonts w:ascii="Times New Roman" w:eastAsia="Yu Gothic Light" w:hAnsi="Times New Roman" w:cs="Times New Roman"/>
          <w:bCs/>
          <w:kern w:val="0"/>
          <w:sz w:val="20"/>
          <w:szCs w:val="20"/>
          <w14:ligatures w14:val="none"/>
        </w:rPr>
        <w:t xml:space="preserve">apacity of the adsorbent and </w:t>
      </w:r>
      <w:r w:rsidR="00620822" w:rsidRPr="00EF319B">
        <w:rPr>
          <w:rFonts w:ascii="Times New Roman" w:eastAsia="Yu Gothic Light" w:hAnsi="Times New Roman" w:cs="Times New Roman"/>
          <w:bCs/>
          <w:kern w:val="0"/>
          <w:sz w:val="20"/>
          <w:szCs w:val="20"/>
          <w14:ligatures w14:val="none"/>
        </w:rPr>
        <w:t>k</w:t>
      </w:r>
      <w:r w:rsidRPr="00EF319B">
        <w:rPr>
          <w:rFonts w:ascii="Times New Roman" w:eastAsia="Yu Gothic Light" w:hAnsi="Times New Roman" w:cs="Times New Roman"/>
          <w:bCs/>
          <w:kern w:val="0"/>
          <w:sz w:val="20"/>
          <w:szCs w:val="20"/>
          <w14:ligatures w14:val="none"/>
        </w:rPr>
        <w:t>inetics Q</w:t>
      </w:r>
      <w:r w:rsidRPr="00EF319B">
        <w:rPr>
          <w:rFonts w:ascii="Times New Roman" w:eastAsia="Yu Gothic Light" w:hAnsi="Times New Roman" w:cs="Times New Roman"/>
          <w:bCs/>
          <w:kern w:val="0"/>
          <w:sz w:val="20"/>
          <w:szCs w:val="20"/>
          <w:vertAlign w:val="subscript"/>
          <w14:ligatures w14:val="none"/>
        </w:rPr>
        <w:t>e</w:t>
      </w:r>
      <w:r w:rsidRPr="00EF319B">
        <w:rPr>
          <w:rFonts w:ascii="Times New Roman" w:eastAsia="Yu Gothic Light" w:hAnsi="Times New Roman" w:cs="Times New Roman"/>
          <w:bCs/>
          <w:kern w:val="0"/>
          <w:sz w:val="20"/>
          <w:szCs w:val="20"/>
          <w14:ligatures w14:val="none"/>
        </w:rPr>
        <w:t xml:space="preserve"> of </w:t>
      </w:r>
      <w:r w:rsidR="00620822" w:rsidRPr="00EF319B">
        <w:rPr>
          <w:rFonts w:ascii="Times New Roman" w:eastAsia="Yu Gothic Light" w:hAnsi="Times New Roman" w:cs="Times New Roman"/>
          <w:bCs/>
          <w:kern w:val="0"/>
          <w:sz w:val="20"/>
          <w:szCs w:val="20"/>
          <w14:ligatures w14:val="none"/>
        </w:rPr>
        <w:t>m</w:t>
      </w:r>
      <w:r w:rsidRPr="00EF319B">
        <w:rPr>
          <w:rFonts w:ascii="Times New Roman" w:eastAsia="Yu Gothic Light" w:hAnsi="Times New Roman" w:cs="Times New Roman"/>
          <w:bCs/>
          <w:kern w:val="0"/>
          <w:sz w:val="20"/>
          <w:szCs w:val="20"/>
          <w14:ligatures w14:val="none"/>
        </w:rPr>
        <w:t xml:space="preserve">aterials are not solely dependent on the BET surface area, but </w:t>
      </w:r>
      <w:r w:rsidR="00FE63E1" w:rsidRPr="00EF319B">
        <w:rPr>
          <w:rFonts w:ascii="Times New Roman" w:eastAsia="Yu Gothic Light" w:hAnsi="Times New Roman" w:cs="Times New Roman"/>
          <w:bCs/>
          <w:kern w:val="0"/>
          <w:sz w:val="20"/>
          <w:szCs w:val="20"/>
          <w14:ligatures w14:val="none"/>
        </w:rPr>
        <w:t>also depend on the surface chemistry,</w:t>
      </w:r>
      <w:r w:rsidRPr="00EF319B">
        <w:rPr>
          <w:rFonts w:ascii="Times New Roman" w:eastAsia="Yu Gothic Light" w:hAnsi="Times New Roman" w:cs="Times New Roman"/>
          <w:bCs/>
          <w:kern w:val="0"/>
          <w:sz w:val="20"/>
          <w:szCs w:val="20"/>
          <w14:ligatures w14:val="none"/>
        </w:rPr>
        <w:t xml:space="preserve"> molecule size of the anionic dyes and proteins and surface morphology of the adsorbent material.  the U shape plot for this well describes the above phenomenon </w:t>
      </w:r>
      <w:r w:rsidRPr="00EF319B">
        <w:rPr>
          <w:rFonts w:ascii="Times New Roman" w:eastAsia="Yu Gothic Light" w:hAnsi="Times New Roman" w:cs="Times New Roman"/>
          <w:bCs/>
          <w:kern w:val="0"/>
          <w:sz w:val="20"/>
          <w:szCs w:val="20"/>
          <w14:ligatures w14:val="none"/>
        </w:rPr>
        <w:fldChar w:fldCharType="begin"/>
      </w:r>
      <w:r w:rsidR="00105FA5" w:rsidRPr="00EF319B">
        <w:rPr>
          <w:rFonts w:ascii="Times New Roman" w:eastAsia="Yu Gothic Light" w:hAnsi="Times New Roman" w:cs="Times New Roman"/>
          <w:bCs/>
          <w:kern w:val="0"/>
          <w:sz w:val="20"/>
          <w:szCs w:val="20"/>
          <w14:ligatures w14:val="none"/>
        </w:rPr>
        <w:instrText xml:space="preserve"> ADDIN ZOTERO_ITEM CSL_CITATION {"citationID":"jOB3z9Gi","properties":{"formattedCitation":"[48]","plainCitation":"[48]","noteIndex":0},"citationItems":[{"id":865,"uris":["http://zotero.org/users/14115032/items/KK2ZRGDU"],"itemData":{"id":865,"type":"article-journal","abstract":"Abstract\n            \n              The physical and chemical structure of activated carbon (AC) varies with the carbonization temperature, activation process and time. The texture and toughness of the starting raw material also determine the morphology of AC produced. The Brunauer-Emmet-Teller surface area (S\n              BET\n              ) is small for AC produced at low temperatures but increases from 500 to 700 °C, and generally drops in activated carbons synthesized &gt; 700 °C. Mild chemical activators and low activator concentrations tend to generate AC with high S\n              BET\n              compared to strong and concentrated oxidizing chemicals, acids and bases. Activated carbon from soft starting materials such as cereals and mushrooms have larger S\n              BET\n              approximately twice that of tough materials such as stem berks, shells and bones. The residual functional groups observed in AC vary widely with the starting material and tend to reduce under extreme carbonization temperatures and the use of highly concentrated chemical activators. Further, the adsorption capacity of AC shows dependency on the size of the adsorbate where large organic molecules such as methylene blue are highly adsorbed compared to relatively small adsorbates such as phenol and metal ions. Adsorption also varies with adsorbate concentration, temperature and other matrix parameters.","container-title":"BMC Chemistry","DOI":"10.1186/s13065-023-01091-1","ISSN":"2661-801X","issue":"1","journalAbbreviation":"BMC Chemistry","language":"en","page":"162","source":"DOI.org (Crossref)","title":"Impact of carbonization conditions and adsorbate nature on the performance of activated carbon in water treatment","volume":"17","author":[{"family":"Karume","given":"Ibrahim"},{"family":"Bbumba","given":"Simon"},{"family":"Tewolde","given":"Simon"},{"family":"Mukasa","given":"Is’harq Z. T."},{"family":"Ntale","given":"Muhammad"}],"issued":{"date-parts":[["2023",11,22]]}}}],"schema":"https://github.com/citation-style-language/schema/raw/master/csl-citation.json"} </w:instrText>
      </w:r>
      <w:r w:rsidRPr="00EF319B">
        <w:rPr>
          <w:rFonts w:ascii="Times New Roman" w:eastAsia="Yu Gothic Light" w:hAnsi="Times New Roman" w:cs="Times New Roman"/>
          <w:bCs/>
          <w:kern w:val="0"/>
          <w:sz w:val="20"/>
          <w:szCs w:val="20"/>
          <w14:ligatures w14:val="none"/>
        </w:rPr>
        <w:fldChar w:fldCharType="separate"/>
      </w:r>
      <w:r w:rsidR="00105FA5" w:rsidRPr="00EF319B">
        <w:rPr>
          <w:rFonts w:ascii="Times New Roman" w:hAnsi="Times New Roman" w:cs="Times New Roman"/>
          <w:sz w:val="20"/>
        </w:rPr>
        <w:t>[48]</w:t>
      </w:r>
      <w:r w:rsidRPr="00EF319B">
        <w:rPr>
          <w:rFonts w:ascii="Times New Roman" w:eastAsia="Yu Gothic Light" w:hAnsi="Times New Roman" w:cs="Times New Roman"/>
          <w:bCs/>
          <w:kern w:val="0"/>
          <w:sz w:val="20"/>
          <w:szCs w:val="20"/>
          <w14:ligatures w14:val="none"/>
        </w:rPr>
        <w:fldChar w:fldCharType="end"/>
      </w:r>
      <w:r w:rsidRPr="00EF319B">
        <w:rPr>
          <w:rFonts w:ascii="Times New Roman" w:eastAsia="Yu Gothic Light" w:hAnsi="Times New Roman" w:cs="Times New Roman"/>
          <w:bCs/>
          <w:kern w:val="0"/>
          <w:sz w:val="20"/>
          <w:szCs w:val="20"/>
          <w14:ligatures w14:val="none"/>
        </w:rPr>
        <w:t>. Adsorption capacity shows an oscillating trend with the increase of the dosage of the pollutants. Initially</w:t>
      </w:r>
      <w:r w:rsidR="0043118B" w:rsidRPr="00EF319B">
        <w:rPr>
          <w:rFonts w:ascii="Times New Roman" w:eastAsia="Yu Gothic Light" w:hAnsi="Times New Roman" w:cs="Times New Roman"/>
          <w:bCs/>
          <w:kern w:val="0"/>
          <w:sz w:val="20"/>
          <w:szCs w:val="20"/>
          <w14:ligatures w14:val="none"/>
        </w:rPr>
        <w:t xml:space="preserve">, at </w:t>
      </w:r>
      <w:r w:rsidR="00FB347A" w:rsidRPr="00EF319B">
        <w:rPr>
          <w:rFonts w:ascii="Times New Roman" w:eastAsia="Yu Gothic Light" w:hAnsi="Times New Roman" w:cs="Times New Roman"/>
          <w:bCs/>
          <w:kern w:val="0"/>
          <w:sz w:val="20"/>
          <w:szCs w:val="20"/>
          <w14:ligatures w14:val="none"/>
        </w:rPr>
        <w:t>low pollutant dosage, there are abundant adsorption sites, but as the dosage increases, these sites become</w:t>
      </w:r>
      <w:r w:rsidRPr="00EF319B">
        <w:rPr>
          <w:rFonts w:ascii="Times New Roman" w:eastAsia="Yu Gothic Light" w:hAnsi="Times New Roman" w:cs="Times New Roman"/>
          <w:bCs/>
          <w:kern w:val="0"/>
          <w:sz w:val="20"/>
          <w:szCs w:val="20"/>
          <w14:ligatures w14:val="none"/>
        </w:rPr>
        <w:t xml:space="preserve"> saturated with pollutants. </w:t>
      </w:r>
      <w:r w:rsidR="00FB347A" w:rsidRPr="00EF319B">
        <w:rPr>
          <w:rFonts w:ascii="Times New Roman" w:eastAsia="Yu Gothic Light" w:hAnsi="Times New Roman" w:cs="Times New Roman"/>
          <w:bCs/>
          <w:kern w:val="0"/>
          <w:sz w:val="20"/>
          <w:szCs w:val="20"/>
          <w14:ligatures w14:val="none"/>
        </w:rPr>
        <w:t xml:space="preserve">The availability of the multilayer adsorbent enhances adsorption capacity at higher pollutant dosages, and similarly, Qe Kinetics is </w:t>
      </w:r>
      <w:r w:rsidR="0043118B" w:rsidRPr="00EF319B">
        <w:rPr>
          <w:rFonts w:ascii="Times New Roman" w:eastAsia="Yu Gothic Light" w:hAnsi="Times New Roman" w:cs="Times New Roman"/>
          <w:bCs/>
          <w:kern w:val="0"/>
          <w:sz w:val="20"/>
          <w:szCs w:val="20"/>
          <w14:ligatures w14:val="none"/>
        </w:rPr>
        <w:t>affected in</w:t>
      </w:r>
      <w:r w:rsidRPr="00EF319B">
        <w:rPr>
          <w:rFonts w:ascii="Times New Roman" w:eastAsia="Yu Gothic Light" w:hAnsi="Times New Roman" w:cs="Times New Roman"/>
          <w:bCs/>
          <w:kern w:val="0"/>
          <w:sz w:val="20"/>
          <w:szCs w:val="20"/>
          <w14:ligatures w14:val="none"/>
        </w:rPr>
        <w:t xml:space="preserve"> the same way </w:t>
      </w:r>
      <w:r w:rsidRPr="00EF319B">
        <w:rPr>
          <w:rFonts w:ascii="Times New Roman" w:eastAsia="Yu Gothic Light" w:hAnsi="Times New Roman" w:cs="Times New Roman"/>
          <w:bCs/>
          <w:kern w:val="0"/>
          <w:sz w:val="20"/>
          <w:szCs w:val="20"/>
          <w14:ligatures w14:val="none"/>
        </w:rPr>
        <w:fldChar w:fldCharType="begin"/>
      </w:r>
      <w:r w:rsidR="00105FA5" w:rsidRPr="00EF319B">
        <w:rPr>
          <w:rFonts w:ascii="Times New Roman" w:eastAsia="Yu Gothic Light" w:hAnsi="Times New Roman" w:cs="Times New Roman"/>
          <w:bCs/>
          <w:kern w:val="0"/>
          <w:sz w:val="20"/>
          <w:szCs w:val="20"/>
          <w14:ligatures w14:val="none"/>
        </w:rPr>
        <w:instrText xml:space="preserve"> ADDIN ZOTERO_ITEM CSL_CITATION {"citationID":"k23Wvf2s","properties":{"formattedCitation":"[49]","plainCitation":"[49]","noteIndex":0},"citationItems":[{"id":866,"uris":["http://zotero.org/users/14115032/items/8X6V669W"],"itemData":{"id":866,"type":"article-journal","abstract":"Algerian kaolinite, sourced from Djebel Debbagh nuance 3 (DD3), was used as a low-cost adsorbent to remove methylene blue (MB) dye from water. Its adsorption capacity was enhanced through sulfuric acid treatment (treated-DD3). In response to the urgent demand for clean water, various technologies have been developed to address dye removal from wastewater. This study, specifically delving into the treatment of textile wastewater, examined the efficacy of treated-DD3 through adsorption processes. The acid treatment increased the surface area and pore volume of DD3. X-ray diffraction showed crystalline phases in both, with treated-DD3 having higher crystallinity. Fourier-transform infrared spectroscopy found no significant differences post-acid treatment. Scanning electron microscopy revealed DD3 had large, stacked particles with low surface area, while treated-DD3 had increased porosity and a smoother surface. Various parameters affecting MB adsorption were studied. The Langmuir and Freundlich models were used for isotherm parameters. Treated-DD3 exhibited a higher MB adsorption capacity (64.58 mg/g according to the Langmuir model) than DD3 (44.48 mg/g). Thermodynamic analysis indicated spontaneous and endothermic MB adsorption onto both DD3-BM and treated-DD3-BM systems under different pH conditions. Treated-DD3 effectively reduced chemical oxygen demand (from 304.056 mg/L to 34.44 mg/L) and biological oxygen demand (from 80 mg/L to 20 mg/L) in real textile wastewater. The adsorbent exhibited rapid removal and decolorization, surpassing 93% within the first 7 min of the experiment. The Gaussian process regression and particle swarm optimization (GPR–PSO) predicted MB adsorption capacity effectively (R = 0.9989, R2 = 0.9978, adj-R2 = 0.9978, RMSE = 1.1390, and MAE = 0.3926).","container-title":"Water","DOI":"10.3390/w16020243","ISSN":"2073-4441","issue":"2","journalAbbreviation":"Water","language":"en","page":"243","source":"DOI.org (Crossref)","title":"Enhanced Adsorption Capacity of Methylene Blue Dye onto Kaolin through Acid Treatment: Batch Adsorption and Machine Learning Studies","title-short":"Enhanced Adsorption Capacity of Methylene Blue Dye onto Kaolin through Acid Treatment","volume":"16","author":[{"family":"Hamri","given":"Nadia"},{"family":"Imessaoudene","given":"Ali"},{"family":"Hadadi","given":"Amina"},{"family":"Cheikh","given":"Sabrina"},{"family":"Boukerroui","given":"Abdelhamid"},{"family":"Bollinger","given":"Jean-Claude"},{"family":"Amrane","given":"Abdeltif"},{"family":"Tahraoui","given":"Hichem"},{"family":"Tran","given":"Hai Nguyen"},{"family":"Ezzat","given":"Abdelrahman O."},{"family":"Al-Lohedan","given":"Hamad A."},{"family":"Mouni","given":"Lotfi"}],"issued":{"date-parts":[["2024",1,10]]}}}],"schema":"https://github.com/citation-style-language/schema/raw/master/csl-citation.json"} </w:instrText>
      </w:r>
      <w:r w:rsidRPr="00EF319B">
        <w:rPr>
          <w:rFonts w:ascii="Times New Roman" w:eastAsia="Yu Gothic Light" w:hAnsi="Times New Roman" w:cs="Times New Roman"/>
          <w:bCs/>
          <w:kern w:val="0"/>
          <w:sz w:val="20"/>
          <w:szCs w:val="20"/>
          <w14:ligatures w14:val="none"/>
        </w:rPr>
        <w:fldChar w:fldCharType="separate"/>
      </w:r>
      <w:r w:rsidR="00105FA5" w:rsidRPr="00EF319B">
        <w:rPr>
          <w:rFonts w:ascii="Times New Roman" w:hAnsi="Times New Roman" w:cs="Times New Roman"/>
          <w:sz w:val="20"/>
        </w:rPr>
        <w:t>[49]</w:t>
      </w:r>
      <w:r w:rsidRPr="00EF319B">
        <w:rPr>
          <w:rFonts w:ascii="Times New Roman" w:eastAsia="Yu Gothic Light" w:hAnsi="Times New Roman" w:cs="Times New Roman"/>
          <w:bCs/>
          <w:kern w:val="0"/>
          <w:sz w:val="20"/>
          <w:szCs w:val="20"/>
          <w14:ligatures w14:val="none"/>
        </w:rPr>
        <w:fldChar w:fldCharType="end"/>
      </w:r>
      <w:r w:rsidRPr="00EF319B">
        <w:rPr>
          <w:rFonts w:ascii="Times New Roman" w:eastAsia="Yu Gothic Light" w:hAnsi="Times New Roman" w:cs="Times New Roman"/>
          <w:bCs/>
          <w:kern w:val="0"/>
          <w:sz w:val="20"/>
          <w:szCs w:val="20"/>
          <w14:ligatures w14:val="none"/>
        </w:rPr>
        <w:t xml:space="preserve">. PDP generated using </w:t>
      </w:r>
      <w:r w:rsidR="0043118B" w:rsidRPr="00EF319B">
        <w:rPr>
          <w:rFonts w:ascii="Times New Roman" w:eastAsia="Yu Gothic Light" w:hAnsi="Times New Roman" w:cs="Times New Roman"/>
          <w:bCs/>
          <w:kern w:val="0"/>
          <w:sz w:val="20"/>
          <w:szCs w:val="20"/>
          <w14:ligatures w14:val="none"/>
        </w:rPr>
        <w:t>the ELT ML model describes the same behaviour</w:t>
      </w:r>
      <w:r w:rsidRPr="00EF319B">
        <w:rPr>
          <w:rFonts w:ascii="Times New Roman" w:eastAsia="Yu Gothic Light" w:hAnsi="Times New Roman" w:cs="Times New Roman"/>
          <w:bCs/>
          <w:kern w:val="0"/>
          <w:sz w:val="20"/>
          <w:szCs w:val="20"/>
          <w14:ligatures w14:val="none"/>
        </w:rPr>
        <w:t xml:space="preserve">.  A non-monotonic trend is observed in the PDP of </w:t>
      </w:r>
      <w:r w:rsidR="0043118B" w:rsidRPr="00EF319B">
        <w:rPr>
          <w:rFonts w:ascii="Times New Roman" w:eastAsia="Yu Gothic Light" w:hAnsi="Times New Roman" w:cs="Times New Roman"/>
          <w:bCs/>
          <w:kern w:val="0"/>
          <w:sz w:val="20"/>
          <w:szCs w:val="20"/>
          <w14:ligatures w14:val="none"/>
        </w:rPr>
        <w:t>the initial concentration against the kinetics</w:t>
      </w:r>
      <w:r w:rsidRPr="00EF319B">
        <w:rPr>
          <w:rFonts w:ascii="Times New Roman" w:eastAsia="Yu Gothic Light" w:hAnsi="Times New Roman" w:cs="Times New Roman"/>
          <w:bCs/>
          <w:kern w:val="0"/>
          <w:sz w:val="20"/>
          <w:szCs w:val="20"/>
          <w14:ligatures w14:val="none"/>
        </w:rPr>
        <w:t xml:space="preserve"> Qe. </w:t>
      </w:r>
      <w:r w:rsidR="0043118B" w:rsidRPr="00EF319B">
        <w:rPr>
          <w:rFonts w:ascii="Times New Roman" w:eastAsia="Yu Gothic Light" w:hAnsi="Times New Roman" w:cs="Times New Roman"/>
          <w:bCs/>
          <w:kern w:val="0"/>
          <w:sz w:val="20"/>
          <w:szCs w:val="20"/>
          <w14:ligatures w14:val="none"/>
        </w:rPr>
        <w:t xml:space="preserve">Raising the equilibrium concentration </w:t>
      </w:r>
      <w:r w:rsidR="00FB347A" w:rsidRPr="00EF319B">
        <w:rPr>
          <w:rFonts w:ascii="Times New Roman" w:eastAsia="Yu Gothic Light" w:hAnsi="Times New Roman" w:cs="Times New Roman"/>
          <w:bCs/>
          <w:kern w:val="0"/>
          <w:sz w:val="20"/>
          <w:szCs w:val="20"/>
          <w14:ligatures w14:val="none"/>
        </w:rPr>
        <w:t>increases Qe to about 20 mg/L, after which it declines due to the abundance of</w:t>
      </w:r>
      <w:r w:rsidRPr="00EF319B">
        <w:rPr>
          <w:rFonts w:ascii="Times New Roman" w:eastAsia="Yu Gothic Light" w:hAnsi="Times New Roman" w:cs="Times New Roman"/>
          <w:bCs/>
          <w:kern w:val="0"/>
          <w:sz w:val="20"/>
          <w:szCs w:val="20"/>
          <w14:ligatures w14:val="none"/>
        </w:rPr>
        <w:t xml:space="preserve"> a</w:t>
      </w:r>
      <w:r w:rsidR="001B1BE8" w:rsidRPr="00EF319B">
        <w:rPr>
          <w:rFonts w:ascii="Times New Roman" w:eastAsia="Yu Gothic Light" w:hAnsi="Times New Roman" w:cs="Times New Roman"/>
          <w:bCs/>
          <w:kern w:val="0"/>
          <w:sz w:val="20"/>
          <w:szCs w:val="20"/>
          <w14:ligatures w14:val="none"/>
        </w:rPr>
        <w:t>d</w:t>
      </w:r>
      <w:r w:rsidRPr="00EF319B">
        <w:rPr>
          <w:rFonts w:ascii="Times New Roman" w:eastAsia="Yu Gothic Light" w:hAnsi="Times New Roman" w:cs="Times New Roman"/>
          <w:bCs/>
          <w:kern w:val="0"/>
          <w:sz w:val="20"/>
          <w:szCs w:val="20"/>
          <w14:ligatures w14:val="none"/>
        </w:rPr>
        <w:t xml:space="preserve">sorbent sites </w:t>
      </w:r>
      <w:r w:rsidRPr="00EF319B">
        <w:rPr>
          <w:rFonts w:ascii="Times New Roman" w:eastAsia="Yu Gothic Light" w:hAnsi="Times New Roman" w:cs="Times New Roman"/>
          <w:bCs/>
          <w:kern w:val="0"/>
          <w:sz w:val="20"/>
          <w:szCs w:val="20"/>
          <w14:ligatures w14:val="none"/>
        </w:rPr>
        <w:fldChar w:fldCharType="begin"/>
      </w:r>
      <w:r w:rsidRPr="00EF319B">
        <w:rPr>
          <w:rFonts w:ascii="Times New Roman" w:eastAsia="Yu Gothic Light" w:hAnsi="Times New Roman" w:cs="Times New Roman"/>
          <w:bCs/>
          <w:kern w:val="0"/>
          <w:sz w:val="20"/>
          <w:szCs w:val="20"/>
          <w14:ligatures w14:val="none"/>
        </w:rPr>
        <w:instrText xml:space="preserve"> ADDIN ZOTERO_ITEM CSL_CITATION {"citationID":"GULdujfM","properties":{"formattedCitation":"[22]","plainCitation":"[22]","noteIndex":0},"citationItems":[{"id":727,"uris":["http://zotero.org/users/14115032/items/MS2CV57K"],"itemData":{"id":727,"type":"article-journal","container-title":"Journal of Environmental Management","DOI":"10.1016/j.jenvman.2025.125683","ISSN":"03014797","journalAbbreviation":"Journal of Environmental Management","language":"en","page":"125683","source":"DOI.org (Crossref)","title":"Machine learning approach for photocatalysis: An experimentally validated case study of photocatalytic dye degradation","title-short":"Machine learning approach for photocatalysis","volume":"386","author":[{"family":"Ali","given":"Hassan"},{"family":"Yasir","given":"Muhammad"},{"family":"Haq","given":"Hamza Ul"},{"family":"Guler","given":"Ali Can"},{"family":"Masar","given":"Milan"},{"family":"Khan","given":"Muhammad Nouman Aslam"},{"family":"Machovsky","given":"Michal"},{"family":"Sedlarik","given":"Vladimir"},{"family":"Kuritka","given":"Ivo"}],"issued":{"date-parts":[["2025",6]]}}}],"schema":"https://github.com/citation-style-language/schema/raw/master/csl-citation.json"} </w:instrText>
      </w:r>
      <w:r w:rsidRPr="00EF319B">
        <w:rPr>
          <w:rFonts w:ascii="Times New Roman" w:eastAsia="Yu Gothic Light" w:hAnsi="Times New Roman" w:cs="Times New Roman"/>
          <w:bCs/>
          <w:kern w:val="0"/>
          <w:sz w:val="20"/>
          <w:szCs w:val="20"/>
          <w14:ligatures w14:val="none"/>
        </w:rPr>
        <w:fldChar w:fldCharType="separate"/>
      </w:r>
      <w:r w:rsidRPr="00EF319B">
        <w:rPr>
          <w:rFonts w:ascii="Times New Roman" w:hAnsi="Times New Roman" w:cs="Times New Roman"/>
          <w:sz w:val="20"/>
        </w:rPr>
        <w:t>[22]</w:t>
      </w:r>
      <w:r w:rsidRPr="00EF319B">
        <w:rPr>
          <w:rFonts w:ascii="Times New Roman" w:eastAsia="Yu Gothic Light" w:hAnsi="Times New Roman" w:cs="Times New Roman"/>
          <w:bCs/>
          <w:kern w:val="0"/>
          <w:sz w:val="20"/>
          <w:szCs w:val="20"/>
          <w14:ligatures w14:val="none"/>
        </w:rPr>
        <w:fldChar w:fldCharType="end"/>
      </w:r>
      <w:r w:rsidRPr="00EF319B">
        <w:rPr>
          <w:rFonts w:ascii="Times New Roman" w:eastAsia="Yu Gothic Light" w:hAnsi="Times New Roman" w:cs="Times New Roman"/>
          <w:bCs/>
          <w:kern w:val="0"/>
          <w:sz w:val="20"/>
          <w:szCs w:val="20"/>
          <w14:ligatures w14:val="none"/>
        </w:rPr>
        <w:t xml:space="preserve">.  </w:t>
      </w:r>
      <w:r w:rsidR="0043118B" w:rsidRPr="00EF319B">
        <w:rPr>
          <w:rFonts w:ascii="Times New Roman" w:eastAsia="Yu Gothic Light" w:hAnsi="Times New Roman" w:cs="Times New Roman"/>
          <w:bCs/>
          <w:kern w:val="0"/>
          <w:sz w:val="20"/>
          <w:szCs w:val="20"/>
          <w14:ligatures w14:val="none"/>
        </w:rPr>
        <w:t>An</w:t>
      </w:r>
      <w:r w:rsidRPr="00EF319B">
        <w:rPr>
          <w:rFonts w:ascii="Times New Roman" w:eastAsia="Yu Gothic Light" w:hAnsi="Times New Roman" w:cs="Times New Roman"/>
          <w:bCs/>
          <w:kern w:val="0"/>
          <w:sz w:val="20"/>
          <w:szCs w:val="20"/>
          <w14:ligatures w14:val="none"/>
        </w:rPr>
        <w:t xml:space="preserve"> inverse </w:t>
      </w:r>
      <w:r w:rsidR="003A3710" w:rsidRPr="00EF319B">
        <w:rPr>
          <w:rFonts w:ascii="Times New Roman" w:eastAsia="Yu Gothic Light" w:hAnsi="Times New Roman" w:cs="Times New Roman"/>
          <w:bCs/>
          <w:kern w:val="0"/>
          <w:sz w:val="20"/>
          <w:szCs w:val="20"/>
          <w14:ligatures w14:val="none"/>
        </w:rPr>
        <w:t xml:space="preserve">relationship is observed between the adsorption capacity and the </w:t>
      </w:r>
      <w:r w:rsidRPr="00EF319B">
        <w:rPr>
          <w:rFonts w:ascii="Times New Roman" w:eastAsia="Yu Gothic Light" w:hAnsi="Times New Roman" w:cs="Times New Roman"/>
          <w:bCs/>
          <w:kern w:val="0"/>
          <w:sz w:val="20"/>
          <w:szCs w:val="20"/>
          <w14:ligatures w14:val="none"/>
        </w:rPr>
        <w:t xml:space="preserve">equilibrium concentration. </w:t>
      </w:r>
      <w:r w:rsidR="0043118B" w:rsidRPr="00EF319B">
        <w:rPr>
          <w:rFonts w:ascii="Times New Roman" w:eastAsia="Yu Gothic Light" w:hAnsi="Times New Roman" w:cs="Times New Roman"/>
          <w:bCs/>
          <w:kern w:val="0"/>
          <w:sz w:val="20"/>
          <w:szCs w:val="20"/>
          <w14:ligatures w14:val="none"/>
        </w:rPr>
        <w:t>A linear</w:t>
      </w:r>
      <w:r w:rsidRPr="00EF319B">
        <w:rPr>
          <w:rFonts w:ascii="Times New Roman" w:eastAsia="Yu Gothic Light" w:hAnsi="Times New Roman" w:cs="Times New Roman"/>
          <w:bCs/>
          <w:kern w:val="0"/>
          <w:sz w:val="20"/>
          <w:szCs w:val="20"/>
          <w14:ligatures w14:val="none"/>
        </w:rPr>
        <w:t xml:space="preserve"> trend is observed in a PDP of initial concentration and Kinetics Qe aligned with the established understanding of enhanced mass transfer driving force and abundance of the dye molecules. While adsorption capacity shows </w:t>
      </w:r>
      <w:r w:rsidR="003A3710" w:rsidRPr="00EF319B">
        <w:rPr>
          <w:rFonts w:ascii="Times New Roman" w:eastAsia="Yu Gothic Light" w:hAnsi="Times New Roman" w:cs="Times New Roman"/>
          <w:bCs/>
          <w:kern w:val="0"/>
          <w:sz w:val="20"/>
          <w:szCs w:val="20"/>
          <w14:ligatures w14:val="none"/>
        </w:rPr>
        <w:t>oscillatory behaviour, this arises from the interactions among</w:t>
      </w:r>
      <w:r w:rsidRPr="00EF319B">
        <w:rPr>
          <w:rFonts w:ascii="Times New Roman" w:eastAsia="Yu Gothic Light" w:hAnsi="Times New Roman" w:cs="Times New Roman"/>
          <w:bCs/>
          <w:kern w:val="0"/>
          <w:sz w:val="20"/>
          <w:szCs w:val="20"/>
          <w14:ligatures w14:val="none"/>
        </w:rPr>
        <w:t xml:space="preserve"> the complex features captured by the model. This </w:t>
      </w:r>
      <w:r w:rsidR="0043118B" w:rsidRPr="00EF319B">
        <w:rPr>
          <w:rFonts w:ascii="Times New Roman" w:eastAsia="Yu Gothic Light" w:hAnsi="Times New Roman" w:cs="Times New Roman"/>
          <w:bCs/>
          <w:kern w:val="0"/>
          <w:sz w:val="20"/>
          <w:szCs w:val="20"/>
          <w14:ligatures w14:val="none"/>
        </w:rPr>
        <w:t xml:space="preserve">is the common trend that can be observed in water treatment studies where Kinetics Qe is enhanced by increasing the initial concentration and maintaining the </w:t>
      </w:r>
      <w:r w:rsidRPr="00EF319B">
        <w:rPr>
          <w:rFonts w:ascii="Times New Roman" w:eastAsia="Yu Gothic Light" w:hAnsi="Times New Roman" w:cs="Times New Roman"/>
          <w:bCs/>
          <w:kern w:val="0"/>
          <w:sz w:val="20"/>
          <w:szCs w:val="20"/>
          <w14:ligatures w14:val="none"/>
        </w:rPr>
        <w:t xml:space="preserve">adsorption capacity till saturation </w:t>
      </w:r>
      <w:r w:rsidRPr="00EF319B">
        <w:rPr>
          <w:rFonts w:ascii="Times New Roman" w:eastAsia="Yu Gothic Light" w:hAnsi="Times New Roman" w:cs="Times New Roman"/>
          <w:bCs/>
          <w:kern w:val="0"/>
          <w:sz w:val="20"/>
          <w:szCs w:val="20"/>
          <w14:ligatures w14:val="none"/>
        </w:rPr>
        <w:fldChar w:fldCharType="begin"/>
      </w:r>
      <w:r w:rsidR="00105FA5" w:rsidRPr="00EF319B">
        <w:rPr>
          <w:rFonts w:ascii="Times New Roman" w:eastAsia="Yu Gothic Light" w:hAnsi="Times New Roman" w:cs="Times New Roman"/>
          <w:bCs/>
          <w:kern w:val="0"/>
          <w:sz w:val="20"/>
          <w:szCs w:val="20"/>
          <w14:ligatures w14:val="none"/>
        </w:rPr>
        <w:instrText xml:space="preserve"> ADDIN ZOTERO_ITEM CSL_CITATION {"citationID":"I3RVW0tF","properties":{"formattedCitation":"[49]","plainCitation":"[49]","noteIndex":0},"citationItems":[{"id":866,"uris":["http://zotero.org/users/14115032/items/8X6V669W"],"itemData":{"id":866,"type":"article-journal","abstract":"Algerian kaolinite, sourced from Djebel Debbagh nuance 3 (DD3), was used as a low-cost adsorbent to remove methylene blue (MB) dye from water. Its adsorption capacity was enhanced through sulfuric acid treatment (treated-DD3). In response to the urgent demand for clean water, various technologies have been developed to address dye removal from wastewater. This study, specifically delving into the treatment of textile wastewater, examined the efficacy of treated-DD3 through adsorption processes. The acid treatment increased the surface area and pore volume of DD3. X-ray diffraction showed crystalline phases in both, with treated-DD3 having higher crystallinity. Fourier-transform infrared spectroscopy found no significant differences post-acid treatment. Scanning electron microscopy revealed DD3 had large, stacked particles with low surface area, while treated-DD3 had increased porosity and a smoother surface. Various parameters affecting MB adsorption were studied. The Langmuir and Freundlich models were used for isotherm parameters. Treated-DD3 exhibited a higher MB adsorption capacity (64.58 mg/g according to the Langmuir model) than DD3 (44.48 mg/g). Thermodynamic analysis indicated spontaneous and endothermic MB adsorption onto both DD3-BM and treated-DD3-BM systems under different pH conditions. Treated-DD3 effectively reduced chemical oxygen demand (from 304.056 mg/L to 34.44 mg/L) and biological oxygen demand (from 80 mg/L to 20 mg/L) in real textile wastewater. The adsorbent exhibited rapid removal and decolorization, surpassing 93% within the first 7 min of the experiment. The Gaussian process regression and particle swarm optimization (GPR–PSO) predicted MB adsorption capacity effectively (R = 0.9989, R2 = 0.9978, adj-R2 = 0.9978, RMSE = 1.1390, and MAE = 0.3926).","container-title":"Water","DOI":"10.3390/w16020243","ISSN":"2073-4441","issue":"2","journalAbbreviation":"Water","language":"en","page":"243","source":"DOI.org (Crossref)","title":"Enhanced Adsorption Capacity of Methylene Blue Dye onto Kaolin through Acid Treatment: Batch Adsorption and Machine Learning Studies","title-short":"Enhanced Adsorption Capacity of Methylene Blue Dye onto Kaolin through Acid Treatment","volume":"16","author":[{"family":"Hamri","given":"Nadia"},{"family":"Imessaoudene","given":"Ali"},{"family":"Hadadi","given":"Amina"},{"family":"Cheikh","given":"Sabrina"},{"family":"Boukerroui","given":"Abdelhamid"},{"family":"Bollinger","given":"Jean-Claude"},{"family":"Amrane","given":"Abdeltif"},{"family":"Tahraoui","given":"Hichem"},{"family":"Tran","given":"Hai Nguyen"},{"family":"Ezzat","given":"Abdelrahman O."},{"family":"Al-Lohedan","given":"Hamad A."},{"family":"Mouni","given":"Lotfi"}],"issued":{"date-parts":[["2024",1,10]]}}}],"schema":"https://github.com/citation-style-language/schema/raw/master/csl-citation.json"} </w:instrText>
      </w:r>
      <w:r w:rsidRPr="00EF319B">
        <w:rPr>
          <w:rFonts w:ascii="Times New Roman" w:eastAsia="Yu Gothic Light" w:hAnsi="Times New Roman" w:cs="Times New Roman"/>
          <w:bCs/>
          <w:kern w:val="0"/>
          <w:sz w:val="20"/>
          <w:szCs w:val="20"/>
          <w14:ligatures w14:val="none"/>
        </w:rPr>
        <w:fldChar w:fldCharType="separate"/>
      </w:r>
      <w:r w:rsidR="00105FA5" w:rsidRPr="00EF319B">
        <w:rPr>
          <w:rFonts w:ascii="Times New Roman" w:hAnsi="Times New Roman" w:cs="Times New Roman"/>
          <w:sz w:val="20"/>
        </w:rPr>
        <w:t>[49]</w:t>
      </w:r>
      <w:r w:rsidRPr="00EF319B">
        <w:rPr>
          <w:rFonts w:ascii="Times New Roman" w:eastAsia="Yu Gothic Light" w:hAnsi="Times New Roman" w:cs="Times New Roman"/>
          <w:bCs/>
          <w:kern w:val="0"/>
          <w:sz w:val="20"/>
          <w:szCs w:val="20"/>
          <w14:ligatures w14:val="none"/>
        </w:rPr>
        <w:fldChar w:fldCharType="end"/>
      </w:r>
      <w:r w:rsidRPr="00EF319B">
        <w:rPr>
          <w:rFonts w:ascii="Times New Roman" w:eastAsia="Yu Gothic Light" w:hAnsi="Times New Roman" w:cs="Times New Roman"/>
          <w:bCs/>
          <w:kern w:val="0"/>
          <w:sz w:val="20"/>
          <w:szCs w:val="20"/>
          <w14:ligatures w14:val="none"/>
        </w:rPr>
        <w:t xml:space="preserve">. </w:t>
      </w:r>
      <w:r w:rsidR="003A3710" w:rsidRPr="00EF319B">
        <w:rPr>
          <w:rFonts w:ascii="Times New Roman" w:eastAsia="Yu Gothic Light" w:hAnsi="Times New Roman" w:cs="Times New Roman"/>
          <w:bCs/>
          <w:kern w:val="0"/>
          <w:sz w:val="20"/>
          <w:szCs w:val="20"/>
          <w14:ligatures w14:val="none"/>
        </w:rPr>
        <w:t xml:space="preserve">The dependence of adsorption behaviour on solution pH </w:t>
      </w:r>
      <w:r w:rsidRPr="00EF319B">
        <w:rPr>
          <w:rFonts w:ascii="Times New Roman" w:eastAsia="Yu Gothic Light" w:hAnsi="Times New Roman" w:cs="Times New Roman"/>
          <w:bCs/>
          <w:kern w:val="0"/>
          <w:sz w:val="20"/>
          <w:szCs w:val="20"/>
          <w14:ligatures w14:val="none"/>
        </w:rPr>
        <w:t>is revealed by the PDP. At high acidic conditions (~pH 2-3)</w:t>
      </w:r>
      <w:r w:rsidR="0043118B" w:rsidRPr="00EF319B">
        <w:rPr>
          <w:rFonts w:ascii="Times New Roman" w:eastAsia="Yu Gothic Light" w:hAnsi="Times New Roman" w:cs="Times New Roman"/>
          <w:bCs/>
          <w:kern w:val="0"/>
          <w:sz w:val="20"/>
          <w:szCs w:val="20"/>
          <w14:ligatures w14:val="none"/>
        </w:rPr>
        <w:t xml:space="preserve">, the model predicts higher Kinetics Qe values, </w:t>
      </w:r>
      <w:r w:rsidR="003A3710" w:rsidRPr="00EF319B">
        <w:rPr>
          <w:rFonts w:ascii="Times New Roman" w:eastAsia="Yu Gothic Light" w:hAnsi="Times New Roman" w:cs="Times New Roman"/>
          <w:bCs/>
          <w:kern w:val="0"/>
          <w:sz w:val="20"/>
          <w:szCs w:val="20"/>
          <w14:ligatures w14:val="none"/>
        </w:rPr>
        <w:t xml:space="preserve">indicating enhanced electrostatic attraction between the anionic dye molecules </w:t>
      </w:r>
      <w:r w:rsidR="0043118B" w:rsidRPr="00EF319B">
        <w:rPr>
          <w:rFonts w:ascii="Times New Roman" w:eastAsia="Yu Gothic Light" w:hAnsi="Times New Roman" w:cs="Times New Roman"/>
          <w:bCs/>
          <w:kern w:val="0"/>
          <w:sz w:val="20"/>
          <w:szCs w:val="20"/>
          <w14:ligatures w14:val="none"/>
        </w:rPr>
        <w:t xml:space="preserve">and the </w:t>
      </w:r>
      <w:r w:rsidRPr="00EF319B">
        <w:rPr>
          <w:rFonts w:ascii="Times New Roman" w:eastAsia="Yu Gothic Light" w:hAnsi="Times New Roman" w:cs="Times New Roman"/>
          <w:bCs/>
          <w:kern w:val="0"/>
          <w:sz w:val="20"/>
          <w:szCs w:val="20"/>
          <w14:ligatures w14:val="none"/>
        </w:rPr>
        <w:t xml:space="preserve">positively charged adsorbent surface. Further increasing the pH </w:t>
      </w:r>
      <w:r w:rsidR="003A3710" w:rsidRPr="00EF319B">
        <w:rPr>
          <w:rFonts w:ascii="Times New Roman" w:eastAsia="Yu Gothic Light" w:hAnsi="Times New Roman" w:cs="Times New Roman"/>
          <w:bCs/>
          <w:kern w:val="0"/>
          <w:sz w:val="20"/>
          <w:szCs w:val="20"/>
          <w14:ligatures w14:val="none"/>
        </w:rPr>
        <w:t>generates negative surface charges that</w:t>
      </w:r>
      <w:r w:rsidRPr="00EF319B">
        <w:rPr>
          <w:rFonts w:ascii="Times New Roman" w:eastAsia="Yu Gothic Light" w:hAnsi="Times New Roman" w:cs="Times New Roman"/>
          <w:bCs/>
          <w:kern w:val="0"/>
          <w:sz w:val="20"/>
          <w:szCs w:val="20"/>
          <w14:ligatures w14:val="none"/>
        </w:rPr>
        <w:t xml:space="preserve"> repel the anionic dye ions. Oscillatory peaks </w:t>
      </w:r>
      <w:r w:rsidR="00183812" w:rsidRPr="00EF319B">
        <w:rPr>
          <w:rFonts w:ascii="Times New Roman" w:eastAsia="Yu Gothic Light" w:hAnsi="Times New Roman" w:cs="Times New Roman"/>
          <w:bCs/>
          <w:kern w:val="0"/>
          <w:sz w:val="20"/>
          <w:szCs w:val="20"/>
          <w14:ligatures w14:val="none"/>
        </w:rPr>
        <w:t xml:space="preserve">in adsorption capacity around pH 4, 6, and 8 indicate optimal charge-solution conditions, </w:t>
      </w:r>
      <w:r w:rsidR="00183812" w:rsidRPr="00EF319B">
        <w:rPr>
          <w:rFonts w:ascii="Times New Roman" w:eastAsia="Yu Gothic Light" w:hAnsi="Times New Roman" w:cs="Times New Roman"/>
          <w:bCs/>
          <w:kern w:val="0"/>
          <w:sz w:val="20"/>
          <w:szCs w:val="20"/>
          <w14:ligatures w14:val="none"/>
        </w:rPr>
        <w:lastRenderedPageBreak/>
        <w:t>followed by a decline under strong alkaline conditions</w:t>
      </w:r>
      <w:r w:rsidRPr="00EF319B">
        <w:rPr>
          <w:rFonts w:ascii="Times New Roman" w:eastAsia="Yu Gothic Light" w:hAnsi="Times New Roman" w:cs="Times New Roman"/>
          <w:bCs/>
          <w:kern w:val="0"/>
          <w:sz w:val="20"/>
          <w:szCs w:val="20"/>
          <w14:ligatures w14:val="none"/>
        </w:rPr>
        <w:t xml:space="preserve"> </w:t>
      </w:r>
      <w:r w:rsidRPr="00EF319B">
        <w:rPr>
          <w:rFonts w:ascii="Times New Roman" w:eastAsia="Yu Gothic Light" w:hAnsi="Times New Roman" w:cs="Times New Roman"/>
          <w:bCs/>
          <w:kern w:val="0"/>
          <w:sz w:val="20"/>
          <w:szCs w:val="20"/>
          <w14:ligatures w14:val="none"/>
        </w:rPr>
        <w:fldChar w:fldCharType="begin"/>
      </w:r>
      <w:r w:rsidR="00105FA5" w:rsidRPr="00EF319B">
        <w:rPr>
          <w:rFonts w:ascii="Times New Roman" w:eastAsia="Yu Gothic Light" w:hAnsi="Times New Roman" w:cs="Times New Roman"/>
          <w:bCs/>
          <w:kern w:val="0"/>
          <w:sz w:val="20"/>
          <w:szCs w:val="20"/>
          <w14:ligatures w14:val="none"/>
        </w:rPr>
        <w:instrText xml:space="preserve"> ADDIN ZOTERO_ITEM CSL_CITATION {"citationID":"msPQcVff","properties":{"formattedCitation":"[50]","plainCitation":"[50]","noteIndex":0},"citationItems":[{"id":868,"uris":["http://zotero.org/users/14115032/items/GL5BC5W9"],"itemData":{"id":868,"type":"article-journal","abstract":"This study synthesized biochar adsorbents from chemically activated sugarcane bagasse using ZnCl\n              2\n              at pyrolysis temperatures of 400, 500, and 600°C. The modified bagasse biochar was used to remove methylene blue (MB) and acid red (AR) dyes. The surface characteristics of the modified bagasse biochars were analyzed using Scanning Electron Microscope (SEM), Fourier Transform infrared spectroscopy (FTIR), and Brunauer-Emmett-Teller (BET) analysis. Batch adsorption experiments were conducted to assess the impact of various parameters on adsorption performance. Among the different bagasse biochar samples, Zn-BC-600 exhibited superior adsorption capacities for MB and AR with values of 182.225 and 43.324 mg/g, respectively. The adsorption efficiency was significantly influenced by pH, with optimal conditions at pH = 6.0 for MB and pH = 2.0 and 10.0 for AR. The adsorption process for MB and AR on Zn-BCs followed a pseudo-second-order kinetic model, indicating chemisorption as the primary mechanism. Adsorption isotherm studies revealed that Zn-BCs conform to the Freundlich model, proposing a multilayer adsorption due to the heterogeneity of the biochar surface. Regeneration experiments indicated that Zn-BCs could be reused for multiple adsorption cycles. In conclusion, the modified bagasse biochar showed strong adsorption affinity for both MB and AR, particularly for MB, making it a promising adsorbent for treating printing and dyeing wastewater.","container-title":"Adsorption Science &amp; Technology","DOI":"10.1177/02636174241273522","ISSN":"0263-6174, 2048-4038","journalAbbreviation":"Adsorption Science &amp; Technology","language":"en","page":"02636174241273522","source":"DOI.org (Crossref)","title":"Methylene blue and acid red adsorption on biochar made from modified sugarcane bagasse: A dynamic, equilibrium, and thermodynamic investigation","title-short":"Methylene blue and acid red adsorption on biochar made from modified sugarcane bagasse","volume":"42","author":[{"family":"Zhu","given":"Wenfang"},{"family":"Chen","given":"Fangyuan"},{"family":"Ye","given":"Lei"},{"family":"Yang","given":"Xinyuan"},{"family":"Song","given":"Yali"},{"family":"Wang","given":"Hua"}],"issued":{"date-parts":[["2024",1]]}}}],"schema":"https://github.com/citation-style-language/schema/raw/master/csl-citation.json"} </w:instrText>
      </w:r>
      <w:r w:rsidRPr="00EF319B">
        <w:rPr>
          <w:rFonts w:ascii="Times New Roman" w:eastAsia="Yu Gothic Light" w:hAnsi="Times New Roman" w:cs="Times New Roman"/>
          <w:bCs/>
          <w:kern w:val="0"/>
          <w:sz w:val="20"/>
          <w:szCs w:val="20"/>
          <w14:ligatures w14:val="none"/>
        </w:rPr>
        <w:fldChar w:fldCharType="separate"/>
      </w:r>
      <w:r w:rsidR="00105FA5" w:rsidRPr="00EF319B">
        <w:rPr>
          <w:rFonts w:ascii="Times New Roman" w:hAnsi="Times New Roman" w:cs="Times New Roman"/>
          <w:sz w:val="20"/>
        </w:rPr>
        <w:t>[50]</w:t>
      </w:r>
      <w:r w:rsidRPr="00EF319B">
        <w:rPr>
          <w:rFonts w:ascii="Times New Roman" w:eastAsia="Yu Gothic Light" w:hAnsi="Times New Roman" w:cs="Times New Roman"/>
          <w:bCs/>
          <w:kern w:val="0"/>
          <w:sz w:val="20"/>
          <w:szCs w:val="20"/>
          <w14:ligatures w14:val="none"/>
        </w:rPr>
        <w:fldChar w:fldCharType="end"/>
      </w:r>
      <w:r w:rsidRPr="00EF319B">
        <w:rPr>
          <w:rFonts w:ascii="Times New Roman" w:eastAsia="Yu Gothic Light" w:hAnsi="Times New Roman" w:cs="Times New Roman"/>
          <w:bCs/>
          <w:kern w:val="0"/>
          <w:sz w:val="20"/>
          <w:szCs w:val="20"/>
          <w14:ligatures w14:val="none"/>
        </w:rPr>
        <w:t xml:space="preserve">. </w:t>
      </w:r>
      <w:r w:rsidR="0043118B" w:rsidRPr="00EF319B">
        <w:rPr>
          <w:rFonts w:ascii="Times New Roman" w:eastAsia="Yu Gothic Light" w:hAnsi="Times New Roman" w:cs="Times New Roman"/>
          <w:bCs/>
          <w:kern w:val="0"/>
          <w:sz w:val="20"/>
          <w:szCs w:val="20"/>
          <w14:ligatures w14:val="none"/>
        </w:rPr>
        <w:t>The PDP observes a negative effect of increasing solution volume on adsorption capacity</w:t>
      </w:r>
      <w:r w:rsidRPr="00EF319B">
        <w:rPr>
          <w:rFonts w:ascii="Times New Roman" w:eastAsia="Yu Gothic Light" w:hAnsi="Times New Roman" w:cs="Times New Roman"/>
          <w:bCs/>
          <w:kern w:val="0"/>
          <w:sz w:val="20"/>
          <w:szCs w:val="20"/>
          <w14:ligatures w14:val="none"/>
        </w:rPr>
        <w:t>. Adsorption capacity starts just above 90% at 30 mL of the solution volume and decreases gradually to form a plateau around 60 to 75 mL of solution volume and drops sharply to 65% capacity after 85 mL of Solution volume. Kinetics Qe behaves in a similar fashion</w:t>
      </w:r>
      <w:r w:rsidR="00183812" w:rsidRPr="00EF319B">
        <w:rPr>
          <w:rFonts w:ascii="Times New Roman" w:eastAsia="Yu Gothic Light" w:hAnsi="Times New Roman" w:cs="Times New Roman"/>
          <w:bCs/>
          <w:kern w:val="0"/>
          <w:sz w:val="20"/>
          <w:szCs w:val="20"/>
          <w14:ligatures w14:val="none"/>
        </w:rPr>
        <w:t>,</w:t>
      </w:r>
      <w:r w:rsidRPr="00EF319B">
        <w:rPr>
          <w:rFonts w:ascii="Times New Roman" w:eastAsia="Yu Gothic Light" w:hAnsi="Times New Roman" w:cs="Times New Roman"/>
          <w:bCs/>
          <w:kern w:val="0"/>
          <w:sz w:val="20"/>
          <w:szCs w:val="20"/>
          <w14:ligatures w14:val="none"/>
        </w:rPr>
        <w:t xml:space="preserve"> dropping from around 200 mg/g to 90 mg/g by increasing the solution volume from 30 mL to 100 mL. This is due to </w:t>
      </w:r>
      <w:r w:rsidR="00183812" w:rsidRPr="00EF319B">
        <w:rPr>
          <w:rFonts w:ascii="Times New Roman" w:eastAsia="Yu Gothic Light" w:hAnsi="Times New Roman" w:cs="Times New Roman"/>
          <w:bCs/>
          <w:kern w:val="0"/>
          <w:sz w:val="20"/>
          <w:szCs w:val="20"/>
          <w14:ligatures w14:val="none"/>
        </w:rPr>
        <w:t>dilution-enhanced reduction in the driving force of mass transfer, leading to fewer dye molecules available</w:t>
      </w:r>
      <w:r w:rsidRPr="00EF319B">
        <w:rPr>
          <w:rFonts w:ascii="Times New Roman" w:eastAsia="Yu Gothic Light" w:hAnsi="Times New Roman" w:cs="Times New Roman"/>
          <w:bCs/>
          <w:kern w:val="0"/>
          <w:sz w:val="20"/>
          <w:szCs w:val="20"/>
          <w14:ligatures w14:val="none"/>
        </w:rPr>
        <w:t xml:space="preserve"> for the per unit mass of the adsorbent. </w:t>
      </w:r>
    </w:p>
    <w:p w14:paraId="19D7642D" w14:textId="77777777" w:rsidR="003949F9" w:rsidRPr="00EF319B" w:rsidRDefault="0022023A" w:rsidP="003949F9">
      <w:pPr>
        <w:keepNext/>
        <w:jc w:val="both"/>
      </w:pPr>
      <w:r w:rsidRPr="00EF319B">
        <w:rPr>
          <w:rFonts w:ascii="Times New Roman" w:hAnsi="Times New Roman" w:cs="Times New Roman"/>
          <w:noProof/>
        </w:rPr>
        <w:drawing>
          <wp:inline distT="0" distB="0" distL="0" distR="0" wp14:anchorId="361A6DC9" wp14:editId="30389E87">
            <wp:extent cx="5943600" cy="295637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t="1203" b="1203"/>
                    <a:stretch>
                      <a:fillRect/>
                    </a:stretch>
                  </pic:blipFill>
                  <pic:spPr bwMode="auto">
                    <a:xfrm>
                      <a:off x="0" y="0"/>
                      <a:ext cx="5943600" cy="2956373"/>
                    </a:xfrm>
                    <a:prstGeom prst="rect">
                      <a:avLst/>
                    </a:prstGeom>
                    <a:noFill/>
                    <a:ln>
                      <a:noFill/>
                    </a:ln>
                    <a:extLst>
                      <a:ext uri="{53640926-AAD7-44D8-BBD7-CCE9431645EC}">
                        <a14:shadowObscured xmlns:a14="http://schemas.microsoft.com/office/drawing/2010/main"/>
                      </a:ext>
                    </a:extLst>
                  </pic:spPr>
                </pic:pic>
              </a:graphicData>
            </a:graphic>
          </wp:inline>
        </w:drawing>
      </w:r>
    </w:p>
    <w:p w14:paraId="1E224ED4" w14:textId="029F5DA1" w:rsidR="0022023A" w:rsidRPr="00EF319B" w:rsidRDefault="003949F9" w:rsidP="00D96643">
      <w:pPr>
        <w:pStyle w:val="Caption"/>
        <w:jc w:val="both"/>
        <w:rPr>
          <w:rFonts w:ascii="Times New Roman" w:hAnsi="Times New Roman" w:cs="Times New Roman"/>
          <w:i w:val="0"/>
          <w:iCs w:val="0"/>
          <w:color w:val="auto"/>
          <w:sz w:val="20"/>
          <w:szCs w:val="20"/>
        </w:rPr>
      </w:pPr>
      <w:r w:rsidRPr="00EF319B">
        <w:rPr>
          <w:rFonts w:ascii="Times New Roman" w:hAnsi="Times New Roman" w:cs="Times New Roman"/>
          <w:b/>
          <w:bCs/>
          <w:i w:val="0"/>
          <w:iCs w:val="0"/>
          <w:color w:val="auto"/>
          <w:sz w:val="20"/>
          <w:szCs w:val="20"/>
        </w:rPr>
        <w:t xml:space="preserve">Figure </w:t>
      </w:r>
      <w:r w:rsidRPr="00EF319B">
        <w:rPr>
          <w:rFonts w:ascii="Times New Roman" w:hAnsi="Times New Roman" w:cs="Times New Roman"/>
          <w:b/>
          <w:bCs/>
          <w:i w:val="0"/>
          <w:iCs w:val="0"/>
          <w:color w:val="auto"/>
          <w:sz w:val="20"/>
          <w:szCs w:val="20"/>
        </w:rPr>
        <w:fldChar w:fldCharType="begin"/>
      </w:r>
      <w:r w:rsidRPr="00EF319B">
        <w:rPr>
          <w:rFonts w:ascii="Times New Roman" w:hAnsi="Times New Roman" w:cs="Times New Roman"/>
          <w:b/>
          <w:bCs/>
          <w:i w:val="0"/>
          <w:iCs w:val="0"/>
          <w:color w:val="auto"/>
          <w:sz w:val="20"/>
          <w:szCs w:val="20"/>
        </w:rPr>
        <w:instrText xml:space="preserve"> SEQ Figure \* ARABIC </w:instrText>
      </w:r>
      <w:r w:rsidRPr="00EF319B">
        <w:rPr>
          <w:rFonts w:ascii="Times New Roman" w:hAnsi="Times New Roman" w:cs="Times New Roman"/>
          <w:b/>
          <w:bCs/>
          <w:i w:val="0"/>
          <w:iCs w:val="0"/>
          <w:color w:val="auto"/>
          <w:sz w:val="20"/>
          <w:szCs w:val="20"/>
        </w:rPr>
        <w:fldChar w:fldCharType="separate"/>
      </w:r>
      <w:r w:rsidR="00E100D9" w:rsidRPr="00EF319B">
        <w:rPr>
          <w:rFonts w:ascii="Times New Roman" w:hAnsi="Times New Roman" w:cs="Times New Roman"/>
          <w:b/>
          <w:bCs/>
          <w:i w:val="0"/>
          <w:iCs w:val="0"/>
          <w:color w:val="auto"/>
          <w:sz w:val="20"/>
          <w:szCs w:val="20"/>
        </w:rPr>
        <w:t>6</w:t>
      </w:r>
      <w:r w:rsidRPr="00EF319B">
        <w:rPr>
          <w:rFonts w:ascii="Times New Roman" w:hAnsi="Times New Roman" w:cs="Times New Roman"/>
          <w:b/>
          <w:bCs/>
          <w:i w:val="0"/>
          <w:iCs w:val="0"/>
          <w:color w:val="auto"/>
          <w:sz w:val="20"/>
          <w:szCs w:val="20"/>
        </w:rPr>
        <w:fldChar w:fldCharType="end"/>
      </w:r>
      <w:r w:rsidRPr="00EF319B">
        <w:rPr>
          <w:rFonts w:ascii="Times New Roman" w:hAnsi="Times New Roman" w:cs="Times New Roman"/>
          <w:i w:val="0"/>
          <w:iCs w:val="0"/>
          <w:color w:val="auto"/>
          <w:sz w:val="20"/>
          <w:szCs w:val="20"/>
        </w:rPr>
        <w:t xml:space="preserve">. </w:t>
      </w:r>
      <w:r w:rsidR="0031464C" w:rsidRPr="00EF319B">
        <w:rPr>
          <w:rFonts w:ascii="Times New Roman" w:hAnsi="Times New Roman" w:cs="Times New Roman"/>
          <w:i w:val="0"/>
          <w:iCs w:val="0"/>
          <w:color w:val="auto"/>
          <w:sz w:val="20"/>
          <w:szCs w:val="20"/>
        </w:rPr>
        <w:t>2D PDPs of adsorption removal vs experimental conditions: BET surface area (a), dosage (b), equilibrium concentration (c), initial concentration (d), pH (</w:t>
      </w:r>
      <w:r w:rsidR="00D96643" w:rsidRPr="00EF319B">
        <w:rPr>
          <w:rFonts w:ascii="Times New Roman" w:hAnsi="Times New Roman" w:cs="Times New Roman"/>
          <w:i w:val="0"/>
          <w:iCs w:val="0"/>
          <w:color w:val="auto"/>
          <w:sz w:val="20"/>
          <w:szCs w:val="20"/>
        </w:rPr>
        <w:t>e</w:t>
      </w:r>
      <w:r w:rsidR="0031464C" w:rsidRPr="00EF319B">
        <w:rPr>
          <w:rFonts w:ascii="Times New Roman" w:hAnsi="Times New Roman" w:cs="Times New Roman"/>
          <w:i w:val="0"/>
          <w:iCs w:val="0"/>
          <w:color w:val="auto"/>
          <w:sz w:val="20"/>
          <w:szCs w:val="20"/>
        </w:rPr>
        <w:t>), solution volume (</w:t>
      </w:r>
      <w:r w:rsidR="00D96643" w:rsidRPr="00EF319B">
        <w:rPr>
          <w:rFonts w:ascii="Times New Roman" w:hAnsi="Times New Roman" w:cs="Times New Roman"/>
          <w:i w:val="0"/>
          <w:iCs w:val="0"/>
          <w:color w:val="auto"/>
          <w:sz w:val="20"/>
          <w:szCs w:val="20"/>
        </w:rPr>
        <w:t>f</w:t>
      </w:r>
      <w:r w:rsidR="0031464C" w:rsidRPr="00EF319B">
        <w:rPr>
          <w:rFonts w:ascii="Times New Roman" w:hAnsi="Times New Roman" w:cs="Times New Roman"/>
          <w:i w:val="0"/>
          <w:iCs w:val="0"/>
          <w:color w:val="auto"/>
          <w:sz w:val="20"/>
          <w:szCs w:val="20"/>
        </w:rPr>
        <w:t>), and time (</w:t>
      </w:r>
      <w:r w:rsidR="00D96643" w:rsidRPr="00EF319B">
        <w:rPr>
          <w:rFonts w:ascii="Times New Roman" w:hAnsi="Times New Roman" w:cs="Times New Roman"/>
          <w:i w:val="0"/>
          <w:iCs w:val="0"/>
          <w:color w:val="auto"/>
          <w:sz w:val="20"/>
          <w:szCs w:val="20"/>
        </w:rPr>
        <w:t>g</w:t>
      </w:r>
      <w:r w:rsidR="0031464C" w:rsidRPr="00EF319B">
        <w:rPr>
          <w:rFonts w:ascii="Times New Roman" w:hAnsi="Times New Roman" w:cs="Times New Roman"/>
          <w:i w:val="0"/>
          <w:iCs w:val="0"/>
          <w:color w:val="auto"/>
          <w:sz w:val="20"/>
          <w:szCs w:val="20"/>
        </w:rPr>
        <w:t>).</w:t>
      </w:r>
    </w:p>
    <w:p w14:paraId="2536E439" w14:textId="77777777" w:rsidR="0022023A" w:rsidRPr="00EF319B" w:rsidRDefault="0022023A" w:rsidP="0022023A">
      <w:pPr>
        <w:jc w:val="both"/>
        <w:rPr>
          <w:rFonts w:ascii="Times New Roman" w:eastAsia="Yu Gothic Light" w:hAnsi="Times New Roman" w:cs="Times New Roman"/>
          <w:b/>
          <w:kern w:val="0"/>
          <w:sz w:val="20"/>
          <w:szCs w:val="20"/>
          <w14:ligatures w14:val="none"/>
        </w:rPr>
      </w:pPr>
      <w:r w:rsidRPr="00EF319B">
        <w:rPr>
          <w:rFonts w:ascii="Times New Roman" w:eastAsia="Yu Gothic Light" w:hAnsi="Times New Roman" w:cs="Times New Roman"/>
          <w:b/>
          <w:kern w:val="0"/>
          <w:sz w:val="20"/>
          <w:szCs w:val="20"/>
          <w14:ligatures w14:val="none"/>
        </w:rPr>
        <w:t>3D partial dependence plots</w:t>
      </w:r>
    </w:p>
    <w:p w14:paraId="1F63E601" w14:textId="37861D79" w:rsidR="00E100D9" w:rsidRPr="00EF319B" w:rsidRDefault="0054326B" w:rsidP="00957396">
      <w:pPr>
        <w:spacing w:line="360" w:lineRule="auto"/>
        <w:jc w:val="both"/>
        <w:rPr>
          <w:rFonts w:ascii="Times New Roman" w:eastAsia="Yu Gothic Light" w:hAnsi="Times New Roman" w:cs="Times New Roman"/>
          <w:bCs/>
          <w:kern w:val="0"/>
          <w:sz w:val="20"/>
          <w:szCs w:val="20"/>
          <w14:ligatures w14:val="none"/>
        </w:rPr>
      </w:pPr>
      <w:r w:rsidRPr="00EF319B">
        <w:rPr>
          <w:rFonts w:ascii="Times New Roman" w:eastAsia="Yu Gothic Light" w:hAnsi="Times New Roman" w:cs="Times New Roman"/>
          <w:bCs/>
          <w:kern w:val="0"/>
          <w:sz w:val="20"/>
          <w:szCs w:val="20"/>
          <w14:ligatures w14:val="none"/>
        </w:rPr>
        <w:t>Similarly, 3D PDP plots were also obtained as shown in Figure S3</w:t>
      </w:r>
      <w:r w:rsidR="00A81ACF" w:rsidRPr="00EF319B">
        <w:rPr>
          <w:rFonts w:ascii="Times New Roman" w:eastAsia="Yu Gothic Light" w:hAnsi="Times New Roman" w:cs="Times New Roman"/>
          <w:bCs/>
          <w:kern w:val="0"/>
          <w:sz w:val="20"/>
          <w:szCs w:val="20"/>
          <w14:ligatures w14:val="none"/>
        </w:rPr>
        <w:t xml:space="preserve"> </w:t>
      </w:r>
      <w:r w:rsidR="00E5521C" w:rsidRPr="00EF319B">
        <w:rPr>
          <w:rFonts w:ascii="Times New Roman" w:eastAsia="Yu Gothic Light" w:hAnsi="Times New Roman" w:cs="Times New Roman"/>
          <w:bCs/>
          <w:kern w:val="0"/>
          <w:sz w:val="20"/>
          <w:szCs w:val="20"/>
          <w14:ligatures w14:val="none"/>
        </w:rPr>
        <w:t>(a-f). From the results, it can be inferred that a</w:t>
      </w:r>
      <w:r w:rsidR="0022023A" w:rsidRPr="00EF319B">
        <w:rPr>
          <w:rFonts w:ascii="Times New Roman" w:eastAsia="Yu Gothic Light" w:hAnsi="Times New Roman" w:cs="Times New Roman"/>
          <w:bCs/>
          <w:kern w:val="0"/>
          <w:sz w:val="20"/>
          <w:szCs w:val="20"/>
          <w14:ligatures w14:val="none"/>
        </w:rPr>
        <w:t xml:space="preserve">dsorption % is more sensitive </w:t>
      </w:r>
      <w:r w:rsidR="00A054C7" w:rsidRPr="00EF319B">
        <w:rPr>
          <w:rFonts w:ascii="Times New Roman" w:eastAsia="Yu Gothic Light" w:hAnsi="Times New Roman" w:cs="Times New Roman"/>
          <w:bCs/>
          <w:kern w:val="0"/>
          <w:sz w:val="20"/>
          <w:szCs w:val="20"/>
          <w14:ligatures w14:val="none"/>
        </w:rPr>
        <w:t>to pH, adsorbent dosage, and BET surface area due to synergistic interactions</w:t>
      </w:r>
      <w:r w:rsidR="0022023A" w:rsidRPr="00EF319B">
        <w:rPr>
          <w:rFonts w:ascii="Times New Roman" w:eastAsia="Yu Gothic Light" w:hAnsi="Times New Roman" w:cs="Times New Roman"/>
          <w:bCs/>
          <w:kern w:val="0"/>
          <w:sz w:val="20"/>
          <w:szCs w:val="20"/>
          <w14:ligatures w14:val="none"/>
        </w:rPr>
        <w:t xml:space="preserve">. 3D PDPs </w:t>
      </w:r>
      <w:r w:rsidR="00A054C7" w:rsidRPr="00EF319B">
        <w:rPr>
          <w:rFonts w:ascii="Times New Roman" w:eastAsia="Yu Gothic Light" w:hAnsi="Times New Roman" w:cs="Times New Roman"/>
          <w:bCs/>
          <w:kern w:val="0"/>
          <w:sz w:val="20"/>
          <w:szCs w:val="20"/>
          <w14:ligatures w14:val="none"/>
        </w:rPr>
        <w:t>show</w:t>
      </w:r>
      <w:r w:rsidR="0022023A" w:rsidRPr="00EF319B">
        <w:rPr>
          <w:rFonts w:ascii="Times New Roman" w:eastAsia="Yu Gothic Light" w:hAnsi="Times New Roman" w:cs="Times New Roman"/>
          <w:bCs/>
          <w:kern w:val="0"/>
          <w:sz w:val="20"/>
          <w:szCs w:val="20"/>
          <w14:ligatures w14:val="none"/>
        </w:rPr>
        <w:t xml:space="preserve"> </w:t>
      </w:r>
      <w:r w:rsidR="00E5521C" w:rsidRPr="00EF319B">
        <w:rPr>
          <w:rFonts w:ascii="Times New Roman" w:eastAsia="Yu Gothic Light" w:hAnsi="Times New Roman" w:cs="Times New Roman"/>
          <w:bCs/>
          <w:kern w:val="0"/>
          <w:sz w:val="20"/>
          <w:szCs w:val="20"/>
          <w14:ligatures w14:val="none"/>
        </w:rPr>
        <w:t xml:space="preserve">that </w:t>
      </w:r>
      <w:r w:rsidR="0022023A" w:rsidRPr="00EF319B">
        <w:rPr>
          <w:rFonts w:ascii="Times New Roman" w:eastAsia="Yu Gothic Light" w:hAnsi="Times New Roman" w:cs="Times New Roman"/>
          <w:bCs/>
          <w:kern w:val="0"/>
          <w:sz w:val="20"/>
          <w:szCs w:val="20"/>
          <w14:ligatures w14:val="none"/>
        </w:rPr>
        <w:t>the increasing trend of removal efficiency is observed with higher dosage because of the availability of more active sites, but as soon particle starts to saturate</w:t>
      </w:r>
      <w:r w:rsidR="00A054C7" w:rsidRPr="00EF319B">
        <w:rPr>
          <w:rFonts w:ascii="Times New Roman" w:eastAsia="Yu Gothic Light" w:hAnsi="Times New Roman" w:cs="Times New Roman"/>
          <w:bCs/>
          <w:kern w:val="0"/>
          <w:sz w:val="20"/>
          <w:szCs w:val="20"/>
          <w14:ligatures w14:val="none"/>
        </w:rPr>
        <w:t>,</w:t>
      </w:r>
      <w:r w:rsidR="0022023A" w:rsidRPr="00EF319B">
        <w:rPr>
          <w:rFonts w:ascii="Times New Roman" w:eastAsia="Yu Gothic Light" w:hAnsi="Times New Roman" w:cs="Times New Roman"/>
          <w:bCs/>
          <w:kern w:val="0"/>
          <w:sz w:val="20"/>
          <w:szCs w:val="20"/>
          <w14:ligatures w14:val="none"/>
        </w:rPr>
        <w:t xml:space="preserve"> diminishing returns </w:t>
      </w:r>
      <w:r w:rsidR="0022023A" w:rsidRPr="00EF319B">
        <w:rPr>
          <w:rFonts w:ascii="Times New Roman" w:eastAsia="Yu Gothic Light" w:hAnsi="Times New Roman" w:cs="Times New Roman"/>
          <w:bCs/>
          <w:kern w:val="0"/>
          <w:sz w:val="20"/>
          <w:szCs w:val="20"/>
          <w14:ligatures w14:val="none"/>
        </w:rPr>
        <w:fldChar w:fldCharType="begin"/>
      </w:r>
      <w:r w:rsidR="00105FA5" w:rsidRPr="00EF319B">
        <w:rPr>
          <w:rFonts w:ascii="Times New Roman" w:eastAsia="Yu Gothic Light" w:hAnsi="Times New Roman" w:cs="Times New Roman"/>
          <w:bCs/>
          <w:kern w:val="0"/>
          <w:sz w:val="20"/>
          <w:szCs w:val="20"/>
          <w14:ligatures w14:val="none"/>
        </w:rPr>
        <w:instrText xml:space="preserve"> ADDIN ZOTERO_ITEM CSL_CITATION {"citationID":"Rzhwd1c5","properties":{"formattedCitation":"[51]","plainCitation":"[51]","noteIndex":0},"citationItems":[{"id":869,"uris":["http://zotero.org/users/14115032/items/57CTCIYN"],"itemData":{"id":869,"type":"article-journal","container-title":"Chemosphere","DOI":"10.1016/j.chemosphere.2021.131678","ISSN":"00456535","journalAbbreviation":"Chemosphere","language":"en","page":"131678","source":"DOI.org (Crossref)","title":"Effect of different direct revegetation strategies on the mobility of heavy metals in artificial zinc smelting waste slag: Implications for phytoremediation","title-short":"Effect of different direct revegetation strategies on the mobility of heavy metals in artificial zinc smelting waste slag","volume":"286","author":[{"family":"Luo","given":"Youfa"},{"family":"Zheng","given":"Zhilin"},{"family":"Wu","given":"Pan"},{"family":"Wu","given":"Yonggui"}],"issued":{"date-parts":[["2022",1]]}}}],"schema":"https://github.com/citation-style-language/schema/raw/master/csl-citation.json"} </w:instrText>
      </w:r>
      <w:r w:rsidR="0022023A" w:rsidRPr="00EF319B">
        <w:rPr>
          <w:rFonts w:ascii="Times New Roman" w:eastAsia="Yu Gothic Light" w:hAnsi="Times New Roman" w:cs="Times New Roman"/>
          <w:bCs/>
          <w:kern w:val="0"/>
          <w:sz w:val="20"/>
          <w:szCs w:val="20"/>
          <w14:ligatures w14:val="none"/>
        </w:rPr>
        <w:fldChar w:fldCharType="separate"/>
      </w:r>
      <w:r w:rsidR="00105FA5" w:rsidRPr="00EF319B">
        <w:rPr>
          <w:rFonts w:ascii="Times New Roman" w:hAnsi="Times New Roman" w:cs="Times New Roman"/>
          <w:sz w:val="20"/>
        </w:rPr>
        <w:t>[51]</w:t>
      </w:r>
      <w:r w:rsidR="0022023A" w:rsidRPr="00EF319B">
        <w:rPr>
          <w:rFonts w:ascii="Times New Roman" w:eastAsia="Yu Gothic Light" w:hAnsi="Times New Roman" w:cs="Times New Roman"/>
          <w:bCs/>
          <w:kern w:val="0"/>
          <w:sz w:val="20"/>
          <w:szCs w:val="20"/>
          <w14:ligatures w14:val="none"/>
        </w:rPr>
        <w:fldChar w:fldCharType="end"/>
      </w:r>
      <w:r w:rsidR="0022023A" w:rsidRPr="00EF319B">
        <w:rPr>
          <w:rFonts w:ascii="Times New Roman" w:eastAsia="Yu Gothic Light" w:hAnsi="Times New Roman" w:cs="Times New Roman"/>
          <w:bCs/>
          <w:kern w:val="0"/>
          <w:sz w:val="20"/>
          <w:szCs w:val="20"/>
          <w14:ligatures w14:val="none"/>
        </w:rPr>
        <w:t xml:space="preserve">. Effect of pH on adsorption % and dosage was also studied using 3D PDP which reveal pH crucial role in optimizing electrostatic condition for enhanced removal even at moderate dosages while with poor pH selection could also results in degraded removal at higher dosages as well </w:t>
      </w:r>
      <w:r w:rsidR="002041F0" w:rsidRPr="00EF319B">
        <w:rPr>
          <w:rFonts w:ascii="Times New Roman" w:eastAsia="Yu Gothic Light" w:hAnsi="Times New Roman" w:cs="Times New Roman"/>
          <w:bCs/>
          <w:kern w:val="0"/>
          <w:sz w:val="20"/>
          <w:szCs w:val="20"/>
          <w14:ligatures w14:val="none"/>
        </w:rPr>
        <w:t>p</w:t>
      </w:r>
      <w:r w:rsidR="0022023A" w:rsidRPr="00EF319B">
        <w:rPr>
          <w:rFonts w:ascii="Times New Roman" w:eastAsia="Yu Gothic Light" w:hAnsi="Times New Roman" w:cs="Times New Roman"/>
          <w:bCs/>
          <w:kern w:val="0"/>
          <w:sz w:val="20"/>
          <w:szCs w:val="20"/>
          <w14:ligatures w14:val="none"/>
        </w:rPr>
        <w:t xml:space="preserve">artial </w:t>
      </w:r>
      <w:r w:rsidR="004D7DFA" w:rsidRPr="00EF319B">
        <w:rPr>
          <w:rFonts w:ascii="Times New Roman" w:eastAsia="Yu Gothic Light" w:hAnsi="Times New Roman" w:cs="Times New Roman"/>
          <w:bCs/>
          <w:kern w:val="0"/>
          <w:sz w:val="20"/>
          <w:szCs w:val="20"/>
          <w14:ligatures w14:val="none"/>
        </w:rPr>
        <w:t>dependence</w:t>
      </w:r>
      <w:r w:rsidR="0022023A" w:rsidRPr="00EF319B">
        <w:rPr>
          <w:rFonts w:ascii="Times New Roman" w:eastAsia="Yu Gothic Light" w:hAnsi="Times New Roman" w:cs="Times New Roman"/>
          <w:bCs/>
          <w:kern w:val="0"/>
          <w:sz w:val="20"/>
          <w:szCs w:val="20"/>
          <w14:ligatures w14:val="none"/>
        </w:rPr>
        <w:t xml:space="preserve"> of adsorption % on BET surface area and pH was developed, high surface area improves adsorption % due to excess binding sites and it could be enhanced using optimal pH window. Surface charge can be changed by maximizing the pH</w:t>
      </w:r>
      <w:r w:rsidR="003D6C15" w:rsidRPr="00EF319B">
        <w:rPr>
          <w:rFonts w:ascii="Times New Roman" w:eastAsia="Yu Gothic Light" w:hAnsi="Times New Roman" w:cs="Times New Roman"/>
          <w:bCs/>
          <w:kern w:val="0"/>
          <w:sz w:val="20"/>
          <w:szCs w:val="20"/>
          <w14:ligatures w14:val="none"/>
        </w:rPr>
        <w:t>,</w:t>
      </w:r>
      <w:r w:rsidR="0022023A" w:rsidRPr="00EF319B">
        <w:rPr>
          <w:rFonts w:ascii="Times New Roman" w:eastAsia="Yu Gothic Light" w:hAnsi="Times New Roman" w:cs="Times New Roman"/>
          <w:bCs/>
          <w:kern w:val="0"/>
          <w:sz w:val="20"/>
          <w:szCs w:val="20"/>
          <w14:ligatures w14:val="none"/>
        </w:rPr>
        <w:t xml:space="preserve"> which may render ineffective high surface area </w:t>
      </w:r>
      <w:r w:rsidR="0022023A" w:rsidRPr="00EF319B">
        <w:rPr>
          <w:rFonts w:ascii="Times New Roman" w:eastAsia="Yu Gothic Light" w:hAnsi="Times New Roman" w:cs="Times New Roman"/>
          <w:bCs/>
          <w:kern w:val="0"/>
          <w:sz w:val="20"/>
          <w:szCs w:val="20"/>
          <w14:ligatures w14:val="none"/>
        </w:rPr>
        <w:fldChar w:fldCharType="begin"/>
      </w:r>
      <w:r w:rsidR="00105FA5" w:rsidRPr="00EF319B">
        <w:rPr>
          <w:rFonts w:ascii="Times New Roman" w:eastAsia="Yu Gothic Light" w:hAnsi="Times New Roman" w:cs="Times New Roman"/>
          <w:bCs/>
          <w:kern w:val="0"/>
          <w:sz w:val="20"/>
          <w:szCs w:val="20"/>
          <w14:ligatures w14:val="none"/>
        </w:rPr>
        <w:instrText xml:space="preserve"> ADDIN ZOTERO_ITEM CSL_CITATION {"citationID":"Iw8yUXIL","properties":{"formattedCitation":"[52]","plainCitation":"[52]","noteIndex":0},"citationItems":[{"id":870,"uris":["http://zotero.org/users/14115032/items/YITFCJGZ"],"itemData":{"id":870,"type":"article-journal","container-title":"Chemical Engineering Science","DOI":"10.1016/j.ces.2023.119615","ISSN":"00092509","journalAbbreviation":"Chemical Engineering Science","language":"en","page":"119615","source":"DOI.org (Crossref)","title":"Cationic and anionic dyes adsorption from wastewater by clay-chitosan composite: An integrated experimental and modeling study","title-short":"Cationic and anionic dyes adsorption from wastewater by clay-chitosan composite","volume":"285","author":[{"family":"Bellaj","given":"Mouhsine"},{"family":"Aziz","given":"Khalid"},{"family":"El Achaby","given":"Mounir"},{"family":"El Haddad","given":"Mohammadine"},{"family":"Gebrati","given":"Lhoucine"},{"family":"Kurniawan","given":"Tonni Agustiono"},{"family":"Chen","given":"Zhonghao"},{"family":"Yap","given":"Pow-Seng"},{"family":"Aziz","given":"Faissal"}],"issued":{"date-parts":[["2024",3]]}}}],"schema":"https://github.com/citation-style-language/schema/raw/master/csl-citation.json"} </w:instrText>
      </w:r>
      <w:r w:rsidR="0022023A" w:rsidRPr="00EF319B">
        <w:rPr>
          <w:rFonts w:ascii="Times New Roman" w:eastAsia="Yu Gothic Light" w:hAnsi="Times New Roman" w:cs="Times New Roman"/>
          <w:bCs/>
          <w:kern w:val="0"/>
          <w:sz w:val="20"/>
          <w:szCs w:val="20"/>
          <w14:ligatures w14:val="none"/>
        </w:rPr>
        <w:fldChar w:fldCharType="separate"/>
      </w:r>
      <w:r w:rsidR="00105FA5" w:rsidRPr="00EF319B">
        <w:rPr>
          <w:rFonts w:ascii="Times New Roman" w:hAnsi="Times New Roman" w:cs="Times New Roman"/>
          <w:sz w:val="20"/>
        </w:rPr>
        <w:t>[52]</w:t>
      </w:r>
      <w:r w:rsidR="0022023A" w:rsidRPr="00EF319B">
        <w:rPr>
          <w:rFonts w:ascii="Times New Roman" w:eastAsia="Yu Gothic Light" w:hAnsi="Times New Roman" w:cs="Times New Roman"/>
          <w:bCs/>
          <w:kern w:val="0"/>
          <w:sz w:val="20"/>
          <w:szCs w:val="20"/>
          <w14:ligatures w14:val="none"/>
        </w:rPr>
        <w:fldChar w:fldCharType="end"/>
      </w:r>
      <w:r w:rsidR="0022023A" w:rsidRPr="00EF319B">
        <w:rPr>
          <w:rFonts w:ascii="Times New Roman" w:eastAsia="Yu Gothic Light" w:hAnsi="Times New Roman" w:cs="Times New Roman"/>
          <w:bCs/>
          <w:kern w:val="0"/>
          <w:sz w:val="20"/>
          <w:szCs w:val="20"/>
          <w14:ligatures w14:val="none"/>
        </w:rPr>
        <w:t>.</w:t>
      </w:r>
    </w:p>
    <w:p w14:paraId="701B8EB9" w14:textId="2AF42F8A" w:rsidR="0022023A" w:rsidRPr="00EF319B" w:rsidRDefault="0022023A" w:rsidP="0022023A">
      <w:pPr>
        <w:jc w:val="both"/>
        <w:rPr>
          <w:rFonts w:ascii="Times New Roman" w:eastAsia="Yu Gothic Light" w:hAnsi="Times New Roman" w:cs="Times New Roman"/>
          <w:b/>
          <w:kern w:val="0"/>
          <w:sz w:val="20"/>
          <w:szCs w:val="20"/>
          <w14:ligatures w14:val="none"/>
        </w:rPr>
      </w:pPr>
      <w:r w:rsidRPr="00EF319B">
        <w:rPr>
          <w:rFonts w:ascii="Times New Roman" w:eastAsia="Yu Gothic Light" w:hAnsi="Times New Roman" w:cs="Times New Roman"/>
          <w:b/>
          <w:kern w:val="0"/>
          <w:sz w:val="20"/>
          <w:szCs w:val="20"/>
          <w14:ligatures w14:val="none"/>
        </w:rPr>
        <w:t>Sensitivity</w:t>
      </w:r>
    </w:p>
    <w:p w14:paraId="6C3F3243" w14:textId="5C09A5D5" w:rsidR="0022023A" w:rsidRPr="00EF319B" w:rsidRDefault="0022023A" w:rsidP="0022023A">
      <w:pPr>
        <w:spacing w:line="360" w:lineRule="auto"/>
        <w:jc w:val="both"/>
        <w:rPr>
          <w:rFonts w:ascii="Times New Roman" w:eastAsia="Yu Gothic Light" w:hAnsi="Times New Roman" w:cs="Times New Roman"/>
          <w:bCs/>
          <w:kern w:val="0"/>
          <w:sz w:val="20"/>
          <w:szCs w:val="20"/>
          <w14:ligatures w14:val="none"/>
        </w:rPr>
      </w:pPr>
      <w:r w:rsidRPr="00EF319B">
        <w:rPr>
          <w:rFonts w:ascii="Times New Roman" w:eastAsia="Yu Gothic Light" w:hAnsi="Times New Roman" w:cs="Times New Roman"/>
          <w:bCs/>
          <w:kern w:val="0"/>
          <w:sz w:val="20"/>
          <w:szCs w:val="20"/>
          <w14:ligatures w14:val="none"/>
        </w:rPr>
        <w:t xml:space="preserve">Sobol Global Sensitivity analyses were performed to assess the individual impact of each input feature on the adsorption capacity and kinetics Qe. </w:t>
      </w:r>
      <w:r w:rsidR="00A054C7" w:rsidRPr="00EF319B">
        <w:rPr>
          <w:rFonts w:ascii="Times New Roman" w:eastAsia="Yu Gothic Light" w:hAnsi="Times New Roman" w:cs="Times New Roman"/>
          <w:bCs/>
          <w:kern w:val="0"/>
          <w:sz w:val="20"/>
          <w:szCs w:val="20"/>
          <w14:ligatures w14:val="none"/>
        </w:rPr>
        <w:t>Using this variance-based global sensitivity technique, the disintegration of the total variance of the output features can be evaluated as the individual and relative impacts of input features on the total variance, on a</w:t>
      </w:r>
      <w:r w:rsidRPr="00EF319B">
        <w:rPr>
          <w:rFonts w:ascii="Times New Roman" w:eastAsia="Yu Gothic Light" w:hAnsi="Times New Roman" w:cs="Times New Roman"/>
          <w:bCs/>
          <w:kern w:val="0"/>
          <w:sz w:val="20"/>
          <w:szCs w:val="20"/>
          <w14:ligatures w14:val="none"/>
        </w:rPr>
        <w:t xml:space="preserve"> scale of 0 to 1. Direct influence of the input feature is the </w:t>
      </w:r>
      <w:r w:rsidR="00A054C7" w:rsidRPr="00EF319B">
        <w:rPr>
          <w:rFonts w:ascii="Times New Roman" w:eastAsia="Yu Gothic Light" w:hAnsi="Times New Roman" w:cs="Times New Roman"/>
          <w:bCs/>
          <w:kern w:val="0"/>
          <w:sz w:val="20"/>
          <w:szCs w:val="20"/>
          <w14:ligatures w14:val="none"/>
        </w:rPr>
        <w:t>first-order</w:t>
      </w:r>
      <w:r w:rsidRPr="00EF319B">
        <w:rPr>
          <w:rFonts w:ascii="Times New Roman" w:eastAsia="Yu Gothic Light" w:hAnsi="Times New Roman" w:cs="Times New Roman"/>
          <w:bCs/>
          <w:kern w:val="0"/>
          <w:sz w:val="20"/>
          <w:szCs w:val="20"/>
          <w14:ligatures w14:val="none"/>
        </w:rPr>
        <w:t xml:space="preserve"> </w:t>
      </w:r>
      <w:r w:rsidR="00A054C7" w:rsidRPr="00EF319B">
        <w:rPr>
          <w:rFonts w:ascii="Times New Roman" w:eastAsia="Yu Gothic Light" w:hAnsi="Times New Roman" w:cs="Times New Roman"/>
          <w:bCs/>
          <w:kern w:val="0"/>
          <w:sz w:val="20"/>
          <w:szCs w:val="20"/>
          <w14:ligatures w14:val="none"/>
        </w:rPr>
        <w:t>Sobol</w:t>
      </w:r>
      <w:r w:rsidRPr="00EF319B">
        <w:rPr>
          <w:rFonts w:ascii="Times New Roman" w:eastAsia="Yu Gothic Light" w:hAnsi="Times New Roman" w:cs="Times New Roman"/>
          <w:bCs/>
          <w:kern w:val="0"/>
          <w:sz w:val="20"/>
          <w:szCs w:val="20"/>
          <w14:ligatures w14:val="none"/>
        </w:rPr>
        <w:t xml:space="preserve"> index, </w:t>
      </w:r>
      <w:r w:rsidRPr="00EF319B">
        <w:rPr>
          <w:rFonts w:ascii="Times New Roman" w:eastAsia="Yu Gothic Light" w:hAnsi="Times New Roman" w:cs="Times New Roman"/>
          <w:bCs/>
          <w:kern w:val="0"/>
          <w:sz w:val="20"/>
          <w:szCs w:val="20"/>
          <w14:ligatures w14:val="none"/>
        </w:rPr>
        <w:lastRenderedPageBreak/>
        <w:t xml:space="preserve">whereas the total order </w:t>
      </w:r>
      <w:r w:rsidR="00A054C7" w:rsidRPr="00EF319B">
        <w:rPr>
          <w:rFonts w:ascii="Times New Roman" w:eastAsia="Yu Gothic Light" w:hAnsi="Times New Roman" w:cs="Times New Roman"/>
          <w:bCs/>
          <w:kern w:val="0"/>
          <w:sz w:val="20"/>
          <w:szCs w:val="20"/>
          <w14:ligatures w14:val="none"/>
        </w:rPr>
        <w:t>refers</w:t>
      </w:r>
      <w:r w:rsidRPr="00EF319B">
        <w:rPr>
          <w:rFonts w:ascii="Times New Roman" w:eastAsia="Yu Gothic Light" w:hAnsi="Times New Roman" w:cs="Times New Roman"/>
          <w:bCs/>
          <w:kern w:val="0"/>
          <w:sz w:val="20"/>
          <w:szCs w:val="20"/>
          <w14:ligatures w14:val="none"/>
        </w:rPr>
        <w:t xml:space="preserve"> to the </w:t>
      </w:r>
      <w:r w:rsidR="00A054C7" w:rsidRPr="00EF319B">
        <w:rPr>
          <w:rFonts w:ascii="Times New Roman" w:eastAsia="Yu Gothic Light" w:hAnsi="Times New Roman" w:cs="Times New Roman"/>
          <w:bCs/>
          <w:kern w:val="0"/>
          <w:sz w:val="20"/>
          <w:szCs w:val="20"/>
          <w14:ligatures w14:val="none"/>
        </w:rPr>
        <w:t>interaction-based</w:t>
      </w:r>
      <w:r w:rsidRPr="00EF319B">
        <w:rPr>
          <w:rFonts w:ascii="Times New Roman" w:eastAsia="Yu Gothic Light" w:hAnsi="Times New Roman" w:cs="Times New Roman"/>
          <w:bCs/>
          <w:kern w:val="0"/>
          <w:sz w:val="20"/>
          <w:szCs w:val="20"/>
          <w14:ligatures w14:val="none"/>
        </w:rPr>
        <w:t xml:space="preserve"> </w:t>
      </w:r>
      <w:r w:rsidR="00A054C7" w:rsidRPr="00EF319B">
        <w:rPr>
          <w:rFonts w:ascii="Times New Roman" w:eastAsia="Yu Gothic Light" w:hAnsi="Times New Roman" w:cs="Times New Roman"/>
          <w:bCs/>
          <w:kern w:val="0"/>
          <w:sz w:val="20"/>
          <w:szCs w:val="20"/>
          <w14:ligatures w14:val="none"/>
        </w:rPr>
        <w:t>influence</w:t>
      </w:r>
      <w:r w:rsidRPr="00EF319B">
        <w:rPr>
          <w:rFonts w:ascii="Times New Roman" w:eastAsia="Yu Gothic Light" w:hAnsi="Times New Roman" w:cs="Times New Roman"/>
          <w:bCs/>
          <w:kern w:val="0"/>
          <w:sz w:val="20"/>
          <w:szCs w:val="20"/>
          <w14:ligatures w14:val="none"/>
        </w:rPr>
        <w:t xml:space="preserve"> of the input features on the total variance of the Output </w:t>
      </w:r>
      <w:r w:rsidRPr="00EF319B">
        <w:rPr>
          <w:rFonts w:ascii="Times New Roman" w:eastAsia="Yu Gothic Light" w:hAnsi="Times New Roman" w:cs="Times New Roman"/>
          <w:bCs/>
          <w:kern w:val="0"/>
          <w:sz w:val="20"/>
          <w:szCs w:val="20"/>
          <w14:ligatures w14:val="none"/>
        </w:rPr>
        <w:fldChar w:fldCharType="begin"/>
      </w:r>
      <w:r w:rsidR="00105FA5" w:rsidRPr="00EF319B">
        <w:rPr>
          <w:rFonts w:ascii="Times New Roman" w:eastAsia="Yu Gothic Light" w:hAnsi="Times New Roman" w:cs="Times New Roman"/>
          <w:bCs/>
          <w:kern w:val="0"/>
          <w:sz w:val="20"/>
          <w:szCs w:val="20"/>
          <w14:ligatures w14:val="none"/>
        </w:rPr>
        <w:instrText xml:space="preserve"> ADDIN ZOTERO_ITEM CSL_CITATION {"citationID":"TbEIfYqI","properties":{"formattedCitation":"[53]","plainCitation":"[53]","noteIndex":0},"citationItems":[{"id":871,"uris":["http://zotero.org/users/14115032/items/U42X7BJ2"],"itemData":{"id":871,"type":"article-journal","container-title":"Expert Systems with Applications","DOI":"10.1016/j.eswa.2021.115691","ISSN":"09574174","journalAbbreviation":"Expert Systems with Applications","language":"en","page":"115691","source":"DOI.org (Crossref)","title":"Handling the impact of feature uncertainties on SVM: A robust approach based on Sobol sensitivity analysis","title-short":"Handling the impact of feature uncertainties on SVM","volume":"189","author":[{"family":"Zouhri","given":"Wahb"},{"family":"Homri","given":"Lazhar"},{"family":"Dantan","given":"Jean-Yves"}],"issued":{"date-parts":[["2022",3]]}}}],"schema":"https://github.com/citation-style-language/schema/raw/master/csl-citation.json"} </w:instrText>
      </w:r>
      <w:r w:rsidRPr="00EF319B">
        <w:rPr>
          <w:rFonts w:ascii="Times New Roman" w:eastAsia="Yu Gothic Light" w:hAnsi="Times New Roman" w:cs="Times New Roman"/>
          <w:bCs/>
          <w:kern w:val="0"/>
          <w:sz w:val="20"/>
          <w:szCs w:val="20"/>
          <w14:ligatures w14:val="none"/>
        </w:rPr>
        <w:fldChar w:fldCharType="separate"/>
      </w:r>
      <w:r w:rsidR="00105FA5" w:rsidRPr="00EF319B">
        <w:rPr>
          <w:rFonts w:ascii="Times New Roman" w:hAnsi="Times New Roman" w:cs="Times New Roman"/>
          <w:sz w:val="20"/>
        </w:rPr>
        <w:t>[53]</w:t>
      </w:r>
      <w:r w:rsidRPr="00EF319B">
        <w:rPr>
          <w:rFonts w:ascii="Times New Roman" w:eastAsia="Yu Gothic Light" w:hAnsi="Times New Roman" w:cs="Times New Roman"/>
          <w:bCs/>
          <w:kern w:val="0"/>
          <w:sz w:val="20"/>
          <w:szCs w:val="20"/>
          <w14:ligatures w14:val="none"/>
        </w:rPr>
        <w:fldChar w:fldCharType="end"/>
      </w:r>
      <w:r w:rsidRPr="00EF319B">
        <w:rPr>
          <w:rFonts w:ascii="Times New Roman" w:eastAsia="Yu Gothic Light" w:hAnsi="Times New Roman" w:cs="Times New Roman"/>
          <w:bCs/>
          <w:kern w:val="0"/>
          <w:sz w:val="20"/>
          <w:szCs w:val="20"/>
          <w14:ligatures w14:val="none"/>
        </w:rPr>
        <w:t>.</w:t>
      </w:r>
    </w:p>
    <w:p w14:paraId="4F781346" w14:textId="11CF6F2B" w:rsidR="0022023A" w:rsidRPr="00EF319B" w:rsidRDefault="0022023A" w:rsidP="0022023A">
      <w:pPr>
        <w:spacing w:line="360" w:lineRule="auto"/>
        <w:jc w:val="both"/>
        <w:rPr>
          <w:rFonts w:ascii="Times New Roman" w:eastAsia="Yu Gothic Light" w:hAnsi="Times New Roman" w:cs="Times New Roman"/>
          <w:bCs/>
          <w:kern w:val="0"/>
          <w:sz w:val="20"/>
          <w:szCs w:val="20"/>
          <w14:ligatures w14:val="none"/>
        </w:rPr>
      </w:pPr>
      <w:r w:rsidRPr="00EF319B">
        <w:rPr>
          <w:rFonts w:ascii="Times New Roman" w:eastAsia="Yu Gothic Light" w:hAnsi="Times New Roman" w:cs="Times New Roman"/>
          <w:bCs/>
          <w:kern w:val="0"/>
          <w:sz w:val="20"/>
          <w:szCs w:val="20"/>
          <w14:ligatures w14:val="none"/>
        </w:rPr>
        <w:t xml:space="preserve">Sensitivity patterns of all the input features with individual and relative </w:t>
      </w:r>
      <w:r w:rsidR="00A054C7" w:rsidRPr="00EF319B">
        <w:rPr>
          <w:rFonts w:ascii="Times New Roman" w:eastAsia="Yu Gothic Light" w:hAnsi="Times New Roman" w:cs="Times New Roman"/>
          <w:bCs/>
          <w:kern w:val="0"/>
          <w:sz w:val="20"/>
          <w:szCs w:val="20"/>
          <w14:ligatures w14:val="none"/>
        </w:rPr>
        <w:t>Sobol index are shown in Figure</w:t>
      </w:r>
      <w:r w:rsidRPr="00EF319B">
        <w:rPr>
          <w:rFonts w:ascii="Times New Roman" w:eastAsia="Yu Gothic Light" w:hAnsi="Times New Roman" w:cs="Times New Roman"/>
          <w:bCs/>
          <w:kern w:val="0"/>
          <w:sz w:val="20"/>
          <w:szCs w:val="20"/>
          <w14:ligatures w14:val="none"/>
        </w:rPr>
        <w:t xml:space="preserve"> 7 (a </w:t>
      </w:r>
      <w:r w:rsidR="003D6C15" w:rsidRPr="00EF319B">
        <w:rPr>
          <w:rFonts w:ascii="Times New Roman" w:eastAsia="Yu Gothic Light" w:hAnsi="Times New Roman" w:cs="Times New Roman"/>
          <w:bCs/>
          <w:kern w:val="0"/>
          <w:sz w:val="20"/>
          <w:szCs w:val="20"/>
          <w14:ligatures w14:val="none"/>
        </w:rPr>
        <w:t>-b</w:t>
      </w:r>
      <w:r w:rsidRPr="00EF319B">
        <w:rPr>
          <w:rFonts w:ascii="Times New Roman" w:eastAsia="Yu Gothic Light" w:hAnsi="Times New Roman" w:cs="Times New Roman"/>
          <w:bCs/>
          <w:kern w:val="0"/>
          <w:sz w:val="20"/>
          <w:szCs w:val="20"/>
          <w14:ligatures w14:val="none"/>
        </w:rPr>
        <w:t xml:space="preserve">) for adsorption capacity and Kinetics Qe. Initial Concentration is the dominant </w:t>
      </w:r>
      <w:r w:rsidR="00A054C7" w:rsidRPr="00EF319B">
        <w:rPr>
          <w:rFonts w:ascii="Times New Roman" w:eastAsia="Yu Gothic Light" w:hAnsi="Times New Roman" w:cs="Times New Roman"/>
          <w:bCs/>
          <w:kern w:val="0"/>
          <w:sz w:val="20"/>
          <w:szCs w:val="20"/>
          <w14:ligatures w14:val="none"/>
        </w:rPr>
        <w:t>first-order</w:t>
      </w:r>
      <w:r w:rsidRPr="00EF319B">
        <w:rPr>
          <w:rFonts w:ascii="Times New Roman" w:eastAsia="Yu Gothic Light" w:hAnsi="Times New Roman" w:cs="Times New Roman"/>
          <w:bCs/>
          <w:kern w:val="0"/>
          <w:sz w:val="20"/>
          <w:szCs w:val="20"/>
          <w14:ligatures w14:val="none"/>
        </w:rPr>
        <w:t xml:space="preserve"> feature for both adsorption capacity </w:t>
      </w:r>
      <w:r w:rsidR="003121A9" w:rsidRPr="00EF319B">
        <w:rPr>
          <w:rFonts w:ascii="Times New Roman" w:eastAsia="Yu Gothic Light" w:hAnsi="Times New Roman" w:cs="Times New Roman"/>
          <w:bCs/>
          <w:kern w:val="0"/>
          <w:sz w:val="20"/>
          <w:szCs w:val="20"/>
          <w14:ligatures w14:val="none"/>
        </w:rPr>
        <w:t xml:space="preserve">(Qe) and kinetics, suggesting that the availability of active sites, driven by the concentration gradient, controls </w:t>
      </w:r>
      <w:r w:rsidRPr="00EF319B">
        <w:rPr>
          <w:rFonts w:ascii="Times New Roman" w:eastAsia="Yu Gothic Light" w:hAnsi="Times New Roman" w:cs="Times New Roman"/>
          <w:bCs/>
          <w:kern w:val="0"/>
          <w:sz w:val="20"/>
          <w:szCs w:val="20"/>
          <w14:ligatures w14:val="none"/>
        </w:rPr>
        <w:t>adsorption efficiency independently. While the other input features show low first order compared to initial concentration, their total order reaches unity</w:t>
      </w:r>
      <w:r w:rsidR="00A054C7" w:rsidRPr="00EF319B">
        <w:rPr>
          <w:rFonts w:ascii="Times New Roman" w:eastAsia="Yu Gothic Light" w:hAnsi="Times New Roman" w:cs="Times New Roman"/>
          <w:bCs/>
          <w:kern w:val="0"/>
          <w:sz w:val="20"/>
          <w:szCs w:val="20"/>
          <w14:ligatures w14:val="none"/>
        </w:rPr>
        <w:t>,</w:t>
      </w:r>
      <w:r w:rsidRPr="00EF319B">
        <w:rPr>
          <w:rFonts w:ascii="Times New Roman" w:eastAsia="Yu Gothic Light" w:hAnsi="Times New Roman" w:cs="Times New Roman"/>
          <w:bCs/>
          <w:kern w:val="0"/>
          <w:sz w:val="20"/>
          <w:szCs w:val="20"/>
          <w14:ligatures w14:val="none"/>
        </w:rPr>
        <w:t xml:space="preserve"> indicating that their interaction with the other features strengthens their influence </w:t>
      </w:r>
      <w:r w:rsidRPr="00EF319B">
        <w:rPr>
          <w:rFonts w:ascii="Times New Roman" w:eastAsia="Yu Gothic Light" w:hAnsi="Times New Roman" w:cs="Times New Roman"/>
          <w:bCs/>
          <w:kern w:val="0"/>
          <w:sz w:val="20"/>
          <w:szCs w:val="20"/>
          <w14:ligatures w14:val="none"/>
        </w:rPr>
        <w:fldChar w:fldCharType="begin"/>
      </w:r>
      <w:r w:rsidR="00105FA5" w:rsidRPr="00EF319B">
        <w:rPr>
          <w:rFonts w:ascii="Times New Roman" w:eastAsia="Yu Gothic Light" w:hAnsi="Times New Roman" w:cs="Times New Roman"/>
          <w:bCs/>
          <w:kern w:val="0"/>
          <w:sz w:val="20"/>
          <w:szCs w:val="20"/>
          <w14:ligatures w14:val="none"/>
        </w:rPr>
        <w:instrText xml:space="preserve"> ADDIN ZOTERO_ITEM CSL_CITATION {"citationID":"Q11rAM12","properties":{"formattedCitation":"[54]","plainCitation":"[54]","noteIndex":0},"citationItems":[{"id":872,"uris":["http://zotero.org/users/14115032/items/W2VS32MQ"],"itemData":{"id":872,"type":"article-journal","container-title":"Journal of Environmental Chemical Engineering","DOI":"10.1016/j.jece.2023.110064","ISSN":"22133437","issue":"3","journalAbbreviation":"Journal of Environmental Chemical Engineering","language":"en","page":"110064","source":"DOI.org (Crossref)","title":"Bifunctional photocatalytic nanofiltration membranes with immobilized BaTiO3/Ti3C2T catalysts for the simultaneous separation and degradation of azo compounds","volume":"11","author":[{"family":"Zheng","given":"Huiqi"},{"family":"Meng","given":"Xiaorong"},{"family":"Yang","given":"Yingzi"},{"family":"Chen","given":"Jin"},{"family":"Huo","given":"Shanshan"}],"issued":{"date-parts":[["2023",6]]}}}],"schema":"https://github.com/citation-style-language/schema/raw/master/csl-citation.json"} </w:instrText>
      </w:r>
      <w:r w:rsidRPr="00EF319B">
        <w:rPr>
          <w:rFonts w:ascii="Times New Roman" w:eastAsia="Yu Gothic Light" w:hAnsi="Times New Roman" w:cs="Times New Roman"/>
          <w:bCs/>
          <w:kern w:val="0"/>
          <w:sz w:val="20"/>
          <w:szCs w:val="20"/>
          <w14:ligatures w14:val="none"/>
        </w:rPr>
        <w:fldChar w:fldCharType="separate"/>
      </w:r>
      <w:r w:rsidR="00105FA5" w:rsidRPr="00EF319B">
        <w:rPr>
          <w:rFonts w:ascii="Times New Roman" w:hAnsi="Times New Roman" w:cs="Times New Roman"/>
          <w:sz w:val="20"/>
        </w:rPr>
        <w:t>[54]</w:t>
      </w:r>
      <w:r w:rsidRPr="00EF319B">
        <w:rPr>
          <w:rFonts w:ascii="Times New Roman" w:eastAsia="Yu Gothic Light" w:hAnsi="Times New Roman" w:cs="Times New Roman"/>
          <w:bCs/>
          <w:kern w:val="0"/>
          <w:sz w:val="20"/>
          <w:szCs w:val="20"/>
          <w14:ligatures w14:val="none"/>
        </w:rPr>
        <w:fldChar w:fldCharType="end"/>
      </w:r>
      <w:r w:rsidRPr="00EF319B">
        <w:rPr>
          <w:rFonts w:ascii="Times New Roman" w:eastAsia="Yu Gothic Light" w:hAnsi="Times New Roman" w:cs="Times New Roman"/>
          <w:bCs/>
          <w:kern w:val="0"/>
          <w:sz w:val="20"/>
          <w:szCs w:val="20"/>
          <w14:ligatures w14:val="none"/>
        </w:rPr>
        <w:t xml:space="preserve">. </w:t>
      </w:r>
    </w:p>
    <w:p w14:paraId="4C8843AA" w14:textId="2BCF5D98" w:rsidR="0022023A" w:rsidRPr="00EF319B" w:rsidRDefault="0022023A" w:rsidP="0022023A">
      <w:pPr>
        <w:spacing w:line="360" w:lineRule="auto"/>
        <w:jc w:val="both"/>
        <w:rPr>
          <w:rFonts w:ascii="Times New Roman" w:eastAsia="Yu Gothic Light" w:hAnsi="Times New Roman" w:cs="Times New Roman"/>
          <w:bCs/>
          <w:kern w:val="0"/>
          <w:sz w:val="20"/>
          <w:szCs w:val="20"/>
          <w14:ligatures w14:val="none"/>
        </w:rPr>
      </w:pPr>
      <w:r w:rsidRPr="00EF319B">
        <w:rPr>
          <w:rFonts w:ascii="Times New Roman" w:eastAsia="Yu Gothic Light" w:hAnsi="Times New Roman" w:cs="Times New Roman"/>
          <w:bCs/>
          <w:kern w:val="0"/>
          <w:sz w:val="20"/>
          <w:szCs w:val="20"/>
          <w14:ligatures w14:val="none"/>
        </w:rPr>
        <w:t xml:space="preserve">Model outputs are further tested for </w:t>
      </w:r>
      <w:r w:rsidR="003121A9" w:rsidRPr="00EF319B">
        <w:rPr>
          <w:rFonts w:ascii="Times New Roman" w:eastAsia="Yu Gothic Light" w:hAnsi="Times New Roman" w:cs="Times New Roman"/>
          <w:bCs/>
          <w:kern w:val="0"/>
          <w:sz w:val="20"/>
          <w:szCs w:val="20"/>
          <w14:ligatures w14:val="none"/>
        </w:rPr>
        <w:t>reliability and variability using kernel density estimates (KDEs) of adsorption capacity</w:t>
      </w:r>
      <w:r w:rsidR="00385252" w:rsidRPr="00EF319B">
        <w:rPr>
          <w:rFonts w:ascii="Times New Roman" w:eastAsia="Yu Gothic Light" w:hAnsi="Times New Roman" w:cs="Times New Roman"/>
          <w:bCs/>
          <w:kern w:val="0"/>
          <w:sz w:val="20"/>
          <w:szCs w:val="20"/>
          <w14:ligatures w14:val="none"/>
        </w:rPr>
        <w:t xml:space="preserve"> and kinetics</w:t>
      </w:r>
      <w:r w:rsidRPr="00EF319B">
        <w:rPr>
          <w:rFonts w:ascii="Times New Roman" w:eastAsia="Yu Gothic Light" w:hAnsi="Times New Roman" w:cs="Times New Roman"/>
          <w:bCs/>
          <w:kern w:val="0"/>
          <w:sz w:val="20"/>
          <w:szCs w:val="20"/>
          <w14:ligatures w14:val="none"/>
        </w:rPr>
        <w:t xml:space="preserve">. These KDEs are developed </w:t>
      </w:r>
      <w:r w:rsidR="00385252" w:rsidRPr="00EF319B">
        <w:rPr>
          <w:rFonts w:ascii="Times New Roman" w:eastAsia="Yu Gothic Light" w:hAnsi="Times New Roman" w:cs="Times New Roman"/>
          <w:bCs/>
          <w:kern w:val="0"/>
          <w:sz w:val="20"/>
          <w:szCs w:val="20"/>
          <w14:ligatures w14:val="none"/>
        </w:rPr>
        <w:t>based on separation methods (batch and sonication)</w:t>
      </w:r>
      <w:r w:rsidRPr="00EF319B">
        <w:rPr>
          <w:rFonts w:ascii="Times New Roman" w:eastAsia="Yu Gothic Light" w:hAnsi="Times New Roman" w:cs="Times New Roman"/>
          <w:bCs/>
          <w:kern w:val="0"/>
          <w:sz w:val="20"/>
          <w:szCs w:val="20"/>
          <w14:ligatures w14:val="none"/>
        </w:rPr>
        <w:t xml:space="preserve"> and </w:t>
      </w:r>
      <w:r w:rsidR="003121A9" w:rsidRPr="00EF319B">
        <w:rPr>
          <w:rFonts w:ascii="Times New Roman" w:eastAsia="Yu Gothic Light" w:hAnsi="Times New Roman" w:cs="Times New Roman"/>
          <w:bCs/>
          <w:kern w:val="0"/>
          <w:sz w:val="20"/>
          <w:szCs w:val="20"/>
          <w14:ligatures w14:val="none"/>
        </w:rPr>
        <w:t xml:space="preserve">the </w:t>
      </w:r>
      <w:r w:rsidRPr="00EF319B">
        <w:rPr>
          <w:rFonts w:ascii="Times New Roman" w:eastAsia="Yu Gothic Light" w:hAnsi="Times New Roman" w:cs="Times New Roman"/>
          <w:bCs/>
          <w:kern w:val="0"/>
          <w:sz w:val="20"/>
          <w:szCs w:val="20"/>
          <w14:ligatures w14:val="none"/>
        </w:rPr>
        <w:t xml:space="preserve">type of pollutant removed. While the pollutant </w:t>
      </w:r>
      <w:r w:rsidR="003121A9" w:rsidRPr="00EF319B">
        <w:rPr>
          <w:rFonts w:ascii="Times New Roman" w:eastAsia="Yu Gothic Light" w:hAnsi="Times New Roman" w:cs="Times New Roman"/>
          <w:bCs/>
          <w:kern w:val="0"/>
          <w:sz w:val="20"/>
          <w:szCs w:val="20"/>
          <w14:ligatures w14:val="none"/>
        </w:rPr>
        <w:t>distinctly affects the distribution of adsorption capacity and kinetics (Qe), the model depends on the type of pollutant being removed (Fig</w:t>
      </w:r>
      <w:r w:rsidR="00A05F90" w:rsidRPr="00EF319B">
        <w:rPr>
          <w:rFonts w:ascii="Times New Roman" w:eastAsia="Yu Gothic Light" w:hAnsi="Times New Roman" w:cs="Times New Roman"/>
          <w:bCs/>
          <w:kern w:val="0"/>
          <w:sz w:val="20"/>
          <w:szCs w:val="20"/>
          <w14:ligatures w14:val="none"/>
        </w:rPr>
        <w:t>ure</w:t>
      </w:r>
      <w:r w:rsidRPr="00EF319B">
        <w:rPr>
          <w:rFonts w:ascii="Times New Roman" w:eastAsia="Yu Gothic Light" w:hAnsi="Times New Roman" w:cs="Times New Roman"/>
          <w:bCs/>
          <w:kern w:val="0"/>
          <w:sz w:val="20"/>
          <w:szCs w:val="20"/>
          <w14:ligatures w14:val="none"/>
        </w:rPr>
        <w:t xml:space="preserve"> </w:t>
      </w:r>
      <w:r w:rsidR="00A05F90" w:rsidRPr="00EF319B">
        <w:rPr>
          <w:rFonts w:ascii="Times New Roman" w:eastAsia="Yu Gothic Light" w:hAnsi="Times New Roman" w:cs="Times New Roman"/>
          <w:bCs/>
          <w:kern w:val="0"/>
          <w:sz w:val="20"/>
          <w:szCs w:val="20"/>
          <w14:ligatures w14:val="none"/>
        </w:rPr>
        <w:t>S4</w:t>
      </w:r>
      <w:r w:rsidR="00BB15E5" w:rsidRPr="00EF319B">
        <w:rPr>
          <w:rFonts w:ascii="Times New Roman" w:eastAsia="Yu Gothic Light" w:hAnsi="Times New Roman" w:cs="Times New Roman"/>
          <w:bCs/>
          <w:kern w:val="0"/>
          <w:sz w:val="20"/>
          <w:szCs w:val="20"/>
          <w14:ligatures w14:val="none"/>
        </w:rPr>
        <w:t>a</w:t>
      </w:r>
      <w:r w:rsidR="00A05F90" w:rsidRPr="00EF319B">
        <w:rPr>
          <w:rFonts w:ascii="Times New Roman" w:eastAsia="Yu Gothic Light" w:hAnsi="Times New Roman" w:cs="Times New Roman"/>
          <w:bCs/>
          <w:kern w:val="0"/>
          <w:sz w:val="20"/>
          <w:szCs w:val="20"/>
          <w14:ligatures w14:val="none"/>
        </w:rPr>
        <w:t>)</w:t>
      </w:r>
      <w:r w:rsidRPr="00EF319B">
        <w:rPr>
          <w:rFonts w:ascii="Times New Roman" w:eastAsia="Yu Gothic Light" w:hAnsi="Times New Roman" w:cs="Times New Roman"/>
          <w:bCs/>
          <w:kern w:val="0"/>
          <w:sz w:val="20"/>
          <w:szCs w:val="20"/>
          <w14:ligatures w14:val="none"/>
        </w:rPr>
        <w:t xml:space="preserve">. Adsorption capacity and Kinetics distribution became narrower and higher for </w:t>
      </w:r>
      <w:r w:rsidR="003121A9" w:rsidRPr="00EF319B">
        <w:rPr>
          <w:rFonts w:ascii="Times New Roman" w:eastAsia="Yu Gothic Light" w:hAnsi="Times New Roman" w:cs="Times New Roman"/>
          <w:bCs/>
          <w:kern w:val="0"/>
          <w:sz w:val="20"/>
          <w:szCs w:val="20"/>
          <w14:ligatures w14:val="none"/>
        </w:rPr>
        <w:t xml:space="preserve">the </w:t>
      </w:r>
      <w:r w:rsidRPr="00EF319B">
        <w:rPr>
          <w:rFonts w:ascii="Times New Roman" w:eastAsia="Yu Gothic Light" w:hAnsi="Times New Roman" w:cs="Times New Roman"/>
          <w:bCs/>
          <w:kern w:val="0"/>
          <w:sz w:val="20"/>
          <w:szCs w:val="20"/>
          <w14:ligatures w14:val="none"/>
        </w:rPr>
        <w:t>sonication method</w:t>
      </w:r>
      <w:r w:rsidR="003121A9" w:rsidRPr="00EF319B">
        <w:rPr>
          <w:rFonts w:ascii="Times New Roman" w:eastAsia="Yu Gothic Light" w:hAnsi="Times New Roman" w:cs="Times New Roman"/>
          <w:bCs/>
          <w:kern w:val="0"/>
          <w:sz w:val="20"/>
          <w:szCs w:val="20"/>
          <w14:ligatures w14:val="none"/>
        </w:rPr>
        <w:t>,</w:t>
      </w:r>
      <w:r w:rsidRPr="00EF319B">
        <w:rPr>
          <w:rFonts w:ascii="Times New Roman" w:eastAsia="Yu Gothic Light" w:hAnsi="Times New Roman" w:cs="Times New Roman"/>
          <w:bCs/>
          <w:kern w:val="0"/>
          <w:sz w:val="20"/>
          <w:szCs w:val="20"/>
          <w14:ligatures w14:val="none"/>
        </w:rPr>
        <w:t xml:space="preserve"> predicting model performance being more concise compared to </w:t>
      </w:r>
      <w:r w:rsidR="003121A9" w:rsidRPr="00EF319B">
        <w:rPr>
          <w:rFonts w:ascii="Times New Roman" w:eastAsia="Yu Gothic Light" w:hAnsi="Times New Roman" w:cs="Times New Roman"/>
          <w:bCs/>
          <w:kern w:val="0"/>
          <w:sz w:val="20"/>
          <w:szCs w:val="20"/>
          <w14:ligatures w14:val="none"/>
        </w:rPr>
        <w:t xml:space="preserve">the </w:t>
      </w:r>
      <w:r w:rsidRPr="00EF319B">
        <w:rPr>
          <w:rFonts w:ascii="Times New Roman" w:eastAsia="Yu Gothic Light" w:hAnsi="Times New Roman" w:cs="Times New Roman"/>
          <w:bCs/>
          <w:kern w:val="0"/>
          <w:sz w:val="20"/>
          <w:szCs w:val="20"/>
          <w14:ligatures w14:val="none"/>
        </w:rPr>
        <w:t xml:space="preserve">batch method </w:t>
      </w:r>
      <w:r w:rsidR="00A05F90" w:rsidRPr="00EF319B">
        <w:rPr>
          <w:rFonts w:ascii="Times New Roman" w:eastAsia="Yu Gothic Light" w:hAnsi="Times New Roman" w:cs="Times New Roman"/>
          <w:bCs/>
          <w:kern w:val="0"/>
          <w:sz w:val="20"/>
          <w:szCs w:val="20"/>
          <w14:ligatures w14:val="none"/>
        </w:rPr>
        <w:t>(</w:t>
      </w:r>
      <w:r w:rsidRPr="00EF319B">
        <w:rPr>
          <w:rFonts w:ascii="Times New Roman" w:eastAsia="Yu Gothic Light" w:hAnsi="Times New Roman" w:cs="Times New Roman"/>
          <w:bCs/>
          <w:kern w:val="0"/>
          <w:sz w:val="20"/>
          <w:szCs w:val="20"/>
          <w14:ligatures w14:val="none"/>
        </w:rPr>
        <w:t>Fig</w:t>
      </w:r>
      <w:r w:rsidR="00FB5178" w:rsidRPr="00EF319B">
        <w:rPr>
          <w:rFonts w:ascii="Times New Roman" w:eastAsia="Yu Gothic Light" w:hAnsi="Times New Roman" w:cs="Times New Roman"/>
          <w:bCs/>
          <w:kern w:val="0"/>
          <w:sz w:val="20"/>
          <w:szCs w:val="20"/>
          <w14:ligatures w14:val="none"/>
        </w:rPr>
        <w:t>ure</w:t>
      </w:r>
      <w:r w:rsidRPr="00EF319B">
        <w:rPr>
          <w:rFonts w:ascii="Times New Roman" w:eastAsia="Yu Gothic Light" w:hAnsi="Times New Roman" w:cs="Times New Roman"/>
          <w:bCs/>
          <w:kern w:val="0"/>
          <w:sz w:val="20"/>
          <w:szCs w:val="20"/>
          <w14:ligatures w14:val="none"/>
        </w:rPr>
        <w:t xml:space="preserve"> </w:t>
      </w:r>
      <w:r w:rsidR="00FB5178" w:rsidRPr="00EF319B">
        <w:rPr>
          <w:rFonts w:ascii="Times New Roman" w:eastAsia="Yu Gothic Light" w:hAnsi="Times New Roman" w:cs="Times New Roman"/>
          <w:bCs/>
          <w:kern w:val="0"/>
          <w:sz w:val="20"/>
          <w:szCs w:val="20"/>
          <w14:ligatures w14:val="none"/>
        </w:rPr>
        <w:t>S4</w:t>
      </w:r>
      <w:r w:rsidR="00BB15E5" w:rsidRPr="00EF319B">
        <w:rPr>
          <w:rFonts w:ascii="Times New Roman" w:eastAsia="Yu Gothic Light" w:hAnsi="Times New Roman" w:cs="Times New Roman"/>
          <w:bCs/>
          <w:kern w:val="0"/>
          <w:sz w:val="20"/>
          <w:szCs w:val="20"/>
          <w14:ligatures w14:val="none"/>
        </w:rPr>
        <w:t>a</w:t>
      </w:r>
      <w:r w:rsidR="00A05F90" w:rsidRPr="00EF319B">
        <w:rPr>
          <w:rFonts w:ascii="Times New Roman" w:eastAsia="Yu Gothic Light" w:hAnsi="Times New Roman" w:cs="Times New Roman"/>
          <w:bCs/>
          <w:kern w:val="0"/>
          <w:sz w:val="20"/>
          <w:szCs w:val="20"/>
          <w14:ligatures w14:val="none"/>
        </w:rPr>
        <w:t>)</w:t>
      </w:r>
      <w:r w:rsidRPr="00EF319B">
        <w:rPr>
          <w:rFonts w:ascii="Times New Roman" w:eastAsia="Yu Gothic Light" w:hAnsi="Times New Roman" w:cs="Times New Roman"/>
          <w:bCs/>
          <w:kern w:val="0"/>
          <w:sz w:val="20"/>
          <w:szCs w:val="20"/>
          <w14:ligatures w14:val="none"/>
        </w:rPr>
        <w:t xml:space="preserve"> </w:t>
      </w:r>
      <w:r w:rsidRPr="00EF319B">
        <w:rPr>
          <w:rFonts w:ascii="Times New Roman" w:eastAsia="Yu Gothic Light" w:hAnsi="Times New Roman" w:cs="Times New Roman"/>
          <w:bCs/>
          <w:kern w:val="0"/>
          <w:sz w:val="20"/>
          <w:szCs w:val="20"/>
          <w14:ligatures w14:val="none"/>
        </w:rPr>
        <w:fldChar w:fldCharType="begin"/>
      </w:r>
      <w:r w:rsidR="00105FA5" w:rsidRPr="00EF319B">
        <w:rPr>
          <w:rFonts w:ascii="Times New Roman" w:eastAsia="Yu Gothic Light" w:hAnsi="Times New Roman" w:cs="Times New Roman"/>
          <w:bCs/>
          <w:kern w:val="0"/>
          <w:sz w:val="20"/>
          <w:szCs w:val="20"/>
          <w14:ligatures w14:val="none"/>
        </w:rPr>
        <w:instrText xml:space="preserve"> ADDIN ZOTERO_ITEM CSL_CITATION {"citationID":"xUVwLcGi","properties":{"formattedCitation":"[55]","plainCitation":"[55]","noteIndex":0},"citationItems":[{"id":873,"uris":["http://zotero.org/users/14115032/items/IW229CP4"],"itemData":{"id":873,"type":"article-journal","abstract":"Abstract\n            \n              Persistent free radicals (PFRs) are emerging substances with diverse impacts in biochar applications, necessitating accurate prediction of their content and types prior to their optimal use and minimal adverse effects. This prediction task is challenging due to the nonlinearity and intricate variable relationships of biochar. Herein, we employed data-driven techniques to compile a dataset from peer-reviewed publications, aiming to systematically predict the PFRs by developing supervised machine learning models. Notably, extreme gradient boosting (XGBoost) model exhibited the best predictive performance for both regression and classification tasks in predicting the PFRs, achieving a test R\n              2\n              value of 0.95 for PFR content prediction, along with an Area Under the Receiver Operating Curve (AUROC) of 0.92 for PFR type prediction, respectively. Based on XGBoost model, a graphical user interface (GUI) was developed to access PFRs predictions. Analysis of feature importance revealed that the biochar properties, such as metal/non-metal doping, pyrolysis temperature, carbon content, and specific surface area were identified as the four most significant factors influencing PFRs contents. Regarding the types of PFRs in biochar, specific surface area, pyrolysis temperature, carbon content, and feedstock were top-ranked influencing factors. These findings provide valuable guidance for accurately predicting both the contents and types of PFRs in biochar, and also hold significant potential for highly efficient utilization of biochar across various applications.\n            \n            \n              Graphical Abstract","container-title":"Carbon Research","DOI":"10.1007/s44246-024-00125-0","ISSN":"2731-6696","issue":"1","journalAbbreviation":"Carbon Res.","language":"en","page":"39","source":"DOI.org (Crossref)","title":"Machine learning for persistent free radicals in biochar: dual prediction of contents and types using regression and classification models","title-short":"Machine learning for persistent free radicals in biochar","volume":"3","author":[{"family":"Latif","given":"Junaid"},{"family":"Chen","given":"Na"},{"family":"Saleem","given":"Azka"},{"family":"Li","given":"Kai"},{"family":"Qin","given":"Jianjun"},{"family":"Yang","given":"Huiqiang"},{"family":"Jia","given":"Hanzhong"}],"issued":{"date-parts":[["2024",4,22]]}}}],"schema":"https://github.com/citation-style-language/schema/raw/master/csl-citation.json"} </w:instrText>
      </w:r>
      <w:r w:rsidRPr="00EF319B">
        <w:rPr>
          <w:rFonts w:ascii="Times New Roman" w:eastAsia="Yu Gothic Light" w:hAnsi="Times New Roman" w:cs="Times New Roman"/>
          <w:bCs/>
          <w:kern w:val="0"/>
          <w:sz w:val="20"/>
          <w:szCs w:val="20"/>
          <w14:ligatures w14:val="none"/>
        </w:rPr>
        <w:fldChar w:fldCharType="separate"/>
      </w:r>
      <w:r w:rsidR="00105FA5" w:rsidRPr="00EF319B">
        <w:rPr>
          <w:rFonts w:ascii="Times New Roman" w:hAnsi="Times New Roman" w:cs="Times New Roman"/>
          <w:sz w:val="20"/>
        </w:rPr>
        <w:t>[55]</w:t>
      </w:r>
      <w:r w:rsidRPr="00EF319B">
        <w:rPr>
          <w:rFonts w:ascii="Times New Roman" w:eastAsia="Yu Gothic Light" w:hAnsi="Times New Roman" w:cs="Times New Roman"/>
          <w:bCs/>
          <w:kern w:val="0"/>
          <w:sz w:val="20"/>
          <w:szCs w:val="20"/>
          <w14:ligatures w14:val="none"/>
        </w:rPr>
        <w:fldChar w:fldCharType="end"/>
      </w:r>
      <w:r w:rsidRPr="00EF319B">
        <w:rPr>
          <w:rFonts w:ascii="Times New Roman" w:eastAsia="Yu Gothic Light" w:hAnsi="Times New Roman" w:cs="Times New Roman"/>
          <w:bCs/>
          <w:kern w:val="0"/>
          <w:sz w:val="20"/>
          <w:szCs w:val="20"/>
          <w14:ligatures w14:val="none"/>
        </w:rPr>
        <w:t>.</w:t>
      </w:r>
    </w:p>
    <w:p w14:paraId="2298A56E" w14:textId="70BDAA75" w:rsidR="0022023A" w:rsidRPr="00EF319B" w:rsidRDefault="0022023A" w:rsidP="0022023A">
      <w:pPr>
        <w:spacing w:line="360" w:lineRule="auto"/>
        <w:jc w:val="both"/>
        <w:rPr>
          <w:rFonts w:ascii="Times New Roman" w:eastAsia="Yu Gothic Light" w:hAnsi="Times New Roman" w:cs="Times New Roman"/>
          <w:bCs/>
          <w:kern w:val="0"/>
          <w:sz w:val="20"/>
          <w:szCs w:val="20"/>
          <w14:ligatures w14:val="none"/>
        </w:rPr>
      </w:pPr>
      <w:r w:rsidRPr="00EF319B">
        <w:rPr>
          <w:rFonts w:ascii="Times New Roman" w:eastAsia="Yu Gothic Light" w:hAnsi="Times New Roman" w:cs="Times New Roman"/>
          <w:bCs/>
          <w:kern w:val="0"/>
          <w:sz w:val="20"/>
          <w:szCs w:val="20"/>
          <w14:ligatures w14:val="none"/>
        </w:rPr>
        <w:t>Monte Carlo simulations (N=1000)</w:t>
      </w:r>
      <w:r w:rsidR="00FC5B4F" w:rsidRPr="00EF319B">
        <w:rPr>
          <w:rFonts w:ascii="Times New Roman" w:eastAsia="Yu Gothic Light" w:hAnsi="Times New Roman" w:cs="Times New Roman"/>
          <w:bCs/>
          <w:kern w:val="0"/>
          <w:sz w:val="20"/>
          <w:szCs w:val="20"/>
          <w14:ligatures w14:val="none"/>
        </w:rPr>
        <w:t>, as shown in</w:t>
      </w:r>
      <w:r w:rsidRPr="00EF319B">
        <w:rPr>
          <w:rFonts w:ascii="Times New Roman" w:eastAsia="Yu Gothic Light" w:hAnsi="Times New Roman" w:cs="Times New Roman"/>
          <w:bCs/>
          <w:kern w:val="0"/>
          <w:sz w:val="20"/>
          <w:szCs w:val="20"/>
          <w14:ligatures w14:val="none"/>
        </w:rPr>
        <w:t xml:space="preserve"> Fig</w:t>
      </w:r>
      <w:r w:rsidR="00FC5B4F" w:rsidRPr="00EF319B">
        <w:rPr>
          <w:rFonts w:ascii="Times New Roman" w:eastAsia="Yu Gothic Light" w:hAnsi="Times New Roman" w:cs="Times New Roman"/>
          <w:bCs/>
          <w:kern w:val="0"/>
          <w:sz w:val="20"/>
          <w:szCs w:val="20"/>
          <w14:ligatures w14:val="none"/>
        </w:rPr>
        <w:t>ure</w:t>
      </w:r>
      <w:r w:rsidR="003121A9" w:rsidRPr="00EF319B">
        <w:rPr>
          <w:rFonts w:ascii="Times New Roman" w:eastAsia="Yu Gothic Light" w:hAnsi="Times New Roman" w:cs="Times New Roman"/>
          <w:bCs/>
          <w:kern w:val="0"/>
          <w:sz w:val="20"/>
          <w:szCs w:val="20"/>
          <w14:ligatures w14:val="none"/>
        </w:rPr>
        <w:t xml:space="preserve"> </w:t>
      </w:r>
      <w:r w:rsidR="00FC5B4F" w:rsidRPr="00EF319B">
        <w:rPr>
          <w:rFonts w:ascii="Times New Roman" w:eastAsia="Yu Gothic Light" w:hAnsi="Times New Roman" w:cs="Times New Roman"/>
          <w:bCs/>
          <w:kern w:val="0"/>
          <w:sz w:val="20"/>
          <w:szCs w:val="20"/>
          <w14:ligatures w14:val="none"/>
        </w:rPr>
        <w:t>S4b</w:t>
      </w:r>
      <w:r w:rsidR="003121A9" w:rsidRPr="00EF319B">
        <w:rPr>
          <w:rFonts w:ascii="Times New Roman" w:eastAsia="Yu Gothic Light" w:hAnsi="Times New Roman" w:cs="Times New Roman"/>
          <w:bCs/>
          <w:kern w:val="0"/>
          <w:sz w:val="20"/>
          <w:szCs w:val="20"/>
          <w14:ligatures w14:val="none"/>
        </w:rPr>
        <w:t>, are used to further quantify the prediction uncertainty by selecting input parameters randomly not exceeding their experimental limits and propagating through the optimised</w:t>
      </w:r>
      <w:r w:rsidRPr="00EF319B">
        <w:rPr>
          <w:rFonts w:ascii="Times New Roman" w:eastAsia="Yu Gothic Light" w:hAnsi="Times New Roman" w:cs="Times New Roman"/>
          <w:bCs/>
          <w:kern w:val="0"/>
          <w:sz w:val="20"/>
          <w:szCs w:val="20"/>
          <w14:ligatures w14:val="none"/>
        </w:rPr>
        <w:t xml:space="preserve"> ML model. </w:t>
      </w:r>
      <w:r w:rsidR="003121A9" w:rsidRPr="00EF319B">
        <w:rPr>
          <w:rFonts w:ascii="Times New Roman" w:eastAsia="Yu Gothic Light" w:hAnsi="Times New Roman" w:cs="Times New Roman"/>
          <w:bCs/>
          <w:kern w:val="0"/>
          <w:sz w:val="20"/>
          <w:szCs w:val="20"/>
          <w14:ligatures w14:val="none"/>
        </w:rPr>
        <w:t xml:space="preserve">A narrow distribution (mean ≈ 90 %, 95 % CI ≈ 85–95 %) of the predicted adsorption capacity validates the model's accuracy and </w:t>
      </w:r>
      <w:r w:rsidRPr="00EF319B">
        <w:rPr>
          <w:rFonts w:ascii="Times New Roman" w:eastAsia="Yu Gothic Light" w:hAnsi="Times New Roman" w:cs="Times New Roman"/>
          <w:bCs/>
          <w:kern w:val="0"/>
          <w:sz w:val="20"/>
          <w:szCs w:val="20"/>
          <w14:ligatures w14:val="none"/>
        </w:rPr>
        <w:t xml:space="preserve">reliability. </w:t>
      </w:r>
      <w:r w:rsidR="003121A9" w:rsidRPr="00EF319B">
        <w:rPr>
          <w:rFonts w:ascii="Times New Roman" w:eastAsia="Yu Gothic Light" w:hAnsi="Times New Roman" w:cs="Times New Roman"/>
          <w:bCs/>
          <w:kern w:val="0"/>
          <w:sz w:val="20"/>
          <w:szCs w:val="20"/>
          <w14:ligatures w14:val="none"/>
        </w:rPr>
        <w:t>On the other hand, kinetics Qe predictions are broader and right-skewed (mean ≈ 500 mg/g, 95 % CI ≈ 100–2000 mg/g), reflecting the high dependence</w:t>
      </w:r>
      <w:r w:rsidRPr="00EF319B">
        <w:rPr>
          <w:rFonts w:ascii="Times New Roman" w:eastAsia="Yu Gothic Light" w:hAnsi="Times New Roman" w:cs="Times New Roman"/>
          <w:bCs/>
          <w:kern w:val="0"/>
          <w:sz w:val="20"/>
          <w:szCs w:val="20"/>
          <w14:ligatures w14:val="none"/>
        </w:rPr>
        <w:t xml:space="preserve"> and sensitivity on the input fluctuations. These results suggest </w:t>
      </w:r>
      <w:r w:rsidR="003121A9" w:rsidRPr="00EF319B">
        <w:rPr>
          <w:rFonts w:ascii="Times New Roman" w:eastAsia="Yu Gothic Light" w:hAnsi="Times New Roman" w:cs="Times New Roman"/>
          <w:bCs/>
          <w:kern w:val="0"/>
          <w:sz w:val="20"/>
          <w:szCs w:val="20"/>
          <w14:ligatures w14:val="none"/>
        </w:rPr>
        <w:t xml:space="preserve">that </w:t>
      </w:r>
      <w:r w:rsidRPr="00EF319B">
        <w:rPr>
          <w:rFonts w:ascii="Times New Roman" w:eastAsia="Yu Gothic Light" w:hAnsi="Times New Roman" w:cs="Times New Roman"/>
          <w:bCs/>
          <w:kern w:val="0"/>
          <w:sz w:val="20"/>
          <w:szCs w:val="20"/>
          <w14:ligatures w14:val="none"/>
        </w:rPr>
        <w:t>more Kinetics Qe data is required to eliminate the uncertainty</w:t>
      </w:r>
      <w:r w:rsidR="003121A9" w:rsidRPr="00EF319B">
        <w:rPr>
          <w:rFonts w:ascii="Times New Roman" w:eastAsia="Yu Gothic Light" w:hAnsi="Times New Roman" w:cs="Times New Roman"/>
          <w:bCs/>
          <w:kern w:val="0"/>
          <w:sz w:val="20"/>
          <w:szCs w:val="20"/>
          <w14:ligatures w14:val="none"/>
        </w:rPr>
        <w:t>,</w:t>
      </w:r>
      <w:r w:rsidRPr="00EF319B">
        <w:rPr>
          <w:rFonts w:ascii="Times New Roman" w:eastAsia="Yu Gothic Light" w:hAnsi="Times New Roman" w:cs="Times New Roman"/>
          <w:bCs/>
          <w:kern w:val="0"/>
          <w:sz w:val="20"/>
          <w:szCs w:val="20"/>
          <w14:ligatures w14:val="none"/>
        </w:rPr>
        <w:t xml:space="preserve"> along with affirmation of </w:t>
      </w:r>
      <w:r w:rsidR="003121A9" w:rsidRPr="00EF319B">
        <w:rPr>
          <w:rFonts w:ascii="Times New Roman" w:eastAsia="Yu Gothic Light" w:hAnsi="Times New Roman" w:cs="Times New Roman"/>
          <w:bCs/>
          <w:kern w:val="0"/>
          <w:sz w:val="20"/>
          <w:szCs w:val="20"/>
          <w14:ligatures w14:val="none"/>
        </w:rPr>
        <w:t xml:space="preserve">the </w:t>
      </w:r>
      <w:r w:rsidRPr="00EF319B">
        <w:rPr>
          <w:rFonts w:ascii="Times New Roman" w:eastAsia="Yu Gothic Light" w:hAnsi="Times New Roman" w:cs="Times New Roman"/>
          <w:bCs/>
          <w:kern w:val="0"/>
          <w:sz w:val="20"/>
          <w:szCs w:val="20"/>
          <w14:ligatures w14:val="none"/>
        </w:rPr>
        <w:t xml:space="preserve">prediction robustness of the ML model for adsorption capacity </w:t>
      </w:r>
      <w:r w:rsidRPr="00EF319B">
        <w:rPr>
          <w:rFonts w:ascii="Times New Roman" w:eastAsia="Yu Gothic Light" w:hAnsi="Times New Roman" w:cs="Times New Roman"/>
          <w:bCs/>
          <w:kern w:val="0"/>
          <w:sz w:val="20"/>
          <w:szCs w:val="20"/>
          <w14:ligatures w14:val="none"/>
        </w:rPr>
        <w:fldChar w:fldCharType="begin"/>
      </w:r>
      <w:r w:rsidR="00105FA5" w:rsidRPr="00EF319B">
        <w:rPr>
          <w:rFonts w:ascii="Times New Roman" w:eastAsia="Yu Gothic Light" w:hAnsi="Times New Roman" w:cs="Times New Roman"/>
          <w:bCs/>
          <w:kern w:val="0"/>
          <w:sz w:val="20"/>
          <w:szCs w:val="20"/>
          <w14:ligatures w14:val="none"/>
        </w:rPr>
        <w:instrText xml:space="preserve"> ADDIN ZOTERO_ITEM CSL_CITATION {"citationID":"dtvPe1Bs","properties":{"formattedCitation":"[56]","plainCitation":"[56]","noteIndex":0},"citationItems":[{"id":874,"uris":["http://zotero.org/users/14115032/items/J6FZPHBC"],"itemData":{"id":874,"type":"article-journal","container-title":"The Journal of Physical Chemistry C","DOI":"10.1021/acs.jpcc.3c00354","ISSN":"1932-7447, 1932-7455","issue":"16","journalAbbreviation":"J. Phys. Chem. C","language":"en","license":"https://creativecommons.org/licenses/by-nc-nd/4.0/","page":"7837-7851","source":"DOI.org (Crossref)","title":"Monte Carlo Simulations of Water Adsorption in Aluminum Oxide Rod-Based Metal–Organic Frameworks","volume":"127","author":[{"family":"Chheda","given":"Saumil"},{"family":"Jeong","given":"WooSeok"},{"family":"Hanikel","given":"Nikita"},{"family":"Gagliardi","given":"Laura"},{"family":"Siepmann","given":"J. Ilja"}],"issued":{"date-parts":[["2023",4,27]]}}}],"schema":"https://github.com/citation-style-language/schema/raw/master/csl-citation.json"} </w:instrText>
      </w:r>
      <w:r w:rsidRPr="00EF319B">
        <w:rPr>
          <w:rFonts w:ascii="Times New Roman" w:eastAsia="Yu Gothic Light" w:hAnsi="Times New Roman" w:cs="Times New Roman"/>
          <w:bCs/>
          <w:kern w:val="0"/>
          <w:sz w:val="20"/>
          <w:szCs w:val="20"/>
          <w14:ligatures w14:val="none"/>
        </w:rPr>
        <w:fldChar w:fldCharType="separate"/>
      </w:r>
      <w:r w:rsidR="00105FA5" w:rsidRPr="00EF319B">
        <w:rPr>
          <w:rFonts w:ascii="Times New Roman" w:hAnsi="Times New Roman" w:cs="Times New Roman"/>
          <w:sz w:val="20"/>
        </w:rPr>
        <w:t>[56]</w:t>
      </w:r>
      <w:r w:rsidRPr="00EF319B">
        <w:rPr>
          <w:rFonts w:ascii="Times New Roman" w:eastAsia="Yu Gothic Light" w:hAnsi="Times New Roman" w:cs="Times New Roman"/>
          <w:bCs/>
          <w:kern w:val="0"/>
          <w:sz w:val="20"/>
          <w:szCs w:val="20"/>
          <w14:ligatures w14:val="none"/>
        </w:rPr>
        <w:fldChar w:fldCharType="end"/>
      </w:r>
      <w:r w:rsidRPr="00EF319B">
        <w:rPr>
          <w:rFonts w:ascii="Times New Roman" w:eastAsia="Yu Gothic Light" w:hAnsi="Times New Roman" w:cs="Times New Roman"/>
          <w:bCs/>
          <w:kern w:val="0"/>
          <w:sz w:val="20"/>
          <w:szCs w:val="20"/>
          <w14:ligatures w14:val="none"/>
        </w:rPr>
        <w:t>.</w:t>
      </w:r>
    </w:p>
    <w:p w14:paraId="2C13F73E" w14:textId="77777777" w:rsidR="008A38C3" w:rsidRPr="00EF319B" w:rsidRDefault="0022023A" w:rsidP="004734E4">
      <w:pPr>
        <w:keepNext/>
        <w:jc w:val="center"/>
        <w:rPr>
          <w:rFonts w:ascii="Times New Roman" w:hAnsi="Times New Roman" w:cs="Times New Roman"/>
        </w:rPr>
      </w:pPr>
      <w:r w:rsidRPr="00EF319B">
        <w:rPr>
          <w:rFonts w:ascii="Times New Roman" w:hAnsi="Times New Roman" w:cs="Times New Roman"/>
          <w:noProof/>
        </w:rPr>
        <w:drawing>
          <wp:inline distT="0" distB="0" distL="0" distR="0" wp14:anchorId="1C655A27" wp14:editId="3C9FBB65">
            <wp:extent cx="5843649" cy="1864232"/>
            <wp:effectExtent l="0" t="0" r="508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t="1430" b="1430"/>
                    <a:stretch>
                      <a:fillRect/>
                    </a:stretch>
                  </pic:blipFill>
                  <pic:spPr bwMode="auto">
                    <a:xfrm>
                      <a:off x="0" y="0"/>
                      <a:ext cx="5843649" cy="1864232"/>
                    </a:xfrm>
                    <a:prstGeom prst="rect">
                      <a:avLst/>
                    </a:prstGeom>
                    <a:noFill/>
                    <a:ln>
                      <a:noFill/>
                    </a:ln>
                    <a:extLst>
                      <a:ext uri="{53640926-AAD7-44D8-BBD7-CCE9431645EC}">
                        <a14:shadowObscured xmlns:a14="http://schemas.microsoft.com/office/drawing/2010/main"/>
                      </a:ext>
                    </a:extLst>
                  </pic:spPr>
                </pic:pic>
              </a:graphicData>
            </a:graphic>
          </wp:inline>
        </w:drawing>
      </w:r>
    </w:p>
    <w:p w14:paraId="6C4628C3" w14:textId="09B922C3" w:rsidR="00C51056" w:rsidRPr="00EF319B" w:rsidRDefault="008A38C3" w:rsidP="00397319">
      <w:pPr>
        <w:pStyle w:val="Caption"/>
        <w:jc w:val="center"/>
        <w:rPr>
          <w:rFonts w:ascii="Times New Roman" w:hAnsi="Times New Roman" w:cs="Times New Roman"/>
          <w:i w:val="0"/>
          <w:iCs w:val="0"/>
          <w:color w:val="auto"/>
          <w:sz w:val="20"/>
          <w:szCs w:val="20"/>
        </w:rPr>
      </w:pPr>
      <w:r w:rsidRPr="00EF319B">
        <w:rPr>
          <w:rFonts w:ascii="Times New Roman" w:hAnsi="Times New Roman" w:cs="Times New Roman"/>
          <w:b/>
          <w:bCs/>
          <w:i w:val="0"/>
          <w:iCs w:val="0"/>
          <w:color w:val="auto"/>
          <w:sz w:val="20"/>
          <w:szCs w:val="20"/>
        </w:rPr>
        <w:t xml:space="preserve">Figure </w:t>
      </w:r>
      <w:r w:rsidRPr="00EF319B">
        <w:rPr>
          <w:rFonts w:ascii="Times New Roman" w:hAnsi="Times New Roman" w:cs="Times New Roman"/>
          <w:b/>
          <w:bCs/>
          <w:i w:val="0"/>
          <w:iCs w:val="0"/>
          <w:color w:val="auto"/>
          <w:sz w:val="20"/>
          <w:szCs w:val="20"/>
        </w:rPr>
        <w:fldChar w:fldCharType="begin"/>
      </w:r>
      <w:r w:rsidRPr="00EF319B">
        <w:rPr>
          <w:rFonts w:ascii="Times New Roman" w:hAnsi="Times New Roman" w:cs="Times New Roman"/>
          <w:b/>
          <w:bCs/>
          <w:i w:val="0"/>
          <w:iCs w:val="0"/>
          <w:color w:val="auto"/>
          <w:sz w:val="20"/>
          <w:szCs w:val="20"/>
        </w:rPr>
        <w:instrText xml:space="preserve"> SEQ Figure \* ARABIC </w:instrText>
      </w:r>
      <w:r w:rsidRPr="00EF319B">
        <w:rPr>
          <w:rFonts w:ascii="Times New Roman" w:hAnsi="Times New Roman" w:cs="Times New Roman"/>
          <w:b/>
          <w:bCs/>
          <w:i w:val="0"/>
          <w:iCs w:val="0"/>
          <w:color w:val="auto"/>
          <w:sz w:val="20"/>
          <w:szCs w:val="20"/>
        </w:rPr>
        <w:fldChar w:fldCharType="separate"/>
      </w:r>
      <w:r w:rsidR="002151FD" w:rsidRPr="00EF319B">
        <w:rPr>
          <w:rFonts w:ascii="Times New Roman" w:hAnsi="Times New Roman" w:cs="Times New Roman"/>
          <w:b/>
          <w:bCs/>
          <w:i w:val="0"/>
          <w:iCs w:val="0"/>
          <w:color w:val="auto"/>
          <w:sz w:val="20"/>
          <w:szCs w:val="20"/>
        </w:rPr>
        <w:t>7</w:t>
      </w:r>
      <w:r w:rsidRPr="00EF319B">
        <w:rPr>
          <w:rFonts w:ascii="Times New Roman" w:hAnsi="Times New Roman" w:cs="Times New Roman"/>
          <w:b/>
          <w:bCs/>
          <w:i w:val="0"/>
          <w:iCs w:val="0"/>
          <w:color w:val="auto"/>
          <w:sz w:val="20"/>
          <w:szCs w:val="20"/>
        </w:rPr>
        <w:fldChar w:fldCharType="end"/>
      </w:r>
      <w:r w:rsidRPr="00EF319B">
        <w:rPr>
          <w:rFonts w:ascii="Times New Roman" w:hAnsi="Times New Roman" w:cs="Times New Roman"/>
          <w:i w:val="0"/>
          <w:iCs w:val="0"/>
          <w:color w:val="auto"/>
          <w:sz w:val="20"/>
          <w:szCs w:val="20"/>
        </w:rPr>
        <w:t xml:space="preserve">. </w:t>
      </w:r>
      <w:r w:rsidR="007D05E5" w:rsidRPr="00EF319B">
        <w:rPr>
          <w:rFonts w:ascii="Times New Roman" w:hAnsi="Times New Roman" w:cs="Times New Roman"/>
          <w:i w:val="0"/>
          <w:iCs w:val="0"/>
          <w:color w:val="auto"/>
          <w:sz w:val="20"/>
          <w:szCs w:val="20"/>
        </w:rPr>
        <w:t>Sobol s</w:t>
      </w:r>
      <w:r w:rsidR="0075406F" w:rsidRPr="00EF319B">
        <w:rPr>
          <w:rFonts w:ascii="Times New Roman" w:hAnsi="Times New Roman" w:cs="Times New Roman"/>
          <w:i w:val="0"/>
          <w:iCs w:val="0"/>
          <w:color w:val="auto"/>
          <w:sz w:val="20"/>
          <w:szCs w:val="20"/>
        </w:rPr>
        <w:t>ensitivity patterns of input features</w:t>
      </w:r>
      <w:r w:rsidR="00BD572D" w:rsidRPr="00EF319B">
        <w:rPr>
          <w:rFonts w:ascii="Times New Roman" w:hAnsi="Times New Roman" w:cs="Times New Roman"/>
          <w:i w:val="0"/>
          <w:iCs w:val="0"/>
          <w:color w:val="auto"/>
          <w:sz w:val="20"/>
          <w:szCs w:val="20"/>
        </w:rPr>
        <w:t xml:space="preserve"> </w:t>
      </w:r>
      <w:r w:rsidR="00377AFB" w:rsidRPr="00EF319B">
        <w:rPr>
          <w:rFonts w:ascii="Times New Roman" w:hAnsi="Times New Roman" w:cs="Times New Roman"/>
          <w:i w:val="0"/>
          <w:iCs w:val="0"/>
          <w:color w:val="auto"/>
          <w:sz w:val="20"/>
          <w:szCs w:val="20"/>
        </w:rPr>
        <w:t xml:space="preserve">for </w:t>
      </w:r>
      <w:r w:rsidR="00DF7530" w:rsidRPr="00EF319B">
        <w:rPr>
          <w:rFonts w:ascii="Times New Roman" w:hAnsi="Times New Roman" w:cs="Times New Roman"/>
          <w:i w:val="0"/>
          <w:iCs w:val="0"/>
          <w:color w:val="auto"/>
          <w:sz w:val="20"/>
          <w:szCs w:val="20"/>
        </w:rPr>
        <w:t xml:space="preserve">adsorption </w:t>
      </w:r>
      <w:r w:rsidR="004B42DD" w:rsidRPr="00EF319B">
        <w:rPr>
          <w:rFonts w:ascii="Times New Roman" w:hAnsi="Times New Roman" w:cs="Times New Roman"/>
          <w:i w:val="0"/>
          <w:iCs w:val="0"/>
          <w:color w:val="auto"/>
          <w:sz w:val="20"/>
          <w:szCs w:val="20"/>
        </w:rPr>
        <w:t xml:space="preserve">removal </w:t>
      </w:r>
      <w:r w:rsidR="00DF7530" w:rsidRPr="00EF319B">
        <w:rPr>
          <w:rFonts w:ascii="Times New Roman" w:hAnsi="Times New Roman" w:cs="Times New Roman"/>
          <w:i w:val="0"/>
          <w:iCs w:val="0"/>
          <w:color w:val="auto"/>
          <w:sz w:val="20"/>
          <w:szCs w:val="20"/>
        </w:rPr>
        <w:t>capacity and kinetics</w:t>
      </w:r>
      <w:r w:rsidR="00CD2F41" w:rsidRPr="00EF319B">
        <w:rPr>
          <w:rFonts w:ascii="Times New Roman" w:hAnsi="Times New Roman" w:cs="Times New Roman"/>
          <w:i w:val="0"/>
          <w:iCs w:val="0"/>
          <w:color w:val="auto"/>
          <w:sz w:val="20"/>
          <w:szCs w:val="20"/>
        </w:rPr>
        <w:t xml:space="preserve"> Q</w:t>
      </w:r>
      <w:r w:rsidR="00CD2F41" w:rsidRPr="00EF319B">
        <w:rPr>
          <w:rFonts w:ascii="Times New Roman" w:hAnsi="Times New Roman" w:cs="Times New Roman"/>
          <w:i w:val="0"/>
          <w:iCs w:val="0"/>
          <w:color w:val="auto"/>
          <w:sz w:val="20"/>
          <w:szCs w:val="20"/>
          <w:vertAlign w:val="subscript"/>
        </w:rPr>
        <w:t>e</w:t>
      </w:r>
      <w:r w:rsidR="006E2F52" w:rsidRPr="00EF319B">
        <w:rPr>
          <w:rFonts w:ascii="Times New Roman" w:hAnsi="Times New Roman" w:cs="Times New Roman"/>
          <w:i w:val="0"/>
          <w:iCs w:val="0"/>
          <w:color w:val="auto"/>
          <w:sz w:val="20"/>
          <w:szCs w:val="20"/>
        </w:rPr>
        <w:t>.</w:t>
      </w:r>
    </w:p>
    <w:p w14:paraId="7D30AE7D" w14:textId="5A1D33B0" w:rsidR="0019526F" w:rsidRPr="00EF319B" w:rsidRDefault="0019526F" w:rsidP="0019526F">
      <w:pPr>
        <w:rPr>
          <w:rFonts w:ascii="Times New Roman" w:hAnsi="Times New Roman" w:cs="Times New Roman"/>
          <w:kern w:val="0"/>
          <w14:ligatures w14:val="none"/>
        </w:rPr>
      </w:pPr>
      <w:r w:rsidRPr="00EF319B">
        <w:rPr>
          <w:rFonts w:ascii="Times New Roman" w:eastAsia="Yu Gothic Light" w:hAnsi="Times New Roman" w:cs="Times New Roman"/>
          <w:b/>
          <w:kern w:val="0"/>
          <w:sz w:val="20"/>
          <w:szCs w:val="20"/>
          <w14:ligatures w14:val="none"/>
        </w:rPr>
        <w:t>Experimental Validation</w:t>
      </w:r>
    </w:p>
    <w:p w14:paraId="76246DE9" w14:textId="2F51AF0A" w:rsidR="0021267E" w:rsidRPr="00EF319B" w:rsidRDefault="0021267E" w:rsidP="005E78DA">
      <w:pPr>
        <w:spacing w:line="360" w:lineRule="auto"/>
        <w:jc w:val="both"/>
        <w:rPr>
          <w:rFonts w:ascii="Times New Roman" w:hAnsi="Times New Roman" w:cs="Times New Roman"/>
          <w:sz w:val="20"/>
          <w:szCs w:val="20"/>
        </w:rPr>
      </w:pPr>
      <w:r w:rsidRPr="00EF319B">
        <w:rPr>
          <w:rFonts w:ascii="Times New Roman" w:hAnsi="Times New Roman" w:cs="Times New Roman"/>
          <w:sz w:val="20"/>
          <w:szCs w:val="20"/>
        </w:rPr>
        <w:t xml:space="preserve">Table </w:t>
      </w:r>
      <w:r w:rsidR="00194214" w:rsidRPr="00EF319B">
        <w:rPr>
          <w:rFonts w:ascii="Times New Roman" w:hAnsi="Times New Roman" w:cs="Times New Roman"/>
          <w:sz w:val="20"/>
          <w:szCs w:val="20"/>
        </w:rPr>
        <w:t>2</w:t>
      </w:r>
      <w:r w:rsidR="00A404F2" w:rsidRPr="00EF319B">
        <w:rPr>
          <w:rFonts w:ascii="Times New Roman" w:hAnsi="Times New Roman" w:cs="Times New Roman"/>
          <w:sz w:val="20"/>
          <w:szCs w:val="20"/>
        </w:rPr>
        <w:t xml:space="preserve"> shows the experimental and predicted results for the % removal and kinetic adsorption capacity from MO and EBT dyes removal using different jojoba-derived biochar produced using different temperatures (500-800 °C) and heating times (2-4</w:t>
      </w:r>
      <w:r w:rsidRPr="00EF319B">
        <w:rPr>
          <w:rFonts w:ascii="Times New Roman" w:hAnsi="Times New Roman" w:cs="Times New Roman"/>
          <w:sz w:val="20"/>
          <w:szCs w:val="20"/>
        </w:rPr>
        <w:t xml:space="preserve"> h</w:t>
      </w:r>
      <w:r w:rsidR="00212516" w:rsidRPr="00EF319B">
        <w:rPr>
          <w:rFonts w:ascii="Times New Roman" w:hAnsi="Times New Roman" w:cs="Times New Roman"/>
          <w:sz w:val="20"/>
          <w:szCs w:val="20"/>
        </w:rPr>
        <w:t>)</w:t>
      </w:r>
      <w:r w:rsidRPr="00EF319B">
        <w:rPr>
          <w:rFonts w:ascii="Times New Roman" w:hAnsi="Times New Roman" w:cs="Times New Roman"/>
          <w:sz w:val="20"/>
          <w:szCs w:val="20"/>
        </w:rPr>
        <w:t xml:space="preserve">. As shown, </w:t>
      </w:r>
      <w:r w:rsidR="00A404F2" w:rsidRPr="00EF319B">
        <w:rPr>
          <w:rFonts w:ascii="Times New Roman" w:hAnsi="Times New Roman" w:cs="Times New Roman"/>
          <w:sz w:val="20"/>
          <w:szCs w:val="20"/>
        </w:rPr>
        <w:t xml:space="preserve">increasing the pyrolysis temperature from 500°C to 800°C results in a significant increase in </w:t>
      </w:r>
      <w:r w:rsidRPr="00EF319B">
        <w:rPr>
          <w:rFonts w:ascii="Times New Roman" w:hAnsi="Times New Roman" w:cs="Times New Roman"/>
          <w:sz w:val="20"/>
          <w:szCs w:val="20"/>
        </w:rPr>
        <w:t xml:space="preserve">% removal for both methyl orange (MO) and Eriochrome black T (EBT) dyes. In addition, a slight increase in adsorption performance was observed when </w:t>
      </w:r>
      <w:r w:rsidR="00A404F2" w:rsidRPr="00EF319B">
        <w:rPr>
          <w:rFonts w:ascii="Times New Roman" w:hAnsi="Times New Roman" w:cs="Times New Roman"/>
          <w:sz w:val="20"/>
          <w:szCs w:val="20"/>
        </w:rPr>
        <w:t xml:space="preserve">the </w:t>
      </w:r>
      <w:r w:rsidRPr="00EF319B">
        <w:rPr>
          <w:rFonts w:ascii="Times New Roman" w:hAnsi="Times New Roman" w:cs="Times New Roman"/>
          <w:sz w:val="20"/>
          <w:szCs w:val="20"/>
        </w:rPr>
        <w:t xml:space="preserve">pyrolysis heating time increased from 2h to 4h. The increase in adsorption of dyes </w:t>
      </w:r>
      <w:r w:rsidR="00043630" w:rsidRPr="00EF319B">
        <w:rPr>
          <w:rFonts w:ascii="Times New Roman" w:hAnsi="Times New Roman" w:cs="Times New Roman"/>
          <w:sz w:val="20"/>
          <w:szCs w:val="20"/>
        </w:rPr>
        <w:t xml:space="preserve">at higher biochar pyrolysis temperatures is mainly associated with the </w:t>
      </w:r>
      <w:r w:rsidR="00043630" w:rsidRPr="00EF319B">
        <w:rPr>
          <w:rFonts w:ascii="Times New Roman" w:hAnsi="Times New Roman" w:cs="Times New Roman"/>
          <w:sz w:val="20"/>
          <w:szCs w:val="20"/>
        </w:rPr>
        <w:lastRenderedPageBreak/>
        <w:t>development of a porous surface structure and an increase in specific surface area, resulting from the</w:t>
      </w:r>
      <w:r w:rsidRPr="00EF319B">
        <w:rPr>
          <w:rFonts w:ascii="Times New Roman" w:hAnsi="Times New Roman" w:cs="Times New Roman"/>
          <w:sz w:val="20"/>
          <w:szCs w:val="20"/>
        </w:rPr>
        <w:t xml:space="preserve"> complete degradation of jojoba residues</w:t>
      </w:r>
      <w:r w:rsidR="001F4334" w:rsidRPr="00EF319B">
        <w:rPr>
          <w:rFonts w:ascii="Times New Roman" w:hAnsi="Times New Roman" w:cs="Times New Roman"/>
          <w:sz w:val="20"/>
          <w:szCs w:val="20"/>
        </w:rPr>
        <w:t xml:space="preserve"> </w:t>
      </w:r>
      <w:r w:rsidR="00C442E3" w:rsidRPr="00EF319B">
        <w:rPr>
          <w:rFonts w:ascii="Times New Roman" w:hAnsi="Times New Roman" w:cs="Times New Roman"/>
          <w:sz w:val="20"/>
          <w:szCs w:val="20"/>
        </w:rPr>
        <w:fldChar w:fldCharType="begin"/>
      </w:r>
      <w:r w:rsidR="00C442E3" w:rsidRPr="00EF319B">
        <w:rPr>
          <w:rFonts w:ascii="Times New Roman" w:hAnsi="Times New Roman" w:cs="Times New Roman"/>
          <w:sz w:val="20"/>
          <w:szCs w:val="20"/>
        </w:rPr>
        <w:instrText xml:space="preserve"> ADDIN ZOTERO_ITEM CSL_CITATION {"citationID":"5cAM8oSX","properties":{"formattedCitation":"[57]","plainCitation":"[57]","noteIndex":0},"citationItems":[{"id":900,"uris":["http://zotero.org/users/14115032/items/9NCKJTZU"],"itemData":{"id":900,"type":"article-journal","container-title":"Water, Air, &amp; Soil Pollution","DOI":"10.1007/s11270-020-04595-x","ISSN":"0049-6979, 1573-2932","issue":"5","journalAbbreviation":"Water Air Soil Pollut","language":"en","page":"240","source":"DOI.org (Crossref)","title":"Adsorption Behavior and Mechanism of Methylene Blue, Crystal Violet, Eriochrome Black T, and Methyl Orange Dyes onto Biochar-Derived Date Palm Fronds Waste Produced at Different Pyrolysis Conditions","volume":"231","author":[{"family":"Zubair","given":"Mukarram"},{"family":"Mu’azu","given":"Nuhu Dalhat"},{"family":"Jarrah","given":"Nabeel"},{"family":"Blaisi","given":"Nawaf I."},{"family":"Aziz","given":"Hamidi Abdul"},{"family":"A. Al-Harthi","given":"Mamdouh"}],"issued":{"date-parts":[["2020",5]]}}}],"schema":"https://github.com/citation-style-language/schema/raw/master/csl-citation.json"} </w:instrText>
      </w:r>
      <w:r w:rsidR="00C442E3" w:rsidRPr="00EF319B">
        <w:rPr>
          <w:rFonts w:ascii="Times New Roman" w:hAnsi="Times New Roman" w:cs="Times New Roman"/>
          <w:sz w:val="20"/>
          <w:szCs w:val="20"/>
        </w:rPr>
        <w:fldChar w:fldCharType="separate"/>
      </w:r>
      <w:r w:rsidR="00C442E3" w:rsidRPr="00EF319B">
        <w:rPr>
          <w:rFonts w:ascii="Times New Roman" w:hAnsi="Times New Roman" w:cs="Times New Roman"/>
          <w:sz w:val="20"/>
        </w:rPr>
        <w:t>[57]</w:t>
      </w:r>
      <w:r w:rsidR="00C442E3" w:rsidRPr="00EF319B">
        <w:rPr>
          <w:rFonts w:ascii="Times New Roman" w:hAnsi="Times New Roman" w:cs="Times New Roman"/>
          <w:sz w:val="20"/>
          <w:szCs w:val="20"/>
        </w:rPr>
        <w:fldChar w:fldCharType="end"/>
      </w:r>
      <w:r w:rsidRPr="00EF319B">
        <w:rPr>
          <w:rFonts w:ascii="Times New Roman" w:hAnsi="Times New Roman" w:cs="Times New Roman"/>
          <w:sz w:val="20"/>
          <w:szCs w:val="20"/>
        </w:rPr>
        <w:t>. The porous surface serves as active binding sites for dye molecules via pore-filling behavior</w:t>
      </w:r>
      <w:r w:rsidR="009D1462" w:rsidRPr="00EF319B">
        <w:rPr>
          <w:rFonts w:ascii="Times New Roman" w:hAnsi="Times New Roman" w:cs="Times New Roman"/>
          <w:sz w:val="20"/>
          <w:szCs w:val="20"/>
        </w:rPr>
        <w:t xml:space="preserve"> </w:t>
      </w:r>
      <w:r w:rsidR="009D1462" w:rsidRPr="00EF319B">
        <w:rPr>
          <w:rFonts w:ascii="Times New Roman" w:hAnsi="Times New Roman" w:cs="Times New Roman"/>
          <w:sz w:val="20"/>
          <w:szCs w:val="20"/>
        </w:rPr>
        <w:fldChar w:fldCharType="begin"/>
      </w:r>
      <w:r w:rsidR="009D1462" w:rsidRPr="00EF319B">
        <w:rPr>
          <w:rFonts w:ascii="Times New Roman" w:hAnsi="Times New Roman" w:cs="Times New Roman"/>
          <w:sz w:val="20"/>
          <w:szCs w:val="20"/>
        </w:rPr>
        <w:instrText xml:space="preserve"> ADDIN ZOTERO_ITEM CSL_CITATION {"citationID":"FRrLFZdQ","properties":{"formattedCitation":"[58]","plainCitation":"[58]","noteIndex":0},"citationItems":[{"id":901,"uris":["http://zotero.org/users/14115032/items/DD759VGP"],"itemData":{"id":901,"type":"article-journal","container-title":"Sustainable Chemistry for the Environment","DOI":"10.1016/j.scenv.2025.100217","ISSN":"29498392","journalAbbreviation":"Sustainable Chemistry for the Environment","language":"en","page":"100217","source":"DOI.org (Crossref)","title":"Investigating the interactions between dyes and porous/composite materials: A comprehensive study","title-short":"Investigating the interactions between dyes and porous/composite materials","volume":"9","author":[{"family":"Zeeshan","given":"Muhammad"},{"family":"Javed","given":"Tariq"},{"family":"Kumari","given":"Chandresh"},{"family":"Thumma","given":"Anusha"},{"family":"Wasim","given":"Muhammad"},{"family":"Taj","given":"Muhammad Babar"},{"family":"Sharma","given":"Ishu"},{"family":"Haider","given":"Muhammad Nouman"},{"family":"Batool","given":"Maryam"}],"issued":{"date-parts":[["2025",3]]}}}],"schema":"https://github.com/citation-style-language/schema/raw/master/csl-citation.json"} </w:instrText>
      </w:r>
      <w:r w:rsidR="009D1462" w:rsidRPr="00EF319B">
        <w:rPr>
          <w:rFonts w:ascii="Times New Roman" w:hAnsi="Times New Roman" w:cs="Times New Roman"/>
          <w:sz w:val="20"/>
          <w:szCs w:val="20"/>
        </w:rPr>
        <w:fldChar w:fldCharType="separate"/>
      </w:r>
      <w:r w:rsidR="009D1462" w:rsidRPr="00EF319B">
        <w:rPr>
          <w:rFonts w:ascii="Times New Roman" w:hAnsi="Times New Roman" w:cs="Times New Roman"/>
          <w:sz w:val="20"/>
        </w:rPr>
        <w:t>[58]</w:t>
      </w:r>
      <w:r w:rsidR="009D1462" w:rsidRPr="00EF319B">
        <w:rPr>
          <w:rFonts w:ascii="Times New Roman" w:hAnsi="Times New Roman" w:cs="Times New Roman"/>
          <w:sz w:val="20"/>
          <w:szCs w:val="20"/>
        </w:rPr>
        <w:fldChar w:fldCharType="end"/>
      </w:r>
      <w:r w:rsidRPr="00EF319B">
        <w:rPr>
          <w:rFonts w:ascii="Times New Roman" w:hAnsi="Times New Roman" w:cs="Times New Roman"/>
          <w:sz w:val="20"/>
          <w:szCs w:val="20"/>
        </w:rPr>
        <w:t xml:space="preserve">. Furthermore, the high-temperature </w:t>
      </w:r>
      <w:r w:rsidR="00043630" w:rsidRPr="00EF319B">
        <w:rPr>
          <w:rFonts w:ascii="Times New Roman" w:hAnsi="Times New Roman" w:cs="Times New Roman"/>
          <w:sz w:val="20"/>
          <w:szCs w:val="20"/>
        </w:rPr>
        <w:t>biochar</w:t>
      </w:r>
      <w:r w:rsidRPr="00EF319B">
        <w:rPr>
          <w:rFonts w:ascii="Times New Roman" w:hAnsi="Times New Roman" w:cs="Times New Roman"/>
          <w:sz w:val="20"/>
          <w:szCs w:val="20"/>
        </w:rPr>
        <w:t xml:space="preserve"> (700</w:t>
      </w:r>
      <w:r w:rsidR="007E1D1D" w:rsidRPr="00EF319B">
        <w:rPr>
          <w:rFonts w:ascii="Times New Roman" w:hAnsi="Times New Roman" w:cs="Times New Roman"/>
          <w:sz w:val="20"/>
          <w:szCs w:val="20"/>
        </w:rPr>
        <w:t>-</w:t>
      </w:r>
      <w:r w:rsidRPr="00EF319B">
        <w:rPr>
          <w:rFonts w:ascii="Times New Roman" w:hAnsi="Times New Roman" w:cs="Times New Roman"/>
          <w:sz w:val="20"/>
          <w:szCs w:val="20"/>
        </w:rPr>
        <w:t xml:space="preserve">800°C) exhibited high aromaticity, which dominated pi-pi interactions between the biochar’s carbon layers and the aromatic rings of the dyes. Specifically, EBT dye </w:t>
      </w:r>
      <w:r w:rsidR="00E245D0" w:rsidRPr="00EF319B">
        <w:rPr>
          <w:rFonts w:ascii="Times New Roman" w:hAnsi="Times New Roman" w:cs="Times New Roman"/>
          <w:sz w:val="20"/>
          <w:szCs w:val="20"/>
        </w:rPr>
        <w:t>exhibits a higher adsorption capacity (</w:t>
      </w:r>
      <w:r w:rsidR="00051D89" w:rsidRPr="00EF319B">
        <w:rPr>
          <w:rFonts w:ascii="Times New Roman" w:hAnsi="Times New Roman" w:cs="Times New Roman"/>
          <w:sz w:val="20"/>
          <w:szCs w:val="20"/>
        </w:rPr>
        <w:t>Q</w:t>
      </w:r>
      <w:r w:rsidR="00E245D0" w:rsidRPr="00EF319B">
        <w:rPr>
          <w:rFonts w:ascii="Times New Roman" w:hAnsi="Times New Roman" w:cs="Times New Roman"/>
          <w:sz w:val="20"/>
          <w:szCs w:val="20"/>
          <w:vertAlign w:val="subscript"/>
        </w:rPr>
        <w:t>e</w:t>
      </w:r>
      <w:r w:rsidR="00E245D0" w:rsidRPr="00EF319B">
        <w:rPr>
          <w:rFonts w:ascii="Times New Roman" w:hAnsi="Times New Roman" w:cs="Times New Roman"/>
          <w:sz w:val="20"/>
          <w:szCs w:val="20"/>
        </w:rPr>
        <w:t>) than MO</w:t>
      </w:r>
      <w:r w:rsidR="003121A9" w:rsidRPr="00EF319B">
        <w:rPr>
          <w:rFonts w:ascii="Times New Roman" w:hAnsi="Times New Roman" w:cs="Times New Roman"/>
          <w:sz w:val="20"/>
          <w:szCs w:val="20"/>
        </w:rPr>
        <w:t xml:space="preserve"> due to its smaller molecular size, which allows it to penetrate biochar pores more easily </w:t>
      </w:r>
      <w:r w:rsidR="00043630" w:rsidRPr="00EF319B">
        <w:rPr>
          <w:rFonts w:ascii="Times New Roman" w:hAnsi="Times New Roman" w:cs="Times New Roman"/>
          <w:sz w:val="20"/>
          <w:szCs w:val="20"/>
        </w:rPr>
        <w:t>via a pore-filling</w:t>
      </w:r>
      <w:r w:rsidRPr="00EF319B">
        <w:rPr>
          <w:rFonts w:ascii="Times New Roman" w:hAnsi="Times New Roman" w:cs="Times New Roman"/>
          <w:sz w:val="20"/>
          <w:szCs w:val="20"/>
        </w:rPr>
        <w:t xml:space="preserve"> mechanism. Previous studies also indicated</w:t>
      </w:r>
      <w:r w:rsidR="000A3D66" w:rsidRPr="00EF319B">
        <w:rPr>
          <w:rFonts w:ascii="Times New Roman" w:hAnsi="Times New Roman" w:cs="Times New Roman"/>
          <w:sz w:val="20"/>
          <w:szCs w:val="20"/>
        </w:rPr>
        <w:t xml:space="preserve"> that the formation of porous and graphite structures</w:t>
      </w:r>
      <w:r w:rsidRPr="00EF319B">
        <w:rPr>
          <w:rFonts w:ascii="Times New Roman" w:hAnsi="Times New Roman" w:cs="Times New Roman"/>
          <w:sz w:val="20"/>
          <w:szCs w:val="20"/>
        </w:rPr>
        <w:t xml:space="preserve"> at 700-800°C promoted pore filling and hydrophobic interactions as dominant adsorption mechanisms</w:t>
      </w:r>
      <w:r w:rsidR="001E48B5" w:rsidRPr="00EF319B">
        <w:rPr>
          <w:rFonts w:ascii="Times New Roman" w:hAnsi="Times New Roman" w:cs="Times New Roman"/>
          <w:sz w:val="20"/>
          <w:szCs w:val="20"/>
        </w:rPr>
        <w:t xml:space="preserve"> </w:t>
      </w:r>
      <w:r w:rsidR="001E48B5" w:rsidRPr="00EF319B">
        <w:rPr>
          <w:rFonts w:ascii="Times New Roman" w:hAnsi="Times New Roman" w:cs="Times New Roman"/>
          <w:sz w:val="20"/>
          <w:szCs w:val="20"/>
        </w:rPr>
        <w:fldChar w:fldCharType="begin"/>
      </w:r>
      <w:r w:rsidR="001E48B5" w:rsidRPr="00EF319B">
        <w:rPr>
          <w:rFonts w:ascii="Times New Roman" w:hAnsi="Times New Roman" w:cs="Times New Roman"/>
          <w:sz w:val="20"/>
          <w:szCs w:val="20"/>
        </w:rPr>
        <w:instrText xml:space="preserve"> ADDIN ZOTERO_ITEM CSL_CITATION {"citationID":"AKnsegd0","properties":{"formattedCitation":"[59]","plainCitation":"[59]","noteIndex":0},"citationItems":[{"id":902,"uris":["http://zotero.org/users/14115032/items/WBXWGUGB"],"itemData":{"id":902,"type":"article-journal","abstract":"Abstract\n            With the development of economy and increasing environmental awareness, how to effectively remove organic pollutants in wastewater is a research hotspot. Adsorption is one of the effective methods, and the adsorption material is the key factor to determine the efficiency. In this review, biomass‐derived carbon materials as adsorbents of organic pollutants and the adsorption mechanism are discussed in depth. The effects of carbonization and activation on the morphology and structure of carbon materials; the modification strategies of carbon adsorbents, the adsorption performance of biomass‐derived carbon materials for organic pollutants are described and illustrated; the future work of the biomass‐derived carbon materials is proposed.","container-title":"Advanced Sustainable Systems","DOI":"10.1002/adsu.202300340","ISSN":"2366-7486, 2366-7486","issue":"3","journalAbbreviation":"Advanced Sustainable Systems","language":"en","page":"2300340","source":"DOI.org (Crossref)","title":"Biomass‐Derived Carbon Materials for the Adsorption of Organic Pollutants","volume":"8","author":[{"family":"Qiu","given":"Shuxian"},{"family":"Li","given":"Qiaoling"},{"family":"Li","given":"Xiaoying"},{"family":"Ma","given":"Jingxing"},{"family":"Wu","given":"Liqing"},{"family":"Xie","given":"Xiangjuan"},{"family":"Wu","given":"Lixia"},{"family":"Askari","given":"Saeed"},{"family":"Dewangan","given":"Nikita"},{"family":"Ashok","given":"Jangam"},{"family":"Gao","given":"Xingyuan"},{"family":"Kawi","given":"Sibudjing"}],"issued":{"date-parts":[["2024",3]]}}}],"schema":"https://github.com/citation-style-language/schema/raw/master/csl-citation.json"} </w:instrText>
      </w:r>
      <w:r w:rsidR="001E48B5" w:rsidRPr="00EF319B">
        <w:rPr>
          <w:rFonts w:ascii="Times New Roman" w:hAnsi="Times New Roman" w:cs="Times New Roman"/>
          <w:sz w:val="20"/>
          <w:szCs w:val="20"/>
        </w:rPr>
        <w:fldChar w:fldCharType="separate"/>
      </w:r>
      <w:r w:rsidR="001E48B5" w:rsidRPr="00EF319B">
        <w:rPr>
          <w:rFonts w:ascii="Times New Roman" w:hAnsi="Times New Roman" w:cs="Times New Roman"/>
          <w:sz w:val="20"/>
        </w:rPr>
        <w:t>[59]</w:t>
      </w:r>
      <w:r w:rsidR="001E48B5" w:rsidRPr="00EF319B">
        <w:rPr>
          <w:rFonts w:ascii="Times New Roman" w:hAnsi="Times New Roman" w:cs="Times New Roman"/>
          <w:sz w:val="20"/>
          <w:szCs w:val="20"/>
        </w:rPr>
        <w:fldChar w:fldCharType="end"/>
      </w:r>
      <w:r w:rsidRPr="00EF319B">
        <w:rPr>
          <w:rFonts w:ascii="Times New Roman" w:hAnsi="Times New Roman" w:cs="Times New Roman"/>
          <w:sz w:val="20"/>
          <w:szCs w:val="20"/>
        </w:rPr>
        <w:t xml:space="preserve">. The comparison between experimental data and </w:t>
      </w:r>
      <w:r w:rsidR="00051D89" w:rsidRPr="00EF319B">
        <w:rPr>
          <w:rFonts w:ascii="Times New Roman" w:hAnsi="Times New Roman" w:cs="Times New Roman"/>
          <w:sz w:val="20"/>
          <w:szCs w:val="20"/>
        </w:rPr>
        <w:t xml:space="preserve">ML </w:t>
      </w:r>
      <w:r w:rsidRPr="00EF319B">
        <w:rPr>
          <w:rFonts w:ascii="Times New Roman" w:hAnsi="Times New Roman" w:cs="Times New Roman"/>
          <w:sz w:val="20"/>
          <w:szCs w:val="20"/>
        </w:rPr>
        <w:t xml:space="preserve">predictions reveals a </w:t>
      </w:r>
      <w:r w:rsidR="000A3D66" w:rsidRPr="00EF319B">
        <w:rPr>
          <w:rFonts w:ascii="Times New Roman" w:hAnsi="Times New Roman" w:cs="Times New Roman"/>
          <w:sz w:val="20"/>
          <w:szCs w:val="20"/>
        </w:rPr>
        <w:t>strong correlation, suggesting that the ML model successfully captures</w:t>
      </w:r>
      <w:r w:rsidRPr="00EF319B">
        <w:rPr>
          <w:rFonts w:ascii="Times New Roman" w:hAnsi="Times New Roman" w:cs="Times New Roman"/>
          <w:sz w:val="20"/>
          <w:szCs w:val="20"/>
        </w:rPr>
        <w:t xml:space="preserve"> the non-linear relationship between production parameters and adsorption efficiency. The ML model’s ability to mirror the "plateau" or "steep increase" </w:t>
      </w:r>
      <w:r w:rsidR="000A3D66" w:rsidRPr="00EF319B">
        <w:rPr>
          <w:rFonts w:ascii="Times New Roman" w:hAnsi="Times New Roman" w:cs="Times New Roman"/>
          <w:sz w:val="20"/>
          <w:szCs w:val="20"/>
        </w:rPr>
        <w:t>in experimental % removal indicates that it accurately weights pyrolysis temperature as the most critical feature relative</w:t>
      </w:r>
      <w:r w:rsidRPr="00EF319B">
        <w:rPr>
          <w:rFonts w:ascii="Times New Roman" w:hAnsi="Times New Roman" w:cs="Times New Roman"/>
          <w:sz w:val="20"/>
          <w:szCs w:val="20"/>
        </w:rPr>
        <w:t xml:space="preserve"> to heating time. Overall, the integration of ML validates the experimental results, confirming that the pyrolysis parameters are reliable predictors for the design of high-performance biochars for effective </w:t>
      </w:r>
      <w:r w:rsidR="000A3D66" w:rsidRPr="00EF319B">
        <w:rPr>
          <w:rFonts w:ascii="Times New Roman" w:hAnsi="Times New Roman" w:cs="Times New Roman"/>
          <w:sz w:val="20"/>
          <w:szCs w:val="20"/>
        </w:rPr>
        <w:t>treatment of dye-contaminated wastewater</w:t>
      </w:r>
      <w:r w:rsidRPr="00EF319B">
        <w:rPr>
          <w:rFonts w:ascii="Times New Roman" w:hAnsi="Times New Roman" w:cs="Times New Roman"/>
          <w:sz w:val="20"/>
          <w:szCs w:val="20"/>
        </w:rPr>
        <w:t>.</w:t>
      </w:r>
    </w:p>
    <w:p w14:paraId="4BC90A71" w14:textId="7EEBF0FD" w:rsidR="0021267E" w:rsidRPr="00EF319B" w:rsidRDefault="0021267E" w:rsidP="00DE52DA">
      <w:pPr>
        <w:pStyle w:val="Caption"/>
        <w:keepNext/>
        <w:jc w:val="center"/>
        <w:rPr>
          <w:rFonts w:ascii="Times New Roman" w:hAnsi="Times New Roman" w:cs="Times New Roman"/>
          <w:i w:val="0"/>
          <w:iCs w:val="0"/>
          <w:color w:val="auto"/>
          <w:sz w:val="20"/>
          <w:szCs w:val="20"/>
        </w:rPr>
      </w:pPr>
      <w:r w:rsidRPr="00EF319B">
        <w:rPr>
          <w:rFonts w:ascii="Times New Roman" w:hAnsi="Times New Roman" w:cs="Times New Roman"/>
          <w:b/>
          <w:bCs/>
          <w:i w:val="0"/>
          <w:iCs w:val="0"/>
          <w:color w:val="auto"/>
          <w:sz w:val="20"/>
          <w:szCs w:val="20"/>
        </w:rPr>
        <w:t xml:space="preserve">Table </w:t>
      </w:r>
      <w:r w:rsidRPr="00EF319B">
        <w:rPr>
          <w:rFonts w:ascii="Times New Roman" w:hAnsi="Times New Roman" w:cs="Times New Roman"/>
          <w:b/>
          <w:bCs/>
          <w:i w:val="0"/>
          <w:iCs w:val="0"/>
          <w:color w:val="auto"/>
          <w:sz w:val="20"/>
          <w:szCs w:val="20"/>
        </w:rPr>
        <w:fldChar w:fldCharType="begin"/>
      </w:r>
      <w:r w:rsidRPr="00EF319B">
        <w:rPr>
          <w:rFonts w:ascii="Times New Roman" w:hAnsi="Times New Roman" w:cs="Times New Roman"/>
          <w:b/>
          <w:bCs/>
          <w:i w:val="0"/>
          <w:iCs w:val="0"/>
          <w:color w:val="auto"/>
          <w:sz w:val="20"/>
          <w:szCs w:val="20"/>
        </w:rPr>
        <w:instrText xml:space="preserve"> SEQ Table \* ARABIC </w:instrText>
      </w:r>
      <w:r w:rsidRPr="00EF319B">
        <w:rPr>
          <w:rFonts w:ascii="Times New Roman" w:hAnsi="Times New Roman" w:cs="Times New Roman"/>
          <w:b/>
          <w:bCs/>
          <w:i w:val="0"/>
          <w:iCs w:val="0"/>
          <w:color w:val="auto"/>
          <w:sz w:val="20"/>
          <w:szCs w:val="20"/>
        </w:rPr>
        <w:fldChar w:fldCharType="separate"/>
      </w:r>
      <w:r w:rsidR="00A37ABB" w:rsidRPr="00EF319B">
        <w:rPr>
          <w:rFonts w:ascii="Times New Roman" w:hAnsi="Times New Roman" w:cs="Times New Roman"/>
          <w:b/>
          <w:bCs/>
          <w:i w:val="0"/>
          <w:iCs w:val="0"/>
          <w:color w:val="auto"/>
          <w:sz w:val="20"/>
          <w:szCs w:val="20"/>
        </w:rPr>
        <w:t>2</w:t>
      </w:r>
      <w:r w:rsidRPr="00EF319B">
        <w:rPr>
          <w:rFonts w:ascii="Times New Roman" w:hAnsi="Times New Roman" w:cs="Times New Roman"/>
          <w:b/>
          <w:bCs/>
          <w:i w:val="0"/>
          <w:iCs w:val="0"/>
          <w:color w:val="auto"/>
          <w:sz w:val="20"/>
          <w:szCs w:val="20"/>
        </w:rPr>
        <w:fldChar w:fldCharType="end"/>
      </w:r>
      <w:r w:rsidRPr="00EF319B">
        <w:rPr>
          <w:rFonts w:ascii="Times New Roman" w:hAnsi="Times New Roman" w:cs="Times New Roman"/>
          <w:i w:val="0"/>
          <w:iCs w:val="0"/>
          <w:color w:val="auto"/>
          <w:sz w:val="20"/>
          <w:szCs w:val="20"/>
        </w:rPr>
        <w:t xml:space="preserve">. </w:t>
      </w:r>
      <w:r w:rsidR="00DE52DA" w:rsidRPr="00EF319B">
        <w:rPr>
          <w:rFonts w:ascii="Times New Roman" w:hAnsi="Times New Roman" w:cs="Times New Roman"/>
          <w:i w:val="0"/>
          <w:iCs w:val="0"/>
          <w:color w:val="auto"/>
          <w:sz w:val="20"/>
          <w:szCs w:val="20"/>
        </w:rPr>
        <w:t xml:space="preserve">Comparison of </w:t>
      </w:r>
      <w:r w:rsidR="00E245D0" w:rsidRPr="00EF319B">
        <w:rPr>
          <w:rFonts w:ascii="Times New Roman" w:hAnsi="Times New Roman" w:cs="Times New Roman"/>
          <w:i w:val="0"/>
          <w:iCs w:val="0"/>
          <w:color w:val="auto"/>
          <w:sz w:val="20"/>
          <w:szCs w:val="20"/>
        </w:rPr>
        <w:t>ML-predicted results with experimental values at different conditions for removing anionic dyes after 6 h using different jojoba-derived biochars (fixed conditions: pH = 3, temperature = 25 ℃, solution volume =</w:t>
      </w:r>
      <w:r w:rsidR="00DE52DA" w:rsidRPr="00EF319B">
        <w:rPr>
          <w:rFonts w:ascii="Times New Roman" w:hAnsi="Times New Roman" w:cs="Times New Roman"/>
          <w:i w:val="0"/>
          <w:iCs w:val="0"/>
          <w:color w:val="auto"/>
          <w:sz w:val="20"/>
          <w:szCs w:val="20"/>
        </w:rPr>
        <w:t xml:space="preserve"> 40 mL).</w:t>
      </w:r>
    </w:p>
    <w:tbl>
      <w:tblPr>
        <w:tblStyle w:val="TableGrid"/>
        <w:tblW w:w="0" w:type="auto"/>
        <w:tblLayout w:type="fixed"/>
        <w:tblLook w:val="04A0" w:firstRow="1" w:lastRow="0" w:firstColumn="1" w:lastColumn="0" w:noHBand="0" w:noVBand="1"/>
      </w:tblPr>
      <w:tblGrid>
        <w:gridCol w:w="895"/>
        <w:gridCol w:w="900"/>
        <w:gridCol w:w="1170"/>
        <w:gridCol w:w="810"/>
        <w:gridCol w:w="844"/>
        <w:gridCol w:w="776"/>
        <w:gridCol w:w="900"/>
        <w:gridCol w:w="900"/>
        <w:gridCol w:w="900"/>
        <w:gridCol w:w="921"/>
      </w:tblGrid>
      <w:tr w:rsidR="0019526F" w:rsidRPr="00EF319B" w14:paraId="7706025B" w14:textId="77777777" w:rsidTr="00FF4A92">
        <w:tc>
          <w:tcPr>
            <w:tcW w:w="89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2652E7"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b/>
                <w:bCs/>
                <w:color w:val="000000"/>
                <w:sz w:val="16"/>
                <w:szCs w:val="16"/>
              </w:rPr>
              <w:t>Pollutant</w:t>
            </w:r>
          </w:p>
        </w:tc>
        <w:tc>
          <w:tcPr>
            <w:tcW w:w="9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47504A"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b/>
                <w:bCs/>
                <w:color w:val="000000"/>
                <w:sz w:val="16"/>
                <w:szCs w:val="16"/>
              </w:rPr>
              <w:t>Material</w:t>
            </w:r>
          </w:p>
        </w:tc>
        <w:tc>
          <w:tcPr>
            <w:tcW w:w="11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E0280F" w14:textId="5E65D95D"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b/>
                <w:bCs/>
                <w:color w:val="000000"/>
                <w:sz w:val="16"/>
                <w:szCs w:val="16"/>
              </w:rPr>
              <w:t xml:space="preserve">Initial concentration </w:t>
            </w:r>
            <w:r w:rsidR="00FF4A92" w:rsidRPr="00EF319B">
              <w:rPr>
                <w:rFonts w:ascii="Times New Roman" w:hAnsi="Times New Roman" w:cs="Times New Roman"/>
                <w:b/>
                <w:bCs/>
                <w:color w:val="000000"/>
                <w:sz w:val="16"/>
                <w:szCs w:val="16"/>
              </w:rPr>
              <w:t>(</w:t>
            </w:r>
            <w:r w:rsidRPr="00EF319B">
              <w:rPr>
                <w:rFonts w:ascii="Times New Roman" w:hAnsi="Times New Roman" w:cs="Times New Roman"/>
                <w:b/>
                <w:bCs/>
                <w:color w:val="000000"/>
                <w:sz w:val="16"/>
                <w:szCs w:val="16"/>
              </w:rPr>
              <w:t>mg/L</w:t>
            </w:r>
            <w:r w:rsidR="00FF4A92" w:rsidRPr="00EF319B">
              <w:rPr>
                <w:rFonts w:ascii="Times New Roman" w:hAnsi="Times New Roman" w:cs="Times New Roman"/>
                <w:b/>
                <w:bCs/>
                <w:color w:val="000000"/>
                <w:sz w:val="16"/>
                <w:szCs w:val="16"/>
              </w:rPr>
              <w:t>)</w:t>
            </w:r>
          </w:p>
        </w:tc>
        <w:tc>
          <w:tcPr>
            <w:tcW w:w="8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6DA6FC"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b/>
                <w:bCs/>
                <w:color w:val="000000"/>
                <w:sz w:val="16"/>
                <w:szCs w:val="16"/>
              </w:rPr>
              <w:t>Dosage (mg)</w:t>
            </w:r>
          </w:p>
        </w:tc>
        <w:tc>
          <w:tcPr>
            <w:tcW w:w="1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ABDBCE" w14:textId="77777777" w:rsidR="0019526F" w:rsidRPr="00EF319B" w:rsidRDefault="0019526F" w:rsidP="00DC4CC1">
            <w:pPr>
              <w:spacing w:line="240" w:lineRule="auto"/>
              <w:jc w:val="center"/>
              <w:rPr>
                <w:rFonts w:ascii="Times New Roman" w:hAnsi="Times New Roman" w:cs="Times New Roman"/>
                <w:b/>
                <w:bCs/>
                <w:color w:val="000000"/>
                <w:sz w:val="16"/>
                <w:szCs w:val="16"/>
              </w:rPr>
            </w:pPr>
            <w:r w:rsidRPr="00EF319B">
              <w:rPr>
                <w:rFonts w:ascii="Times New Roman" w:hAnsi="Times New Roman" w:cs="Times New Roman"/>
                <w:b/>
                <w:bCs/>
                <w:color w:val="000000"/>
                <w:sz w:val="16"/>
                <w:szCs w:val="16"/>
              </w:rPr>
              <w:t>Experimental</w:t>
            </w:r>
          </w:p>
        </w:tc>
        <w:tc>
          <w:tcPr>
            <w:tcW w:w="1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1C218A" w14:textId="77777777" w:rsidR="0019526F" w:rsidRPr="00EF319B" w:rsidRDefault="0019526F" w:rsidP="00DC4CC1">
            <w:pPr>
              <w:spacing w:line="240" w:lineRule="auto"/>
              <w:jc w:val="center"/>
              <w:rPr>
                <w:rFonts w:ascii="Times New Roman" w:hAnsi="Times New Roman" w:cs="Times New Roman"/>
                <w:b/>
                <w:bCs/>
                <w:color w:val="000000"/>
                <w:sz w:val="16"/>
                <w:szCs w:val="16"/>
              </w:rPr>
            </w:pPr>
            <w:r w:rsidRPr="00EF319B">
              <w:rPr>
                <w:rFonts w:ascii="Times New Roman" w:hAnsi="Times New Roman" w:cs="Times New Roman"/>
                <w:b/>
                <w:bCs/>
                <w:color w:val="000000"/>
                <w:sz w:val="16"/>
                <w:szCs w:val="16"/>
              </w:rPr>
              <w:t>Predicted</w:t>
            </w:r>
          </w:p>
        </w:tc>
        <w:tc>
          <w:tcPr>
            <w:tcW w:w="18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3F6B59" w14:textId="77777777" w:rsidR="0019526F" w:rsidRPr="00EF319B" w:rsidRDefault="0019526F" w:rsidP="00DC4CC1">
            <w:pPr>
              <w:spacing w:line="240" w:lineRule="auto"/>
              <w:jc w:val="center"/>
              <w:rPr>
                <w:rFonts w:ascii="Times New Roman" w:hAnsi="Times New Roman" w:cs="Times New Roman"/>
                <w:color w:val="FF0000"/>
                <w:sz w:val="16"/>
                <w:szCs w:val="16"/>
              </w:rPr>
            </w:pPr>
            <w:r w:rsidRPr="00EF319B">
              <w:rPr>
                <w:rFonts w:ascii="Times New Roman" w:hAnsi="Times New Roman" w:cs="Times New Roman"/>
                <w:color w:val="FF0000"/>
                <w:sz w:val="16"/>
                <w:szCs w:val="16"/>
              </w:rPr>
              <w:t>% Error</w:t>
            </w:r>
          </w:p>
        </w:tc>
      </w:tr>
      <w:tr w:rsidR="0019526F" w:rsidRPr="00EF319B" w14:paraId="7C94E456" w14:textId="77777777" w:rsidTr="00FF4A92">
        <w:tc>
          <w:tcPr>
            <w:tcW w:w="89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9552C5" w14:textId="77777777" w:rsidR="0019526F" w:rsidRPr="00EF319B" w:rsidRDefault="0019526F" w:rsidP="00DC4CC1">
            <w:pPr>
              <w:spacing w:line="240" w:lineRule="auto"/>
              <w:jc w:val="center"/>
              <w:rPr>
                <w:rFonts w:ascii="Times New Roman" w:hAnsi="Times New Roman" w:cs="Times New Roman"/>
                <w:sz w:val="16"/>
                <w:szCs w:val="16"/>
              </w:rPr>
            </w:pPr>
          </w:p>
        </w:tc>
        <w:tc>
          <w:tcPr>
            <w:tcW w:w="9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953731" w14:textId="77777777" w:rsidR="0019526F" w:rsidRPr="00EF319B" w:rsidRDefault="0019526F" w:rsidP="00DC4CC1">
            <w:pPr>
              <w:spacing w:line="240" w:lineRule="auto"/>
              <w:jc w:val="center"/>
              <w:rPr>
                <w:rFonts w:ascii="Times New Roman" w:hAnsi="Times New Roman" w:cs="Times New Roman"/>
                <w:sz w:val="16"/>
                <w:szCs w:val="16"/>
              </w:rPr>
            </w:pPr>
          </w:p>
        </w:tc>
        <w:tc>
          <w:tcPr>
            <w:tcW w:w="11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7334A8" w14:textId="77777777" w:rsidR="0019526F" w:rsidRPr="00EF319B" w:rsidRDefault="0019526F" w:rsidP="00DC4CC1">
            <w:pPr>
              <w:spacing w:line="240" w:lineRule="auto"/>
              <w:jc w:val="center"/>
              <w:rPr>
                <w:rFonts w:ascii="Times New Roman" w:hAnsi="Times New Roman" w:cs="Times New Roman"/>
                <w:sz w:val="16"/>
                <w:szCs w:val="16"/>
              </w:rPr>
            </w:pPr>
          </w:p>
        </w:tc>
        <w:tc>
          <w:tcPr>
            <w:tcW w:w="8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B7F369" w14:textId="77777777" w:rsidR="0019526F" w:rsidRPr="00EF319B" w:rsidRDefault="0019526F" w:rsidP="00DC4CC1">
            <w:pPr>
              <w:spacing w:line="240" w:lineRule="auto"/>
              <w:jc w:val="center"/>
              <w:rPr>
                <w:rFonts w:ascii="Times New Roman" w:hAnsi="Times New Roman" w:cs="Times New Roman"/>
                <w:sz w:val="16"/>
                <w:szCs w:val="16"/>
              </w:rPr>
            </w:pP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01EFF1"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b/>
                <w:bCs/>
                <w:color w:val="000000"/>
                <w:sz w:val="16"/>
                <w:szCs w:val="16"/>
              </w:rPr>
              <w:t>Removal%</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5EC07F"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b/>
                <w:bCs/>
                <w:color w:val="000000"/>
                <w:sz w:val="16"/>
                <w:szCs w:val="16"/>
              </w:rPr>
              <w:t>Kinetics Qe (mg/g)</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0BC112" w14:textId="175C42E0"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b/>
                <w:bCs/>
                <w:color w:val="000000"/>
                <w:sz w:val="16"/>
                <w:szCs w:val="16"/>
              </w:rPr>
              <w:t>Removal</w:t>
            </w:r>
            <w:r w:rsidR="00FF4A92" w:rsidRPr="00EF319B">
              <w:rPr>
                <w:rFonts w:ascii="Times New Roman" w:hAnsi="Times New Roman" w:cs="Times New Roman"/>
                <w:b/>
                <w:bCs/>
                <w:color w:val="000000"/>
                <w:sz w:val="16"/>
                <w:szCs w:val="16"/>
              </w:rPr>
              <w:t xml:space="preserve"> (</w:t>
            </w:r>
            <w:r w:rsidRPr="00EF319B">
              <w:rPr>
                <w:rFonts w:ascii="Times New Roman" w:hAnsi="Times New Roman" w:cs="Times New Roman"/>
                <w:b/>
                <w:bCs/>
                <w:color w:val="000000"/>
                <w:sz w:val="16"/>
                <w:szCs w:val="16"/>
              </w:rPr>
              <w:t>%</w:t>
            </w:r>
            <w:r w:rsidR="00FF4A92" w:rsidRPr="00EF319B">
              <w:rPr>
                <w:rFonts w:ascii="Times New Roman" w:hAnsi="Times New Roman" w:cs="Times New Roman"/>
                <w:b/>
                <w:bCs/>
                <w:color w:val="000000"/>
                <w:sz w:val="16"/>
                <w:szCs w:val="16"/>
              </w:rPr>
              <w:t>)</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FAAFF9"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b/>
                <w:bCs/>
                <w:color w:val="000000"/>
                <w:sz w:val="16"/>
                <w:szCs w:val="16"/>
              </w:rPr>
              <w:t>Kinetics Qe (mg/g)</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3DB488" w14:textId="589E96CC"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b/>
                <w:bCs/>
                <w:color w:val="FF0000"/>
                <w:sz w:val="16"/>
                <w:szCs w:val="16"/>
              </w:rPr>
              <w:t>Removal</w:t>
            </w:r>
            <w:r w:rsidR="00FF4A92" w:rsidRPr="00EF319B">
              <w:rPr>
                <w:rFonts w:ascii="Times New Roman" w:hAnsi="Times New Roman" w:cs="Times New Roman"/>
                <w:b/>
                <w:bCs/>
                <w:color w:val="FF0000"/>
                <w:sz w:val="16"/>
                <w:szCs w:val="16"/>
              </w:rPr>
              <w:t xml:space="preserve"> (</w:t>
            </w:r>
            <w:r w:rsidRPr="00EF319B">
              <w:rPr>
                <w:rFonts w:ascii="Times New Roman" w:hAnsi="Times New Roman" w:cs="Times New Roman"/>
                <w:b/>
                <w:bCs/>
                <w:color w:val="FF0000"/>
                <w:sz w:val="16"/>
                <w:szCs w:val="16"/>
              </w:rPr>
              <w:t>%</w:t>
            </w:r>
            <w:r w:rsidR="00FF4A92" w:rsidRPr="00EF319B">
              <w:rPr>
                <w:rFonts w:ascii="Times New Roman" w:hAnsi="Times New Roman" w:cs="Times New Roman"/>
                <w:b/>
                <w:bCs/>
                <w:color w:val="FF0000"/>
                <w:sz w:val="16"/>
                <w:szCs w:val="16"/>
              </w:rPr>
              <w:t>)</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438D6A"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b/>
                <w:bCs/>
                <w:color w:val="FF0000"/>
                <w:sz w:val="16"/>
                <w:szCs w:val="16"/>
              </w:rPr>
              <w:t>Kinetics Qe (mg/g)</w:t>
            </w:r>
          </w:p>
        </w:tc>
      </w:tr>
      <w:tr w:rsidR="0019526F" w:rsidRPr="00EF319B" w14:paraId="246771C0" w14:textId="77777777" w:rsidTr="00FF4A92">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08A65C"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EBT</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E2FFA6"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B-700-4</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765042"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48.88</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F1BC5D"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10.75</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D3DABB"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25.51</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7B1273"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46.40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7FA071"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24.31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3AE0A6"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45.20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C912BB"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4.71</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E03BEB"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2.59</w:t>
            </w:r>
          </w:p>
        </w:tc>
      </w:tr>
      <w:tr w:rsidR="0019526F" w:rsidRPr="00EF319B" w14:paraId="7BFF42B3" w14:textId="77777777" w:rsidTr="00FF4A92">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83A240"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MO</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F4405F"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B-700-4</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567586"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38.46</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E75692"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10.71</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F0DE0D"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21.48</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838FB6"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30.85</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2CFDAD"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23.51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0CB767"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32.18</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E4D771"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9.47</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29C88B"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4.31</w:t>
            </w:r>
          </w:p>
        </w:tc>
      </w:tr>
      <w:tr w:rsidR="0019526F" w:rsidRPr="00EF319B" w14:paraId="2ED45A65" w14:textId="77777777" w:rsidTr="00FF4A92">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AED4CD"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MO</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26750A"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B-500-2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650629"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38.46</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A9FA61"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10.5</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F750E1"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48.28</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E681F6"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70.74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147303"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50.92</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8D2037"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72.88</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19CDFF"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5.46</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009EAF"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3.02</w:t>
            </w:r>
          </w:p>
        </w:tc>
      </w:tr>
      <w:tr w:rsidR="0019526F" w:rsidRPr="00EF319B" w14:paraId="6CC10945" w14:textId="77777777" w:rsidTr="00FF4A92">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9C9EB9"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EBT</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81E45E"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B-500-2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22B6B9"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48.88</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C8C978"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10.77</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E600F3"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9.80</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BF2399"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17.79</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C57CB2"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10.50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4DA9E2"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18.81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7B0843"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7.15</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F8BEEC"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5.73</w:t>
            </w:r>
          </w:p>
        </w:tc>
      </w:tr>
      <w:tr w:rsidR="0019526F" w:rsidRPr="00EF319B" w14:paraId="29393B25" w14:textId="77777777" w:rsidTr="00FF4A92">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8D9C58"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EBT</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B3B49D"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B-500-4</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2499F1"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48.88</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328126"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10.7</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917D66"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15.22</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848FCA"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27.81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8D1B24"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14.91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56F6FE"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29.15</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4E299E"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2.04</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9F66D8"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4.81</w:t>
            </w:r>
          </w:p>
        </w:tc>
      </w:tr>
      <w:tr w:rsidR="0019526F" w:rsidRPr="00EF319B" w14:paraId="708D6C7F" w14:textId="77777777" w:rsidTr="00FF4A92">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9EC9A5"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EBT</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AA7231"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B-600-2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EBA4EF"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48.88</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232436"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10.46</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311F15"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10.11</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823EF3"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18.89</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B5AD59"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9.50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C7E43C"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17.16</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8B8E6A"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6.00</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E35054"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9.16</w:t>
            </w:r>
          </w:p>
        </w:tc>
      </w:tr>
      <w:tr w:rsidR="0019526F" w:rsidRPr="00EF319B" w14:paraId="0BDF06E8" w14:textId="77777777" w:rsidTr="00FF4A92">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883700"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EBT</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B2E660"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B-700-2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3CAF97"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48.88</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290EF8"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10.17</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301523"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16.76</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A7BFC5"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32.21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74E387"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16.42</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49685E"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32.73</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35AC13"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2.00</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172B25"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1.61</w:t>
            </w:r>
          </w:p>
        </w:tc>
      </w:tr>
      <w:tr w:rsidR="0019526F" w:rsidRPr="00EF319B" w14:paraId="7B2DD4C8" w14:textId="77777777" w:rsidTr="00FF4A92">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18AB4E"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EBT</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708B93"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B-800-2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A7881B"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48.88</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1D3778"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10.42</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E5D142"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24.71</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99A292"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46.37</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FEB3D4"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24.06</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457800"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47.53</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196362"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2.64</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064FBD"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2.50</w:t>
            </w:r>
          </w:p>
        </w:tc>
      </w:tr>
      <w:tr w:rsidR="0019526F" w:rsidRPr="00EF319B" w14:paraId="39ED1050" w14:textId="77777777" w:rsidTr="00FF4A92">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490122"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EBT</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BD2E3A"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B-800-4</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A31560"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48.88</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77E775"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10.41</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F73658"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29.66</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EC8259"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55.72</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514288"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31.35</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725013"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58.48</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769556"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5.68</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4BD312"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4.96</w:t>
            </w:r>
          </w:p>
        </w:tc>
      </w:tr>
      <w:tr w:rsidR="0019526F" w:rsidRPr="00EF319B" w14:paraId="518E40B3" w14:textId="77777777" w:rsidTr="00FF4A92">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979E6F"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MO</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A5EC35"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B-500-4</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63659A"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38.46</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3D8F32"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10.69</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AB7197"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24.05</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319496"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34.61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1DF317"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26.37</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03A6D3"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31.91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23D4F4"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9.64</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AD687D"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7.81</w:t>
            </w:r>
          </w:p>
        </w:tc>
      </w:tr>
      <w:tr w:rsidR="0019526F" w:rsidRPr="00EF319B" w14:paraId="03C16791" w14:textId="77777777" w:rsidTr="00FF4A92">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550332"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MO</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6882C9"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B-600-2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6E28E5"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38.46</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23A4CC"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10.52</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75E426"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52.29</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BE6EEF"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76.46</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B2743A"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50.51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21D81E"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78.66</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6CEB43"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3.40</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8A468C"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2.87</w:t>
            </w:r>
          </w:p>
        </w:tc>
      </w:tr>
      <w:tr w:rsidR="0019526F" w:rsidRPr="00EF319B" w14:paraId="21AE3153" w14:textId="77777777" w:rsidTr="00FF4A92">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AEDF26"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MO</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B3747F"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B-600-4</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88EEC0"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38.46</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3C0196"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10.09</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15960F"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22.05</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2A8AA0"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33.62</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14F96A"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23.31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B11074"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35.15</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D10DC8"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5.72</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0A6AC0"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4.56</w:t>
            </w:r>
          </w:p>
        </w:tc>
      </w:tr>
      <w:tr w:rsidR="0019526F" w:rsidRPr="00EF319B" w14:paraId="5FE7A47C" w14:textId="77777777" w:rsidTr="00FF4A92">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A7145F"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MO</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C54479"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B-700-2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E0A622"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38.46</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522777"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10.63</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C0D426"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32.24</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97ABE5"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46.66</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AA2DDB"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33.64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AE1734"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45.51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BD0E44"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4.34</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D92183"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2.47</w:t>
            </w:r>
          </w:p>
        </w:tc>
      </w:tr>
      <w:tr w:rsidR="0019526F" w:rsidRPr="00EF319B" w14:paraId="16F484AF" w14:textId="77777777" w:rsidTr="00FF4A92">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9E19AA"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MO</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4B68D2"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B-800-2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0126DD"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38.46</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3CDFAC"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10.18</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5DBF32"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38.85</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7CC8B7"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58.70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2CEF5E"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40.12</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E7CFA6"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57.32</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15FFB9"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3.28</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00561E"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2.36</w:t>
            </w:r>
          </w:p>
        </w:tc>
      </w:tr>
      <w:tr w:rsidR="0019526F" w:rsidRPr="00EF319B" w14:paraId="27D34930" w14:textId="77777777" w:rsidTr="00FF4A92">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92E180"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MO</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E1C09E"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B-800-4</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A7546C"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38.46</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5EAA11"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10.29</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AF5187"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19.68</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D76B8E"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000000"/>
                <w:sz w:val="16"/>
                <w:szCs w:val="16"/>
              </w:rPr>
              <w:t>29.43</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45F350"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21.44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941DE8"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sz w:val="16"/>
                <w:szCs w:val="16"/>
              </w:rPr>
              <w:t>27.81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4BF896"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8.93</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8C923F" w14:textId="77777777" w:rsidR="0019526F" w:rsidRPr="00EF319B" w:rsidRDefault="0019526F" w:rsidP="00DC4CC1">
            <w:pPr>
              <w:spacing w:line="240" w:lineRule="auto"/>
              <w:jc w:val="center"/>
              <w:rPr>
                <w:rFonts w:ascii="Times New Roman" w:hAnsi="Times New Roman" w:cs="Times New Roman"/>
                <w:sz w:val="16"/>
                <w:szCs w:val="16"/>
              </w:rPr>
            </w:pPr>
            <w:r w:rsidRPr="00EF319B">
              <w:rPr>
                <w:rFonts w:ascii="Times New Roman" w:hAnsi="Times New Roman" w:cs="Times New Roman"/>
                <w:color w:val="FF0000"/>
                <w:sz w:val="16"/>
                <w:szCs w:val="16"/>
              </w:rPr>
              <w:t>5.49</w:t>
            </w:r>
          </w:p>
        </w:tc>
      </w:tr>
    </w:tbl>
    <w:p w14:paraId="2832B3D9" w14:textId="77777777" w:rsidR="00B57D3D" w:rsidRPr="00EF319B" w:rsidRDefault="00B57D3D" w:rsidP="0019526F">
      <w:pPr>
        <w:rPr>
          <w:rFonts w:ascii="Times New Roman" w:hAnsi="Times New Roman" w:cs="Times New Roman"/>
        </w:rPr>
      </w:pPr>
    </w:p>
    <w:p w14:paraId="28116A7A" w14:textId="315270D0" w:rsidR="00B57D3D" w:rsidRPr="00EF319B" w:rsidRDefault="006A2E6B" w:rsidP="005E3453">
      <w:pPr>
        <w:spacing w:line="360" w:lineRule="auto"/>
        <w:jc w:val="both"/>
        <w:rPr>
          <w:rFonts w:ascii="Times New Roman" w:hAnsi="Times New Roman" w:cs="Times New Roman"/>
          <w:sz w:val="20"/>
          <w:szCs w:val="20"/>
        </w:rPr>
      </w:pPr>
      <w:r w:rsidRPr="00EF319B">
        <w:rPr>
          <w:rFonts w:ascii="Times New Roman" w:hAnsi="Times New Roman" w:cs="Times New Roman"/>
          <w:sz w:val="20"/>
          <w:szCs w:val="20"/>
        </w:rPr>
        <w:t>To facilitate the practical implementation of the developed machine learning framework, a graphical user interface (GUI) was designed using MATLAB R2021b</w:t>
      </w:r>
      <w:r w:rsidR="008A469C">
        <w:rPr>
          <w:rFonts w:ascii="Times New Roman" w:hAnsi="Times New Roman" w:cs="Times New Roman"/>
          <w:sz w:val="20"/>
          <w:szCs w:val="20"/>
        </w:rPr>
        <w:t>,</w:t>
      </w:r>
      <w:r w:rsidR="005E3453" w:rsidRPr="00EF319B">
        <w:rPr>
          <w:rFonts w:ascii="Times New Roman" w:hAnsi="Times New Roman" w:cs="Times New Roman"/>
          <w:sz w:val="20"/>
          <w:szCs w:val="20"/>
        </w:rPr>
        <w:t xml:space="preserve"> as </w:t>
      </w:r>
      <w:r w:rsidR="005E3453" w:rsidRPr="008A469C">
        <w:rPr>
          <w:rFonts w:ascii="Times New Roman" w:hAnsi="Times New Roman" w:cs="Times New Roman"/>
          <w:sz w:val="20"/>
          <w:szCs w:val="20"/>
        </w:rPr>
        <w:t>shown in Figure 8</w:t>
      </w:r>
      <w:r w:rsidRPr="008A469C">
        <w:rPr>
          <w:rFonts w:ascii="Times New Roman" w:hAnsi="Times New Roman" w:cs="Times New Roman"/>
          <w:sz w:val="20"/>
          <w:szCs w:val="20"/>
        </w:rPr>
        <w:t>. The GUI</w:t>
      </w:r>
      <w:r w:rsidRPr="00EF319B">
        <w:rPr>
          <w:rFonts w:ascii="Times New Roman" w:hAnsi="Times New Roman" w:cs="Times New Roman"/>
          <w:sz w:val="20"/>
          <w:szCs w:val="20"/>
        </w:rPr>
        <w:t xml:space="preserve"> integrates the optimized Ensemble Learning Tree (ELT) model, allowing users to rapidly predict adsorption removal efficiency and adsorption capacity under user-defined experimental conditions. The </w:t>
      </w:r>
      <w:r w:rsidR="00E97DB9" w:rsidRPr="00EF319B">
        <w:rPr>
          <w:rFonts w:ascii="Times New Roman" w:hAnsi="Times New Roman" w:cs="Times New Roman"/>
          <w:sz w:val="20"/>
          <w:szCs w:val="20"/>
        </w:rPr>
        <w:t xml:space="preserve">developed </w:t>
      </w:r>
      <w:r w:rsidRPr="00EF319B">
        <w:rPr>
          <w:rFonts w:ascii="Times New Roman" w:hAnsi="Times New Roman" w:cs="Times New Roman"/>
          <w:sz w:val="20"/>
          <w:szCs w:val="20"/>
        </w:rPr>
        <w:t xml:space="preserve">interface provides an accessible platform that eliminates the need for direct interaction with the underlying machine learning code, enabling researchers and engineers to perform rapid </w:t>
      </w:r>
      <w:r w:rsidR="005E3453" w:rsidRPr="00EF319B">
        <w:rPr>
          <w:rFonts w:ascii="Times New Roman" w:hAnsi="Times New Roman" w:cs="Times New Roman"/>
          <w:sz w:val="20"/>
          <w:szCs w:val="20"/>
        </w:rPr>
        <w:t>assessments of adsorption performance</w:t>
      </w:r>
      <w:r w:rsidRPr="00EF319B">
        <w:rPr>
          <w:rFonts w:ascii="Times New Roman" w:hAnsi="Times New Roman" w:cs="Times New Roman"/>
          <w:sz w:val="20"/>
          <w:szCs w:val="20"/>
        </w:rPr>
        <w:t>. The GUI was developed using MATLAB’s App Designer</w:t>
      </w:r>
      <w:r w:rsidR="005E3453" w:rsidRPr="00EF319B">
        <w:rPr>
          <w:rFonts w:ascii="Times New Roman" w:hAnsi="Times New Roman" w:cs="Times New Roman"/>
          <w:sz w:val="20"/>
          <w:szCs w:val="20"/>
        </w:rPr>
        <w:t>, which supports interactive user input and real-time prediction using</w:t>
      </w:r>
      <w:r w:rsidRPr="00EF319B">
        <w:rPr>
          <w:rFonts w:ascii="Times New Roman" w:hAnsi="Times New Roman" w:cs="Times New Roman"/>
          <w:sz w:val="20"/>
          <w:szCs w:val="20"/>
        </w:rPr>
        <w:t xml:space="preserve"> the trained ML model. The interface consists of several input panels corresponding to the key operational parameters used during model training. These parameters include </w:t>
      </w:r>
      <w:r w:rsidR="005E3453" w:rsidRPr="00EF319B">
        <w:rPr>
          <w:rFonts w:ascii="Times New Roman" w:hAnsi="Times New Roman" w:cs="Times New Roman"/>
          <w:sz w:val="20"/>
          <w:szCs w:val="20"/>
        </w:rPr>
        <w:t>the solution pH</w:t>
      </w:r>
      <w:r w:rsidRPr="00EF319B">
        <w:rPr>
          <w:rFonts w:ascii="Times New Roman" w:hAnsi="Times New Roman" w:cs="Times New Roman"/>
          <w:sz w:val="20"/>
          <w:szCs w:val="20"/>
        </w:rPr>
        <w:t xml:space="preserve">, adsorbent dosage, BET surface area of the adsorbent, initial pollutant concentration, equilibrium concentration, solution volume, contact time, and adsorbent material type. Each parameter can be entered manually within the range of values used during model training to ensure reliable </w:t>
      </w:r>
      <w:r w:rsidRPr="00EF319B">
        <w:rPr>
          <w:rFonts w:ascii="Times New Roman" w:hAnsi="Times New Roman" w:cs="Times New Roman"/>
          <w:sz w:val="20"/>
          <w:szCs w:val="20"/>
        </w:rPr>
        <w:lastRenderedPageBreak/>
        <w:t xml:space="preserve">predictions. Once the experimental parameters are specified, the GUI processes the input data and passes </w:t>
      </w:r>
      <w:r w:rsidR="005E3453" w:rsidRPr="00EF319B">
        <w:rPr>
          <w:rFonts w:ascii="Times New Roman" w:hAnsi="Times New Roman" w:cs="Times New Roman"/>
          <w:sz w:val="20"/>
          <w:szCs w:val="20"/>
        </w:rPr>
        <w:t>it</w:t>
      </w:r>
      <w:r w:rsidRPr="00EF319B">
        <w:rPr>
          <w:rFonts w:ascii="Times New Roman" w:hAnsi="Times New Roman" w:cs="Times New Roman"/>
          <w:sz w:val="20"/>
          <w:szCs w:val="20"/>
        </w:rPr>
        <w:t xml:space="preserve"> to the trained ELT regression model, which computes the predicted adsorption performance. The interface subsequently displays two main outputs, i.e., adsorptive removal (%) and capacity (q</w:t>
      </w:r>
      <w:r w:rsidRPr="00EF319B">
        <w:rPr>
          <w:rFonts w:ascii="Times New Roman" w:hAnsi="Times New Roman" w:cs="Times New Roman"/>
          <w:sz w:val="20"/>
          <w:szCs w:val="20"/>
          <w:vertAlign w:val="subscript"/>
        </w:rPr>
        <w:t>e</w:t>
      </w:r>
      <w:r w:rsidRPr="00EF319B">
        <w:rPr>
          <w:rFonts w:ascii="Times New Roman" w:hAnsi="Times New Roman" w:cs="Times New Roman"/>
          <w:sz w:val="20"/>
          <w:szCs w:val="20"/>
        </w:rPr>
        <w:t>, mg</w:t>
      </w:r>
      <w:r w:rsidR="00AA1B68" w:rsidRPr="00EF319B">
        <w:rPr>
          <w:rFonts w:ascii="Times New Roman" w:hAnsi="Times New Roman" w:cs="Times New Roman"/>
          <w:sz w:val="20"/>
          <w:szCs w:val="20"/>
        </w:rPr>
        <w:t>/g)</w:t>
      </w:r>
      <w:r w:rsidRPr="00EF319B">
        <w:rPr>
          <w:rFonts w:ascii="Times New Roman" w:hAnsi="Times New Roman" w:cs="Times New Roman"/>
          <w:sz w:val="20"/>
          <w:szCs w:val="20"/>
        </w:rPr>
        <w:t>.</w:t>
      </w:r>
      <w:r w:rsidR="00AA1B68" w:rsidRPr="00EF319B">
        <w:rPr>
          <w:rFonts w:ascii="Times New Roman" w:hAnsi="Times New Roman" w:cs="Times New Roman"/>
          <w:sz w:val="20"/>
          <w:szCs w:val="20"/>
        </w:rPr>
        <w:t xml:space="preserve"> These predictions are generated instantaneously, enabling users to evaluate how variations in operational parameters influence adsorption performance without conducting time-consuming laboratory experiments.</w:t>
      </w:r>
      <w:r w:rsidR="000262FE" w:rsidRPr="00EF319B">
        <w:rPr>
          <w:rFonts w:ascii="Times New Roman" w:hAnsi="Times New Roman" w:cs="Times New Roman"/>
          <w:sz w:val="20"/>
          <w:szCs w:val="20"/>
        </w:rPr>
        <w:t xml:space="preserve"> The developed GUI demonstrates the potential of integrating machine learning models with user-friendly software tools to bridge the gap between data-driven modelling and practical environmental engineering applications.</w:t>
      </w:r>
    </w:p>
    <w:p w14:paraId="35CDCCFE" w14:textId="77777777" w:rsidR="00B7302C" w:rsidRPr="00EF319B" w:rsidRDefault="002278BD" w:rsidP="00B7302C">
      <w:pPr>
        <w:keepNext/>
        <w:jc w:val="center"/>
      </w:pPr>
      <w:r w:rsidRPr="00EF319B">
        <w:rPr>
          <w:noProof/>
        </w:rPr>
        <w:drawing>
          <wp:inline distT="0" distB="0" distL="0" distR="0" wp14:anchorId="31D0B245" wp14:editId="3295E729">
            <wp:extent cx="5185011" cy="3427130"/>
            <wp:effectExtent l="0" t="0" r="0" b="1905"/>
            <wp:docPr id="1578594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594086" name="Picture 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185011" cy="3427130"/>
                    </a:xfrm>
                    <a:prstGeom prst="rect">
                      <a:avLst/>
                    </a:prstGeom>
                    <a:noFill/>
                    <a:ln>
                      <a:noFill/>
                    </a:ln>
                  </pic:spPr>
                </pic:pic>
              </a:graphicData>
            </a:graphic>
          </wp:inline>
        </w:drawing>
      </w:r>
    </w:p>
    <w:p w14:paraId="218B1B31" w14:textId="61D5391E" w:rsidR="0019526F" w:rsidRPr="00EF319B" w:rsidRDefault="00B7302C" w:rsidP="00BB15D3">
      <w:pPr>
        <w:pStyle w:val="Caption"/>
        <w:jc w:val="center"/>
        <w:rPr>
          <w:rFonts w:ascii="Times New Roman" w:hAnsi="Times New Roman" w:cs="Times New Roman"/>
          <w:i w:val="0"/>
          <w:iCs w:val="0"/>
          <w:color w:val="auto"/>
          <w:sz w:val="20"/>
          <w:szCs w:val="20"/>
        </w:rPr>
      </w:pPr>
      <w:r w:rsidRPr="00EF319B">
        <w:rPr>
          <w:rFonts w:ascii="Times New Roman" w:hAnsi="Times New Roman" w:cs="Times New Roman"/>
          <w:b/>
          <w:bCs/>
          <w:i w:val="0"/>
          <w:iCs w:val="0"/>
          <w:color w:val="auto"/>
          <w:sz w:val="20"/>
          <w:szCs w:val="20"/>
        </w:rPr>
        <w:t xml:space="preserve">Figure </w:t>
      </w:r>
      <w:r w:rsidRPr="00EF319B">
        <w:rPr>
          <w:rFonts w:ascii="Times New Roman" w:hAnsi="Times New Roman" w:cs="Times New Roman"/>
          <w:b/>
          <w:bCs/>
          <w:i w:val="0"/>
          <w:iCs w:val="0"/>
          <w:color w:val="auto"/>
          <w:sz w:val="20"/>
          <w:szCs w:val="20"/>
        </w:rPr>
        <w:fldChar w:fldCharType="begin"/>
      </w:r>
      <w:r w:rsidRPr="00EF319B">
        <w:rPr>
          <w:rFonts w:ascii="Times New Roman" w:hAnsi="Times New Roman" w:cs="Times New Roman"/>
          <w:b/>
          <w:bCs/>
          <w:i w:val="0"/>
          <w:iCs w:val="0"/>
          <w:color w:val="auto"/>
          <w:sz w:val="20"/>
          <w:szCs w:val="20"/>
        </w:rPr>
        <w:instrText xml:space="preserve"> SEQ Figure \* ARABIC </w:instrText>
      </w:r>
      <w:r w:rsidRPr="00EF319B">
        <w:rPr>
          <w:rFonts w:ascii="Times New Roman" w:hAnsi="Times New Roman" w:cs="Times New Roman"/>
          <w:b/>
          <w:bCs/>
          <w:i w:val="0"/>
          <w:iCs w:val="0"/>
          <w:color w:val="auto"/>
          <w:sz w:val="20"/>
          <w:szCs w:val="20"/>
        </w:rPr>
        <w:fldChar w:fldCharType="separate"/>
      </w:r>
      <w:r w:rsidR="002151FD" w:rsidRPr="00EF319B">
        <w:rPr>
          <w:rFonts w:ascii="Times New Roman" w:hAnsi="Times New Roman" w:cs="Times New Roman"/>
          <w:b/>
          <w:bCs/>
          <w:i w:val="0"/>
          <w:iCs w:val="0"/>
          <w:color w:val="auto"/>
          <w:sz w:val="20"/>
          <w:szCs w:val="20"/>
        </w:rPr>
        <w:t>8</w:t>
      </w:r>
      <w:r w:rsidRPr="00EF319B">
        <w:rPr>
          <w:rFonts w:ascii="Times New Roman" w:hAnsi="Times New Roman" w:cs="Times New Roman"/>
          <w:b/>
          <w:bCs/>
          <w:i w:val="0"/>
          <w:iCs w:val="0"/>
          <w:color w:val="auto"/>
          <w:sz w:val="20"/>
          <w:szCs w:val="20"/>
        </w:rPr>
        <w:fldChar w:fldCharType="end"/>
      </w:r>
      <w:r w:rsidRPr="00EF319B">
        <w:rPr>
          <w:rFonts w:ascii="Times New Roman" w:hAnsi="Times New Roman" w:cs="Times New Roman"/>
          <w:i w:val="0"/>
          <w:iCs w:val="0"/>
          <w:color w:val="auto"/>
          <w:sz w:val="20"/>
          <w:szCs w:val="20"/>
        </w:rPr>
        <w:t xml:space="preserve">. </w:t>
      </w:r>
      <w:r w:rsidR="00B45A90" w:rsidRPr="00EF319B">
        <w:rPr>
          <w:rFonts w:ascii="Times New Roman" w:hAnsi="Times New Roman" w:cs="Times New Roman"/>
          <w:i w:val="0"/>
          <w:iCs w:val="0"/>
          <w:color w:val="auto"/>
          <w:sz w:val="20"/>
          <w:szCs w:val="20"/>
        </w:rPr>
        <w:t xml:space="preserve">Screenshot of the </w:t>
      </w:r>
      <w:r w:rsidR="003336AA" w:rsidRPr="00EF319B">
        <w:rPr>
          <w:rFonts w:ascii="Times New Roman" w:hAnsi="Times New Roman" w:cs="Times New Roman"/>
          <w:i w:val="0"/>
          <w:iCs w:val="0"/>
          <w:color w:val="auto"/>
          <w:sz w:val="20"/>
          <w:szCs w:val="20"/>
        </w:rPr>
        <w:t xml:space="preserve">GUI program </w:t>
      </w:r>
      <w:r w:rsidR="00957332" w:rsidRPr="00EF319B">
        <w:rPr>
          <w:rFonts w:ascii="Times New Roman" w:hAnsi="Times New Roman" w:cs="Times New Roman"/>
          <w:i w:val="0"/>
          <w:iCs w:val="0"/>
          <w:color w:val="auto"/>
          <w:sz w:val="20"/>
          <w:szCs w:val="20"/>
        </w:rPr>
        <w:t xml:space="preserve">developed for predictive removal of anionic pollutants via </w:t>
      </w:r>
      <w:r w:rsidR="00377D7F" w:rsidRPr="00EF319B">
        <w:rPr>
          <w:rFonts w:ascii="Times New Roman" w:hAnsi="Times New Roman" w:cs="Times New Roman"/>
          <w:i w:val="0"/>
          <w:iCs w:val="0"/>
          <w:color w:val="auto"/>
          <w:sz w:val="20"/>
          <w:szCs w:val="20"/>
        </w:rPr>
        <w:t>selected carbonaceous adsorbents.</w:t>
      </w:r>
    </w:p>
    <w:p w14:paraId="5F64A722" w14:textId="2C645E87" w:rsidR="0022023A" w:rsidRPr="00EF319B" w:rsidRDefault="0022023A" w:rsidP="0022023A">
      <w:pPr>
        <w:rPr>
          <w:rFonts w:ascii="Times New Roman" w:eastAsia="Yu Gothic Light" w:hAnsi="Times New Roman" w:cs="Times New Roman"/>
          <w:b/>
          <w:kern w:val="0"/>
          <w:sz w:val="20"/>
          <w:szCs w:val="20"/>
          <w14:ligatures w14:val="none"/>
        </w:rPr>
      </w:pPr>
      <w:r w:rsidRPr="00EF319B">
        <w:rPr>
          <w:rFonts w:ascii="Times New Roman" w:eastAsia="Yu Gothic Light" w:hAnsi="Times New Roman" w:cs="Times New Roman"/>
          <w:b/>
          <w:kern w:val="0"/>
          <w:sz w:val="20"/>
          <w:szCs w:val="20"/>
          <w14:ligatures w14:val="none"/>
        </w:rPr>
        <w:t>Conclusion</w:t>
      </w:r>
    </w:p>
    <w:p w14:paraId="3E74431E" w14:textId="36BAA157" w:rsidR="002278BD" w:rsidRPr="00EF319B" w:rsidRDefault="00670625" w:rsidP="0087205D">
      <w:pPr>
        <w:spacing w:line="360" w:lineRule="auto"/>
        <w:jc w:val="both"/>
        <w:rPr>
          <w:rFonts w:ascii="Times New Roman" w:eastAsia="Yu Gothic Light" w:hAnsi="Times New Roman" w:cs="Times New Roman"/>
          <w:bCs/>
          <w:kern w:val="0"/>
          <w:sz w:val="20"/>
          <w:szCs w:val="20"/>
          <w14:ligatures w14:val="none"/>
        </w:rPr>
      </w:pPr>
      <w:r w:rsidRPr="00EF319B">
        <w:rPr>
          <w:rFonts w:ascii="Times New Roman" w:eastAsia="Yu Gothic Light" w:hAnsi="Times New Roman" w:cs="Times New Roman"/>
          <w:bCs/>
          <w:kern w:val="0"/>
          <w:sz w:val="20"/>
          <w:szCs w:val="20"/>
          <w14:ligatures w14:val="none"/>
        </w:rPr>
        <w:t xml:space="preserve">This study presents a machine learning-assisted strategy for predicting adsorption performance and optimizing operational conditions for the removal of anionic pollutants from aqueous systems. A comprehensive experimental dataset comprising multiple pollutants, adsorbent materials, and operational parameters was used to develop predictive models </w:t>
      </w:r>
      <w:r w:rsidR="0025310C" w:rsidRPr="00EF319B">
        <w:rPr>
          <w:rFonts w:ascii="Times New Roman" w:eastAsia="Yu Gothic Light" w:hAnsi="Times New Roman" w:cs="Times New Roman"/>
          <w:bCs/>
          <w:kern w:val="0"/>
          <w:sz w:val="20"/>
          <w:szCs w:val="20"/>
          <w14:ligatures w14:val="none"/>
        </w:rPr>
        <w:t>utilizing</w:t>
      </w:r>
      <w:r w:rsidRPr="00EF319B">
        <w:rPr>
          <w:rFonts w:ascii="Times New Roman" w:eastAsia="Yu Gothic Light" w:hAnsi="Times New Roman" w:cs="Times New Roman"/>
          <w:bCs/>
          <w:kern w:val="0"/>
          <w:sz w:val="20"/>
          <w:szCs w:val="20"/>
          <w14:ligatures w14:val="none"/>
        </w:rPr>
        <w:t xml:space="preserve"> Decision Tree, Gaussian Process Regression, Support Vector Machine, and Ensemble Learning Tree algorithms. Bayesian optimization significantly improved model performance, with the optimized Ensemble Learning Tree demonstrating the highest predictive accuracy and the strongest capability to capture nonlinear adsorption behavior. Model interpretation through partial dependence analysis and Sobol sensitivity assessment revealed that adsorption performance is primarily governed by initial pollutant concentration, pH, adsorbent dosage, and BET surface area. These analyses provide valuable insights into the complex interactions between operational conditions and adsorption efficiency. The reliability of the developed ML framework was further validated experimentally using jojoba-derived biochar for the removal of methyl orange and Eriochrome Black T dyes, where predicted results showed strong agreement with experimental observations. The integration of experimental data, advanced machine learning modelling, and uncertainty analysis demonstrates a robust </w:t>
      </w:r>
      <w:r w:rsidRPr="00EF319B">
        <w:rPr>
          <w:rFonts w:ascii="Times New Roman" w:eastAsia="Yu Gothic Light" w:hAnsi="Times New Roman" w:cs="Times New Roman"/>
          <w:bCs/>
          <w:kern w:val="0"/>
          <w:sz w:val="20"/>
          <w:szCs w:val="20"/>
          <w14:ligatures w14:val="none"/>
        </w:rPr>
        <w:lastRenderedPageBreak/>
        <w:t>predictive framework for adsorption-based water treatment systems. Furthermore, the development of a graphical user interface enables rapid estimation of adsorption performance under different conditions, offering a practical decision-support tool for process design. This work highlights the potential of data-driven approaches to accelerate the development and optimization of efficient adsorbent materials for wastewater remediation.</w:t>
      </w:r>
    </w:p>
    <w:p w14:paraId="336CA07D" w14:textId="77777777" w:rsidR="0022023A" w:rsidRPr="00EF319B" w:rsidRDefault="0022023A" w:rsidP="0022023A">
      <w:pPr>
        <w:rPr>
          <w:rFonts w:ascii="Times New Roman" w:eastAsia="Yu Gothic Light" w:hAnsi="Times New Roman" w:cs="Times New Roman"/>
          <w:b/>
          <w:kern w:val="0"/>
          <w:sz w:val="20"/>
          <w:szCs w:val="20"/>
          <w14:ligatures w14:val="none"/>
        </w:rPr>
      </w:pPr>
      <w:r w:rsidRPr="00EF319B">
        <w:rPr>
          <w:rFonts w:ascii="Times New Roman" w:eastAsia="Yu Gothic Light" w:hAnsi="Times New Roman" w:cs="Times New Roman"/>
          <w:b/>
          <w:kern w:val="0"/>
          <w:sz w:val="20"/>
          <w:szCs w:val="20"/>
          <w14:ligatures w14:val="none"/>
        </w:rPr>
        <w:t>Acknowledgements</w:t>
      </w:r>
    </w:p>
    <w:p w14:paraId="16D2588A" w14:textId="1996C189" w:rsidR="0022023A" w:rsidRPr="00EF319B" w:rsidRDefault="0022023A" w:rsidP="0022023A">
      <w:pPr>
        <w:spacing w:line="360" w:lineRule="auto"/>
        <w:jc w:val="both"/>
        <w:rPr>
          <w:rFonts w:ascii="Times New Roman" w:eastAsia="Yu Gothic Light" w:hAnsi="Times New Roman" w:cs="Times New Roman"/>
          <w:bCs/>
          <w:kern w:val="0"/>
          <w:sz w:val="20"/>
          <w:szCs w:val="20"/>
          <w14:ligatures w14:val="none"/>
        </w:rPr>
      </w:pPr>
      <w:r w:rsidRPr="00EF319B">
        <w:rPr>
          <w:rFonts w:ascii="Times New Roman" w:eastAsia="Yu Gothic Light" w:hAnsi="Times New Roman" w:cs="Times New Roman"/>
          <w:bCs/>
          <w:kern w:val="0"/>
          <w:sz w:val="20"/>
          <w:szCs w:val="20"/>
          <w14:ligatures w14:val="none"/>
        </w:rPr>
        <w:t>The authors are thankful to the National University of Sciences and Technology (NUST) Research Directorate, HEC, and NRPU through Project No. 6020 for all the technical assistance and financial support. The authors also gratefully acknowledge the support from the European Just Transition Fund within the Operational Programme: Just Transition under the aegis of the Ministry of the Environment of the Czech Republic, project CirkArena number CZ.10.03.01/00/22_003/0000045 and the Ministry of Education Youth and Sports of the Czech Republic, Operational Programme Johannes Amos Comenius OP JAC "Application potential development in the field of polymer materials in the context of circular economy compliance (POCEK)", number CZ.02.01.01/00/23_021/0009004. The authors are further grateful for co-funding from the development process of the Centre of Polymer Systems, Tomas Bata University in Zlin, program DKRVO (RP/CPS/2024-28/002)</w:t>
      </w:r>
      <w:r w:rsidR="00E13B3D">
        <w:rPr>
          <w:rFonts w:ascii="Times New Roman" w:eastAsia="Yu Gothic Light" w:hAnsi="Times New Roman" w:cs="Times New Roman"/>
          <w:bCs/>
          <w:kern w:val="0"/>
          <w:sz w:val="20"/>
          <w:szCs w:val="20"/>
          <w14:ligatures w14:val="none"/>
        </w:rPr>
        <w:t xml:space="preserve"> </w:t>
      </w:r>
      <w:r w:rsidR="00E13B3D">
        <w:rPr>
          <w:rFonts w:ascii="Times New Roman" w:eastAsia="Yu Gothic Light" w:hAnsi="Times New Roman" w:cs="Times New Roman"/>
          <w:bCs/>
          <w:kern w:val="0"/>
          <w:sz w:val="20"/>
          <w:szCs w:val="20"/>
          <w14:ligatures w14:val="none"/>
        </w:rPr>
        <w:t>and (RP/CPS/2024-28/007)</w:t>
      </w:r>
      <w:r w:rsidR="00F96E2F" w:rsidRPr="00EF319B">
        <w:rPr>
          <w:rFonts w:ascii="Times New Roman" w:eastAsia="Yu Gothic Light" w:hAnsi="Times New Roman" w:cs="Times New Roman"/>
          <w:bCs/>
          <w:kern w:val="0"/>
          <w:sz w:val="20"/>
          <w:szCs w:val="20"/>
          <w14:ligatures w14:val="none"/>
        </w:rPr>
        <w:t>, supported by the Ministry of Education,</w:t>
      </w:r>
      <w:r w:rsidRPr="00EF319B">
        <w:rPr>
          <w:rFonts w:ascii="Times New Roman" w:eastAsia="Yu Gothic Light" w:hAnsi="Times New Roman" w:cs="Times New Roman"/>
          <w:bCs/>
          <w:kern w:val="0"/>
          <w:sz w:val="20"/>
          <w:szCs w:val="20"/>
          <w14:ligatures w14:val="none"/>
        </w:rPr>
        <w:t xml:space="preserve"> Youth and Sports of the Czech Republic.</w:t>
      </w:r>
    </w:p>
    <w:p w14:paraId="76DFC8CD" w14:textId="77777777" w:rsidR="007E4EC8" w:rsidRPr="00EF319B" w:rsidRDefault="0022023A" w:rsidP="005E78DA">
      <w:pPr>
        <w:spacing w:line="360" w:lineRule="auto"/>
        <w:jc w:val="both"/>
        <w:rPr>
          <w:rFonts w:ascii="Times New Roman" w:eastAsia="Yu Gothic Light" w:hAnsi="Times New Roman" w:cs="Times New Roman"/>
          <w:bCs/>
          <w:kern w:val="0"/>
          <w:sz w:val="20"/>
          <w:szCs w:val="20"/>
          <w14:ligatures w14:val="none"/>
        </w:rPr>
      </w:pPr>
      <w:r w:rsidRPr="00EF319B">
        <w:rPr>
          <w:rFonts w:ascii="Times New Roman" w:eastAsia="Yu Gothic Light" w:hAnsi="Times New Roman" w:cs="Times New Roman"/>
          <w:b/>
          <w:kern w:val="0"/>
          <w:sz w:val="20"/>
          <w:szCs w:val="20"/>
          <w14:ligatures w14:val="none"/>
        </w:rPr>
        <w:t>CrediT authorship contribution statement</w:t>
      </w:r>
    </w:p>
    <w:p w14:paraId="763AF740" w14:textId="61A3EA01" w:rsidR="0022023A" w:rsidRPr="00EF319B" w:rsidRDefault="0022023A" w:rsidP="005E78DA">
      <w:pPr>
        <w:spacing w:line="360" w:lineRule="auto"/>
        <w:jc w:val="both"/>
        <w:rPr>
          <w:rFonts w:ascii="Times New Roman" w:eastAsia="Yu Gothic Light" w:hAnsi="Times New Roman" w:cs="Times New Roman"/>
          <w:bCs/>
          <w:kern w:val="0"/>
          <w:sz w:val="20"/>
          <w:szCs w:val="20"/>
          <w14:ligatures w14:val="none"/>
        </w:rPr>
      </w:pPr>
      <w:r w:rsidRPr="00EF319B">
        <w:rPr>
          <w:rFonts w:ascii="Times New Roman" w:eastAsia="Yu Gothic Light" w:hAnsi="Times New Roman" w:cs="Times New Roman"/>
          <w:b/>
          <w:kern w:val="0"/>
          <w:sz w:val="20"/>
          <w:szCs w:val="20"/>
          <w14:ligatures w14:val="none"/>
        </w:rPr>
        <w:t>Hamza Ul Haq</w:t>
      </w:r>
      <w:r w:rsidRPr="00EF319B">
        <w:rPr>
          <w:rFonts w:ascii="Times New Roman" w:eastAsia="Yu Gothic Light" w:hAnsi="Times New Roman" w:cs="Times New Roman"/>
          <w:bCs/>
          <w:kern w:val="0"/>
          <w:sz w:val="20"/>
          <w:szCs w:val="20"/>
          <w14:ligatures w14:val="none"/>
        </w:rPr>
        <w:t xml:space="preserve">: Conceptualization, Methodology, Investigation, Formal analysis, Data curation, Writing- original draft, Writing- Review &amp; editing. </w:t>
      </w:r>
      <w:r w:rsidRPr="00EF319B">
        <w:rPr>
          <w:rFonts w:ascii="Times New Roman" w:eastAsia="Yu Gothic Light" w:hAnsi="Times New Roman" w:cs="Times New Roman"/>
          <w:b/>
          <w:kern w:val="0"/>
          <w:sz w:val="20"/>
          <w:szCs w:val="20"/>
          <w14:ligatures w14:val="none"/>
        </w:rPr>
        <w:t>Muhammad Yasir</w:t>
      </w:r>
      <w:r w:rsidRPr="00EF319B">
        <w:rPr>
          <w:rFonts w:ascii="Times New Roman" w:eastAsia="Yu Gothic Light" w:hAnsi="Times New Roman" w:cs="Times New Roman"/>
          <w:bCs/>
          <w:kern w:val="0"/>
          <w:sz w:val="20"/>
          <w:szCs w:val="20"/>
          <w14:ligatures w14:val="none"/>
        </w:rPr>
        <w:t>: Methodology,</w:t>
      </w:r>
      <w:r w:rsidR="004279EE">
        <w:rPr>
          <w:rFonts w:ascii="Times New Roman" w:eastAsia="Yu Gothic Light" w:hAnsi="Times New Roman" w:cs="Times New Roman"/>
          <w:bCs/>
          <w:kern w:val="0"/>
          <w:sz w:val="20"/>
          <w:szCs w:val="20"/>
          <w14:ligatures w14:val="none"/>
        </w:rPr>
        <w:t xml:space="preserve"> Visualization,</w:t>
      </w:r>
      <w:r w:rsidRPr="00EF319B">
        <w:rPr>
          <w:rFonts w:ascii="Times New Roman" w:eastAsia="Yu Gothic Light" w:hAnsi="Times New Roman" w:cs="Times New Roman"/>
          <w:bCs/>
          <w:kern w:val="0"/>
          <w:sz w:val="20"/>
          <w:szCs w:val="20"/>
          <w14:ligatures w14:val="none"/>
        </w:rPr>
        <w:t xml:space="preserve"> Formal analysis, Data curation, Writing- Review &amp; editing. </w:t>
      </w:r>
      <w:r w:rsidR="004279EE" w:rsidRPr="00EF319B">
        <w:rPr>
          <w:rFonts w:ascii="Times New Roman" w:eastAsia="Yu Gothic Light" w:hAnsi="Times New Roman" w:cs="Times New Roman"/>
          <w:b/>
          <w:kern w:val="0"/>
          <w:sz w:val="20"/>
          <w:szCs w:val="20"/>
          <w14:ligatures w14:val="none"/>
        </w:rPr>
        <w:t>Muhammad Nouman Aslam Khan</w:t>
      </w:r>
      <w:r w:rsidR="004279EE" w:rsidRPr="00EF319B">
        <w:rPr>
          <w:rFonts w:ascii="Times New Roman" w:eastAsia="Yu Gothic Light" w:hAnsi="Times New Roman" w:cs="Times New Roman"/>
          <w:bCs/>
          <w:kern w:val="0"/>
          <w:sz w:val="20"/>
          <w:szCs w:val="20"/>
          <w14:ligatures w14:val="none"/>
        </w:rPr>
        <w:t>:</w:t>
      </w:r>
      <w:r w:rsidR="004279EE">
        <w:rPr>
          <w:rFonts w:ascii="Times New Roman" w:eastAsia="Yu Gothic Light" w:hAnsi="Times New Roman" w:cs="Times New Roman"/>
          <w:bCs/>
          <w:kern w:val="0"/>
          <w:sz w:val="20"/>
          <w:szCs w:val="20"/>
          <w14:ligatures w14:val="none"/>
        </w:rPr>
        <w:t xml:space="preserve"> Software,</w:t>
      </w:r>
      <w:r w:rsidR="004279EE" w:rsidRPr="00EF319B">
        <w:rPr>
          <w:rFonts w:ascii="Times New Roman" w:eastAsia="Yu Gothic Light" w:hAnsi="Times New Roman" w:cs="Times New Roman"/>
          <w:bCs/>
          <w:kern w:val="0"/>
          <w:sz w:val="20"/>
          <w:szCs w:val="20"/>
          <w14:ligatures w14:val="none"/>
        </w:rPr>
        <w:t xml:space="preserve"> Formal analysis, Data curation, Supervision, Writing- Review &amp; editing. </w:t>
      </w:r>
      <w:r w:rsidRPr="00EF319B">
        <w:rPr>
          <w:rFonts w:ascii="Times New Roman" w:eastAsia="Yu Gothic Light" w:hAnsi="Times New Roman" w:cs="Times New Roman"/>
          <w:b/>
          <w:kern w:val="0"/>
          <w:sz w:val="20"/>
          <w:szCs w:val="20"/>
          <w14:ligatures w14:val="none"/>
        </w:rPr>
        <w:t>Jawad Gul</w:t>
      </w:r>
      <w:r w:rsidRPr="00EF319B">
        <w:rPr>
          <w:rFonts w:ascii="Times New Roman" w:eastAsia="Yu Gothic Light" w:hAnsi="Times New Roman" w:cs="Times New Roman"/>
          <w:bCs/>
          <w:kern w:val="0"/>
          <w:sz w:val="20"/>
          <w:szCs w:val="20"/>
          <w14:ligatures w14:val="none"/>
        </w:rPr>
        <w:t xml:space="preserve">: Data curation, Writing- Review &amp; editing. </w:t>
      </w:r>
      <w:r w:rsidR="004279EE" w:rsidRPr="004279EE">
        <w:rPr>
          <w:rFonts w:ascii="Times New Roman" w:eastAsia="Calibri" w:hAnsi="Times New Roman" w:cs="Times New Roman"/>
          <w:b/>
          <w:bCs/>
          <w:kern w:val="0"/>
          <w:sz w:val="20"/>
          <w:szCs w:val="20"/>
          <w14:ligatures w14:val="none"/>
        </w:rPr>
        <w:t>Mukarram Zubair</w:t>
      </w:r>
      <w:r w:rsidR="004279EE">
        <w:rPr>
          <w:rFonts w:ascii="Times New Roman" w:eastAsia="Yu Gothic Light" w:hAnsi="Times New Roman" w:cs="Times New Roman"/>
          <w:bCs/>
          <w:kern w:val="0"/>
          <w:sz w:val="20"/>
          <w:szCs w:val="20"/>
          <w14:ligatures w14:val="none"/>
        </w:rPr>
        <w:t xml:space="preserve">: Investigation, validation, formal analysis. </w:t>
      </w:r>
      <w:r w:rsidRPr="00EF319B">
        <w:rPr>
          <w:rFonts w:ascii="Times New Roman" w:eastAsia="Yu Gothic Light" w:hAnsi="Times New Roman" w:cs="Times New Roman"/>
          <w:b/>
          <w:kern w:val="0"/>
          <w:sz w:val="20"/>
          <w:szCs w:val="20"/>
          <w14:ligatures w14:val="none"/>
        </w:rPr>
        <w:t>Vladimír Sedlařík</w:t>
      </w:r>
      <w:r w:rsidRPr="00EF319B">
        <w:rPr>
          <w:rFonts w:ascii="Times New Roman" w:eastAsia="Yu Gothic Light" w:hAnsi="Times New Roman" w:cs="Times New Roman"/>
          <w:bCs/>
          <w:kern w:val="0"/>
          <w:sz w:val="20"/>
          <w:szCs w:val="20"/>
          <w14:ligatures w14:val="none"/>
        </w:rPr>
        <w:t xml:space="preserve">: Supervision, Project administration, Funding acquisition, </w:t>
      </w:r>
      <w:r w:rsidR="004279EE">
        <w:rPr>
          <w:rFonts w:ascii="Times New Roman" w:eastAsia="Yu Gothic Light" w:hAnsi="Times New Roman" w:cs="Times New Roman"/>
          <w:bCs/>
          <w:kern w:val="0"/>
          <w:sz w:val="20"/>
          <w:szCs w:val="20"/>
          <w14:ligatures w14:val="none"/>
        </w:rPr>
        <w:t xml:space="preserve">Writing- </w:t>
      </w:r>
      <w:r w:rsidRPr="00EF319B">
        <w:rPr>
          <w:rFonts w:ascii="Times New Roman" w:eastAsia="Yu Gothic Light" w:hAnsi="Times New Roman" w:cs="Times New Roman"/>
          <w:bCs/>
          <w:kern w:val="0"/>
          <w:sz w:val="20"/>
          <w:szCs w:val="20"/>
          <w14:ligatures w14:val="none"/>
        </w:rPr>
        <w:t>Review &amp; editing.</w:t>
      </w:r>
      <w:r w:rsidR="004279EE">
        <w:rPr>
          <w:rFonts w:ascii="Times New Roman" w:eastAsia="Yu Gothic Light" w:hAnsi="Times New Roman" w:cs="Times New Roman"/>
          <w:bCs/>
          <w:kern w:val="0"/>
          <w:sz w:val="20"/>
          <w:szCs w:val="20"/>
          <w14:ligatures w14:val="none"/>
        </w:rPr>
        <w:t xml:space="preserve"> </w:t>
      </w:r>
      <w:r w:rsidRPr="00EF319B">
        <w:rPr>
          <w:rFonts w:ascii="Times New Roman" w:eastAsia="Yu Gothic Light" w:hAnsi="Times New Roman" w:cs="Times New Roman"/>
          <w:b/>
          <w:kern w:val="0"/>
          <w:sz w:val="20"/>
          <w:szCs w:val="20"/>
          <w14:ligatures w14:val="none"/>
        </w:rPr>
        <w:t>Hassan Ali</w:t>
      </w:r>
      <w:r w:rsidRPr="00EF319B">
        <w:rPr>
          <w:rFonts w:ascii="Times New Roman" w:eastAsia="Yu Gothic Light" w:hAnsi="Times New Roman" w:cs="Times New Roman"/>
          <w:bCs/>
          <w:kern w:val="0"/>
          <w:sz w:val="20"/>
          <w:szCs w:val="20"/>
          <w14:ligatures w14:val="none"/>
        </w:rPr>
        <w:t xml:space="preserve">: Writing- Review &amp; editing, Investigation. </w:t>
      </w:r>
      <w:r w:rsidRPr="00EF319B">
        <w:rPr>
          <w:rFonts w:ascii="Times New Roman" w:eastAsia="Yu Gothic Light" w:hAnsi="Times New Roman" w:cs="Times New Roman"/>
          <w:b/>
          <w:kern w:val="0"/>
          <w:sz w:val="20"/>
          <w:szCs w:val="20"/>
          <w14:ligatures w14:val="none"/>
        </w:rPr>
        <w:t>Nasir M. Ahmad</w:t>
      </w:r>
      <w:r w:rsidRPr="00EF319B">
        <w:rPr>
          <w:rFonts w:ascii="Times New Roman" w:eastAsia="Yu Gothic Light" w:hAnsi="Times New Roman" w:cs="Times New Roman"/>
          <w:bCs/>
          <w:kern w:val="0"/>
          <w:sz w:val="20"/>
          <w:szCs w:val="20"/>
          <w14:ligatures w14:val="none"/>
        </w:rPr>
        <w:t>: Supervision,</w:t>
      </w:r>
      <w:r w:rsidR="004279EE">
        <w:rPr>
          <w:rFonts w:ascii="Times New Roman" w:eastAsia="Yu Gothic Light" w:hAnsi="Times New Roman" w:cs="Times New Roman"/>
          <w:bCs/>
          <w:kern w:val="0"/>
          <w:sz w:val="20"/>
          <w:szCs w:val="20"/>
          <w14:ligatures w14:val="none"/>
        </w:rPr>
        <w:t xml:space="preserve"> Resources, Project administration,</w:t>
      </w:r>
      <w:r w:rsidRPr="00EF319B">
        <w:rPr>
          <w:rFonts w:ascii="Times New Roman" w:eastAsia="Yu Gothic Light" w:hAnsi="Times New Roman" w:cs="Times New Roman"/>
          <w:bCs/>
          <w:kern w:val="0"/>
          <w:sz w:val="20"/>
          <w:szCs w:val="20"/>
          <w14:ligatures w14:val="none"/>
        </w:rPr>
        <w:t xml:space="preserve"> Funding acquisition, Writing- Review &amp; editing.</w:t>
      </w:r>
    </w:p>
    <w:p w14:paraId="4F2C38D4" w14:textId="77777777" w:rsidR="0022023A" w:rsidRPr="00EF319B" w:rsidRDefault="0022023A" w:rsidP="0022023A">
      <w:pPr>
        <w:keepNext/>
        <w:keepLines/>
        <w:numPr>
          <w:ilvl w:val="2"/>
          <w:numId w:val="0"/>
        </w:numPr>
        <w:spacing w:before="40" w:after="0" w:line="259" w:lineRule="auto"/>
        <w:outlineLvl w:val="2"/>
        <w:rPr>
          <w:rFonts w:ascii="Times New Roman" w:eastAsia="Yu Gothic Light" w:hAnsi="Times New Roman" w:cs="Times New Roman"/>
          <w:b/>
          <w:kern w:val="0"/>
          <w:sz w:val="20"/>
          <w:szCs w:val="20"/>
          <w14:ligatures w14:val="none"/>
        </w:rPr>
      </w:pPr>
      <w:r w:rsidRPr="00EF319B">
        <w:rPr>
          <w:rFonts w:ascii="Times New Roman" w:eastAsia="Yu Gothic Light" w:hAnsi="Times New Roman" w:cs="Times New Roman"/>
          <w:b/>
          <w:kern w:val="0"/>
          <w:sz w:val="20"/>
          <w:szCs w:val="20"/>
          <w14:ligatures w14:val="none"/>
        </w:rPr>
        <w:t>References</w:t>
      </w:r>
    </w:p>
    <w:p w14:paraId="4C223B7F" w14:textId="77777777" w:rsidR="001E48B5" w:rsidRPr="00EF319B" w:rsidRDefault="00E074A6"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fldChar w:fldCharType="begin"/>
      </w:r>
      <w:r w:rsidRPr="00EF319B">
        <w:rPr>
          <w:rFonts w:ascii="Times New Roman" w:hAnsi="Times New Roman" w:cs="Times New Roman"/>
          <w:sz w:val="20"/>
          <w:szCs w:val="20"/>
        </w:rPr>
        <w:instrText xml:space="preserve"> ADDIN ZOTERO_BIBL {"uncited":[],"omitted":[],"custom":[]} CSL_BIBLIOGRAPHY </w:instrText>
      </w:r>
      <w:r w:rsidRPr="00EF319B">
        <w:rPr>
          <w:rFonts w:ascii="Times New Roman" w:hAnsi="Times New Roman" w:cs="Times New Roman"/>
          <w:sz w:val="20"/>
          <w:szCs w:val="20"/>
        </w:rPr>
        <w:fldChar w:fldCharType="separate"/>
      </w:r>
      <w:r w:rsidR="001E48B5" w:rsidRPr="00EF319B">
        <w:rPr>
          <w:rFonts w:ascii="Times New Roman" w:hAnsi="Times New Roman" w:cs="Times New Roman"/>
          <w:sz w:val="20"/>
          <w:szCs w:val="20"/>
        </w:rPr>
        <w:t>[1]</w:t>
      </w:r>
      <w:r w:rsidR="001E48B5" w:rsidRPr="00EF319B">
        <w:rPr>
          <w:rFonts w:ascii="Times New Roman" w:hAnsi="Times New Roman" w:cs="Times New Roman"/>
          <w:sz w:val="20"/>
          <w:szCs w:val="20"/>
        </w:rPr>
        <w:tab/>
        <w:t>P. Babuji, S. Thirumalaisamy, K. Duraisamy, G. Periyasamy, Human Health Risks due to Exposure to Water Pollution: A Review, Water 15 (2023) 2532. https://doi.org/10.3390/w15142532.</w:t>
      </w:r>
    </w:p>
    <w:p w14:paraId="585151B9"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[2]</w:t>
      </w:r>
      <w:r w:rsidRPr="00EF319B">
        <w:rPr>
          <w:rFonts w:ascii="Times New Roman" w:hAnsi="Times New Roman" w:cs="Times New Roman"/>
          <w:sz w:val="20"/>
          <w:szCs w:val="20"/>
        </w:rPr>
        <w:tab/>
        <w:t>A. Gezahegn, L.B. Merga, S. Mammo, Industrial effluents caused environmental pollution and its potential ecological and human health impacts in Ethiopia: A review, Waste Management Bulletin 3 (2025) 100240. https://doi.org/10.1016/j.wmb.2025.100240.</w:t>
      </w:r>
    </w:p>
    <w:p w14:paraId="42B91733"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[3]</w:t>
      </w:r>
      <w:r w:rsidRPr="00EF319B">
        <w:rPr>
          <w:rFonts w:ascii="Times New Roman" w:hAnsi="Times New Roman" w:cs="Times New Roman"/>
          <w:sz w:val="20"/>
          <w:szCs w:val="20"/>
        </w:rPr>
        <w:tab/>
        <w:t>K. Sathya, K. Nagarajan, G. Carlin Geor Malar, S. Rajalakshmi, P. Raja Lakshmi, A comprehensive review on comparison among effluent treatment methods and modern methods of treatment of industrial wastewater effluent from different sources, Appl Water Sci 12 (2022) 70. https://doi.org/10.1007/s13201-022-01594-7.</w:t>
      </w:r>
    </w:p>
    <w:p w14:paraId="51BBD612"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[4]</w:t>
      </w:r>
      <w:r w:rsidRPr="00EF319B">
        <w:rPr>
          <w:rFonts w:ascii="Times New Roman" w:hAnsi="Times New Roman" w:cs="Times New Roman"/>
          <w:sz w:val="20"/>
          <w:szCs w:val="20"/>
        </w:rPr>
        <w:tab/>
        <w:t>G.M. Filippelli, M.P. Taylor, Addressing Pollution‐Related Global Environmental Health Burdens, GeoHealth 2 (2018) 2–5. https://doi.org/10.1002/2017GH000119.</w:t>
      </w:r>
    </w:p>
    <w:p w14:paraId="2E104283"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[5]</w:t>
      </w:r>
      <w:r w:rsidRPr="00EF319B">
        <w:rPr>
          <w:rFonts w:ascii="Times New Roman" w:hAnsi="Times New Roman" w:cs="Times New Roman"/>
          <w:sz w:val="20"/>
          <w:szCs w:val="20"/>
        </w:rPr>
        <w:tab/>
        <w:t>G. Yumnam, Y. Gyanendra, C.I. Singh, A systematic bibliometric review of the global research dynamics of United Nations Sustainable Development Goals 2030, Sustainable Futures 7 (2024) 100192. https://doi.org/10.1016/j.sftr.2024.100192.</w:t>
      </w:r>
    </w:p>
    <w:p w14:paraId="40D46A7D"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[6]</w:t>
      </w:r>
      <w:r w:rsidRPr="00EF319B">
        <w:rPr>
          <w:rFonts w:ascii="Times New Roman" w:hAnsi="Times New Roman" w:cs="Times New Roman"/>
          <w:sz w:val="20"/>
          <w:szCs w:val="20"/>
        </w:rPr>
        <w:tab/>
        <w:t>S. Duan, H. Dong, C. Jiang, H. Liang, L. Jiang, Q. Xu, X. Cheng, Z. Qiang, Removal of particulate matter and dissolved organic matter from sedimentation sludge water during pre-sedimentation process: Performances and mechanisms, Journal of Environmental Sciences 148 (2025) 409–419. https://doi.org/10.1016/j.jes.2023.11.026.</w:t>
      </w:r>
    </w:p>
    <w:p w14:paraId="30062184"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[7]</w:t>
      </w:r>
      <w:r w:rsidRPr="00EF319B">
        <w:rPr>
          <w:rFonts w:ascii="Times New Roman" w:hAnsi="Times New Roman" w:cs="Times New Roman"/>
          <w:sz w:val="20"/>
          <w:szCs w:val="20"/>
        </w:rPr>
        <w:tab/>
        <w:t xml:space="preserve">S. Jamil, P. Loganathan, J. Kandasamy, A. Listowski, J.A. McDonald, S.J. Khan, S. Vigneswaran, Removal of organic matter from wastewater reverse osmosis concentrate using granular activated carbon </w:t>
      </w:r>
      <w:r w:rsidRPr="00EF319B">
        <w:rPr>
          <w:rFonts w:ascii="Times New Roman" w:hAnsi="Times New Roman" w:cs="Times New Roman"/>
          <w:sz w:val="20"/>
          <w:szCs w:val="20"/>
        </w:rPr>
        <w:lastRenderedPageBreak/>
        <w:t>and anion exchange resin adsorbent columns in sequence, Chemosphere 261 (2020) 127549. https://doi.org/10.1016/j.chemosphere.2020.127549.</w:t>
      </w:r>
    </w:p>
    <w:p w14:paraId="76409234"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[8]</w:t>
      </w:r>
      <w:r w:rsidRPr="00EF319B">
        <w:rPr>
          <w:rFonts w:ascii="Times New Roman" w:hAnsi="Times New Roman" w:cs="Times New Roman"/>
          <w:sz w:val="20"/>
          <w:szCs w:val="20"/>
        </w:rPr>
        <w:tab/>
        <w:t>E. Topkaya, A. Arslan, S. Veli, S. Kuru, M. Sezer, Removal of Microplastics By Ozone Oxidation from Urban Wastewater Using Taguchi Experimental Design, Water Air Soil Pollut 236 (2025) 606. https://doi.org/10.1007/s11270-025-08249-8.</w:t>
      </w:r>
    </w:p>
    <w:p w14:paraId="2635B926"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[9]</w:t>
      </w:r>
      <w:r w:rsidRPr="00EF319B">
        <w:rPr>
          <w:rFonts w:ascii="Times New Roman" w:hAnsi="Times New Roman" w:cs="Times New Roman"/>
          <w:sz w:val="20"/>
          <w:szCs w:val="20"/>
        </w:rPr>
        <w:tab/>
        <w:t>J.-H. Joo, S.-H. Kim, J.H. Kim, H.-J. Kang, J.H. Lee, H.-J. Jeon, Y.H. Jang, J.-H. Lee, S.-Y. Lee, S.-J. Park, M.-K. Seo, Recent advances in activated carbon fibers for pollutant removal, Carbon Lett. 35 (2025) 21–44. https://doi.org/10.1007/s42823-024-00803-4.</w:t>
      </w:r>
    </w:p>
    <w:p w14:paraId="760C9BC7"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[10]</w:t>
      </w:r>
      <w:r w:rsidRPr="00EF319B">
        <w:rPr>
          <w:rFonts w:ascii="Times New Roman" w:hAnsi="Times New Roman" w:cs="Times New Roman"/>
          <w:sz w:val="20"/>
          <w:szCs w:val="20"/>
        </w:rPr>
        <w:tab/>
        <w:t>S.M. Chistie, S.U. Naik, P. Rajendra, Apeksha, R.K. Mishra, G. Albasher, S. Chinnam, G.P. Jeppu, Z. Arif, J. Hameed, Production and characterization of magnetic Biochar derived from pyrolysis of waste areca nut husk for removal of methylene blue dye from wastewater, Sci Rep 15 (2025) 23209. https://doi.org/10.1038/s41598-025-03359-z.</w:t>
      </w:r>
    </w:p>
    <w:p w14:paraId="5CC10B3D"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[11]</w:t>
      </w:r>
      <w:r w:rsidRPr="00EF319B">
        <w:rPr>
          <w:rFonts w:ascii="Times New Roman" w:hAnsi="Times New Roman" w:cs="Times New Roman"/>
          <w:sz w:val="20"/>
          <w:szCs w:val="20"/>
        </w:rPr>
        <w:tab/>
        <w:t>R. Shahi, M. Khatamian, Synthesis of magnetic borosilicate zeolite/graphene quantum dots nanocomposites for removal of nitrate and organic pollutants from water, Sci Rep 15 (2025) 20726. https://doi.org/10.1038/s41598-025-07746-4.</w:t>
      </w:r>
    </w:p>
    <w:p w14:paraId="74D91D5E"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[12]</w:t>
      </w:r>
      <w:r w:rsidRPr="00EF319B">
        <w:rPr>
          <w:rFonts w:ascii="Times New Roman" w:hAnsi="Times New Roman" w:cs="Times New Roman"/>
          <w:sz w:val="20"/>
          <w:szCs w:val="20"/>
        </w:rPr>
        <w:tab/>
        <w:t>L.N. Munuhe, E.S. Madivoli, D.M. Nzilu, P.N. Lemeitaron, P.K. Kimani, Advances in Adsorbent Materials for Pharmaceutical Pollutant Removal: A Review of Occurrence, Fate, and State‐of‐the‐Art Remediation, Journal of Chemistry 2025 (2025) 4477822. https://doi.org/10.1155/joch/4477822.</w:t>
      </w:r>
    </w:p>
    <w:p w14:paraId="484882CE"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[13]</w:t>
      </w:r>
      <w:r w:rsidRPr="00EF319B">
        <w:rPr>
          <w:rFonts w:ascii="Times New Roman" w:hAnsi="Times New Roman" w:cs="Times New Roman"/>
          <w:sz w:val="20"/>
          <w:szCs w:val="20"/>
        </w:rPr>
        <w:tab/>
        <w:t>R.B. Phillips, R.R. James, M.L. Magnuson, Functional categories of microbial toxicity resulting from three advanced oxidation process treatments during management and disposal of contaminated water, Chemosphere 238 (2020) 124550. https://doi.org/10.1016/j.chemosphere.2019.124550.</w:t>
      </w:r>
    </w:p>
    <w:p w14:paraId="20CEE2CB"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[14]</w:t>
      </w:r>
      <w:r w:rsidRPr="00EF319B">
        <w:rPr>
          <w:rFonts w:ascii="Times New Roman" w:hAnsi="Times New Roman" w:cs="Times New Roman"/>
          <w:sz w:val="20"/>
          <w:szCs w:val="20"/>
        </w:rPr>
        <w:tab/>
        <w:t>W. Ashraf, D. Sharma, A. Khan, M. Khanuja, Green Carbon Dots as Adsorbents for Removal of Toxic Chemicals, in: S.U. Islam, C.M. Hussain (Eds.), ACS Symposium Series, American Chemical Society, Washington, DC, 2025: pp. 141–160. https://doi.org/10.1021/bk-2025-1506.ch006.</w:t>
      </w:r>
    </w:p>
    <w:p w14:paraId="3BDF43F0"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[15]</w:t>
      </w:r>
      <w:r w:rsidRPr="00EF319B">
        <w:rPr>
          <w:rFonts w:ascii="Times New Roman" w:hAnsi="Times New Roman" w:cs="Times New Roman"/>
          <w:sz w:val="20"/>
          <w:szCs w:val="20"/>
        </w:rPr>
        <w:tab/>
        <w:t>P. Waribam, T.R. Katugampalage, M. Ogawa, P. Opaprakasit, W. Chooaksorn, P. Sooksaen, P. Puathawee, P. Sreearunothai, Magnetic Metal–Organic Frameworks (MOFs) from Waste: A Solvent-Free Rapid Synthesis of Green Catalyst for Environmental Cleanup, ACS Sustainable Chem. Eng. 13 (2025) 9576–9587. https://doi.org/10.1021/acssuschemeng.5c02222.</w:t>
      </w:r>
    </w:p>
    <w:p w14:paraId="7F3E1EE2"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[16]</w:t>
      </w:r>
      <w:r w:rsidRPr="00EF319B">
        <w:rPr>
          <w:rFonts w:ascii="Times New Roman" w:hAnsi="Times New Roman" w:cs="Times New Roman"/>
          <w:sz w:val="20"/>
          <w:szCs w:val="20"/>
        </w:rPr>
        <w:tab/>
        <w:t>R. Natarajan, K. Saikia, S.K. Ponnusamy, A.K. Rathankumar, D.S. Rajendran, S. Venkataraman, D.B. Tannani, V. Arvind, T. Somanna, K. Banerjee, N. Mohideen, V.K. Vaidyanathan, Understanding the factors affecting adsorption of pharmaceuticals on different adsorbents – A critical literature update, Chemosphere 287 (2022) 131958. https://doi.org/10.1016/j.chemosphere.2021.131958.</w:t>
      </w:r>
    </w:p>
    <w:p w14:paraId="0D33B5FF"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[17]</w:t>
      </w:r>
      <w:r w:rsidRPr="00EF319B">
        <w:rPr>
          <w:rFonts w:ascii="Times New Roman" w:hAnsi="Times New Roman" w:cs="Times New Roman"/>
          <w:sz w:val="20"/>
          <w:szCs w:val="20"/>
        </w:rPr>
        <w:tab/>
        <w:t>R. Li, X. Cao, X. Fan, J. Shi, B. Meng, J. Zhang, Y. Wang, J. Du, X. Deng, C. Zheng, Study of the Factors Influencing the Adsorption of Heavy Metal Pollutants in Water by Activated Carbon Gel Particles, J. Environ. Eng. 150 (2024) 04024024. https://doi.org/10.1061/JOEEDU.EEENG-7606.</w:t>
      </w:r>
    </w:p>
    <w:p w14:paraId="13D9AEB6"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[18]</w:t>
      </w:r>
      <w:r w:rsidRPr="00EF319B">
        <w:rPr>
          <w:rFonts w:ascii="Times New Roman" w:hAnsi="Times New Roman" w:cs="Times New Roman"/>
          <w:sz w:val="20"/>
          <w:szCs w:val="20"/>
        </w:rPr>
        <w:tab/>
        <w:t>P.B. Joshi, Navigating with chemometrics and machine learning in chemistry, Artif Intell Rev 56 (2023) 9089–9114. https://doi.org/10.1007/s10462-023-10391-w.</w:t>
      </w:r>
    </w:p>
    <w:p w14:paraId="21104300"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[19]</w:t>
      </w:r>
      <w:r w:rsidRPr="00EF319B">
        <w:rPr>
          <w:rFonts w:ascii="Times New Roman" w:hAnsi="Times New Roman" w:cs="Times New Roman"/>
          <w:sz w:val="20"/>
          <w:szCs w:val="20"/>
        </w:rPr>
        <w:tab/>
        <w:t>A.K. Cheetham, R. Seshadri, Artificial Intelligence Driving Materials Discovery? Perspective on the Article: Scaling Deep Learning for Materials Discovery, Chem. Mater. 36 (2024) 3490–3495. https://doi.org/10.1021/acs.chemmater.4c00643.</w:t>
      </w:r>
    </w:p>
    <w:p w14:paraId="07E72A66"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[20]</w:t>
      </w:r>
      <w:r w:rsidRPr="00EF319B">
        <w:rPr>
          <w:rFonts w:ascii="Times New Roman" w:hAnsi="Times New Roman" w:cs="Times New Roman"/>
          <w:sz w:val="20"/>
          <w:szCs w:val="20"/>
        </w:rPr>
        <w:tab/>
        <w:t>N. Li, S. Girhe, M. Zhang, B. Chen, Y. Zhang, S. Liu, H. Pitsch, A machine learning method to predict rate constants for various reactions in combustion kinetic models, Combustion and Flame 263 (2024) 113375. https://doi.org/10.1016/j.combustflame.2024.113375.</w:t>
      </w:r>
    </w:p>
    <w:p w14:paraId="4A5244E6"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[21]</w:t>
      </w:r>
      <w:r w:rsidRPr="00EF319B">
        <w:rPr>
          <w:rFonts w:ascii="Times New Roman" w:hAnsi="Times New Roman" w:cs="Times New Roman"/>
          <w:sz w:val="20"/>
          <w:szCs w:val="20"/>
        </w:rPr>
        <w:tab/>
        <w:t>I. Malashin, V. Tynchenko, A. Gantimurov, V. Nelyub, A. Borodulin, Optimizing Neural Networks for Chemical Reaction Prediction: Insights from Methylene Blue Reduction Reactions, IJMS 25 (2024) 3860. https://doi.org/10.3390/ijms25073860.</w:t>
      </w:r>
    </w:p>
    <w:p w14:paraId="512A0E16"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[22]</w:t>
      </w:r>
      <w:r w:rsidRPr="00EF319B">
        <w:rPr>
          <w:rFonts w:ascii="Times New Roman" w:hAnsi="Times New Roman" w:cs="Times New Roman"/>
          <w:sz w:val="20"/>
          <w:szCs w:val="20"/>
        </w:rPr>
        <w:tab/>
        <w:t>H. Ali, M. Yasir, H.U. Haq, A.C. Guler, M. Masar, M.N.A. Khan, M. Machovsky, V. Sedlarik, I. Kuritka, Machine learning approach for photocatalysis: An experimentally validated case study of photocatalytic dye degradation, Journal of Environmental Management 386 (2025) 125683. https://doi.org/10.1016/j.jenvman.2025.125683.</w:t>
      </w:r>
    </w:p>
    <w:p w14:paraId="556B365C"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[23]</w:t>
      </w:r>
      <w:r w:rsidRPr="00EF319B">
        <w:rPr>
          <w:rFonts w:ascii="Times New Roman" w:hAnsi="Times New Roman" w:cs="Times New Roman"/>
          <w:sz w:val="20"/>
          <w:szCs w:val="20"/>
        </w:rPr>
        <w:tab/>
        <w:t>H. Ullah, S. Khan, X. Zhu, B. Chen, Z. Rao, N. Wu, A.M. Idris, Machine learning-aided biochar design for the adsorptive removal of emerging inorganic pollutants in water, Separation and Purification Technology 362 (2025) 131421. https://doi.org/10.1016/j.seppur.2025.131421.</w:t>
      </w:r>
    </w:p>
    <w:p w14:paraId="0D11557F"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[24]</w:t>
      </w:r>
      <w:r w:rsidRPr="00EF319B">
        <w:rPr>
          <w:rFonts w:ascii="Times New Roman" w:hAnsi="Times New Roman" w:cs="Times New Roman"/>
          <w:sz w:val="20"/>
          <w:szCs w:val="20"/>
        </w:rPr>
        <w:tab/>
        <w:t>M.S. Johnson, W.H. Green, A machine learning based approach to reaction rate estimation, React. Chem. Eng. 9 (2024) 1364–1380. https://doi.org/10.1039/D3RE00684K.</w:t>
      </w:r>
    </w:p>
    <w:p w14:paraId="6D099617"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[25]</w:t>
      </w:r>
      <w:r w:rsidRPr="00EF319B">
        <w:rPr>
          <w:rFonts w:ascii="Times New Roman" w:hAnsi="Times New Roman" w:cs="Times New Roman"/>
          <w:sz w:val="20"/>
          <w:szCs w:val="20"/>
        </w:rPr>
        <w:tab/>
        <w:t>M. Lambev, D. Dimitrova, S. Mihaylova, Machine Learning-Based Prediction of Rule Violations for Drug-Likeness Assessment in Peptide Molecules Using Random Forest Models, IJMS 26 (2025) 8407. https://doi.org/10.3390/ijms26178407.</w:t>
      </w:r>
    </w:p>
    <w:p w14:paraId="23CFEFF6"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[26]</w:t>
      </w:r>
      <w:r w:rsidRPr="00EF319B">
        <w:rPr>
          <w:rFonts w:ascii="Times New Roman" w:hAnsi="Times New Roman" w:cs="Times New Roman"/>
          <w:sz w:val="20"/>
          <w:szCs w:val="20"/>
        </w:rPr>
        <w:tab/>
        <w:t xml:space="preserve">A. Tabet, T. Gebhart, G. Wu, C. Readman, M. Pierson Smela, V.K. Rana, C. Baker, H. Bulstrode, P. Anikeeva, D.H. Rowitch, O.A. Scherman, Applying support-vector machine learning algorithms toward </w:t>
      </w:r>
      <w:r w:rsidRPr="00EF319B">
        <w:rPr>
          <w:rFonts w:ascii="Times New Roman" w:hAnsi="Times New Roman" w:cs="Times New Roman"/>
          <w:sz w:val="20"/>
          <w:szCs w:val="20"/>
        </w:rPr>
        <w:lastRenderedPageBreak/>
        <w:t>predicting host–guest interactions with cucurbit[7]uril, Phys. Chem. Chem. Phys. 22 (2020) 14976–14982. https://doi.org/10.1039/C9CP05800A.</w:t>
      </w:r>
    </w:p>
    <w:p w14:paraId="7B3570BA"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[27]</w:t>
      </w:r>
      <w:r w:rsidRPr="00EF319B">
        <w:rPr>
          <w:rFonts w:ascii="Times New Roman" w:hAnsi="Times New Roman" w:cs="Times New Roman"/>
          <w:sz w:val="20"/>
          <w:szCs w:val="20"/>
        </w:rPr>
        <w:tab/>
        <w:t>M. Abbod, N. Safaie, K. Gholivand, Genetic algorithm multiple linear regression and machine learning-driven QSTR modeling for the acute toxicity of sterol biosynthesis inhibitor fungicides, Heliyon 10 (2024) e36373. https://doi.org/10.1016/j.heliyon.2024.e36373.</w:t>
      </w:r>
    </w:p>
    <w:p w14:paraId="4C3290E5"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[28]</w:t>
      </w:r>
      <w:r w:rsidRPr="00EF319B">
        <w:rPr>
          <w:rFonts w:ascii="Times New Roman" w:hAnsi="Times New Roman" w:cs="Times New Roman"/>
          <w:sz w:val="20"/>
          <w:szCs w:val="20"/>
        </w:rPr>
        <w:tab/>
        <w:t>M. Vera, J. Aguilar, S. Coronel, D. Juela, E. Vanegas, C. Cruzat, Machine learning for the adsorptive removal of ciprofloxacin using sugarcane bagasse as a low-cost biosorbent: comparison of analytic, mechanistic, and neural network modeling, Environ Sci Pollut Res 31 (2024) 48674–48686. https://doi.org/10.1007/s11356-024-34345-z.</w:t>
      </w:r>
    </w:p>
    <w:p w14:paraId="4AED8ED0"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[29]</w:t>
      </w:r>
      <w:r w:rsidRPr="00EF319B">
        <w:rPr>
          <w:rFonts w:ascii="Times New Roman" w:hAnsi="Times New Roman" w:cs="Times New Roman"/>
          <w:sz w:val="20"/>
          <w:szCs w:val="20"/>
        </w:rPr>
        <w:tab/>
        <w:t>A.A. Akinpelu, M.K. Nazal, M. Shafiullah, M.K. Islam, M.M. Islam, A. Rahman, S.M. Rahman, M.M. Rahman, A Multivariate Machine Learning Model of Adsorptive Lindane Removal from Contaminated Water, Applied Sciences 13 (2023) 7086. https://doi.org/10.3390/app13127086.</w:t>
      </w:r>
    </w:p>
    <w:p w14:paraId="168C9170"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[30]</w:t>
      </w:r>
      <w:r w:rsidRPr="00EF319B">
        <w:rPr>
          <w:rFonts w:ascii="Times New Roman" w:hAnsi="Times New Roman" w:cs="Times New Roman"/>
          <w:sz w:val="20"/>
          <w:szCs w:val="20"/>
        </w:rPr>
        <w:tab/>
        <w:t>J. Li, J. Wang, H. Mu, H. Hu, J. Wang, H. Ren, B. Wu, Prediction of Adsorptive Activities of MOFs for Pollutants in Aqueous Phase Based on Machine Learning, ACS EST Eng. 3 (2023) 1258–1266. https://doi.org/10.1021/acsestengg.3c00086.</w:t>
      </w:r>
    </w:p>
    <w:p w14:paraId="29B4414B"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[31]</w:t>
      </w:r>
      <w:r w:rsidRPr="00EF319B">
        <w:rPr>
          <w:rFonts w:ascii="Times New Roman" w:hAnsi="Times New Roman" w:cs="Times New Roman"/>
          <w:sz w:val="20"/>
          <w:szCs w:val="20"/>
        </w:rPr>
        <w:tab/>
        <w:t>H. Ullah, S. Khan, B. Chen, A. Shahab, L. Riaz, L. Lun, N. Wu, Machine learning approach to predict adsorption capacity of Fe-modified biochar for selenium, Carbon Res. 2 (2023) 29. https://doi.org/10.1007/s44246-023-00061-5.</w:t>
      </w:r>
    </w:p>
    <w:p w14:paraId="0339984A"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[32]</w:t>
      </w:r>
      <w:r w:rsidRPr="00EF319B">
        <w:rPr>
          <w:rFonts w:ascii="Times New Roman" w:hAnsi="Times New Roman" w:cs="Times New Roman"/>
          <w:sz w:val="20"/>
          <w:szCs w:val="20"/>
        </w:rPr>
        <w:tab/>
        <w:t>E. Abbasi, M.R. Alavi Moghaddam, E. Kowsari, A systematic and critical review on development of machine learning based-ensemble models for prediction of adsorption process efficiency, Journal of Cleaner Production 379 (2022) 134588. https://doi.org/10.1016/j.jclepro.2022.134588.</w:t>
      </w:r>
    </w:p>
    <w:p w14:paraId="539411A5"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[33]</w:t>
      </w:r>
      <w:r w:rsidRPr="00EF319B">
        <w:rPr>
          <w:rFonts w:ascii="Times New Roman" w:hAnsi="Times New Roman" w:cs="Times New Roman"/>
          <w:sz w:val="20"/>
          <w:szCs w:val="20"/>
        </w:rPr>
        <w:tab/>
        <w:t>A. Gupta, K. Ghanshala, R.C. Joshi, Machine Learning Classifier Approach with Gaussian Process, Ensemble boosted Trees, SVM, and Linear Regression for 5G Signal Coverage Mapping., IJIMAI 6 (2021) 156–163. https://doi.org/10.9781/ijimai.2021.03.004.</w:t>
      </w:r>
    </w:p>
    <w:p w14:paraId="7275BAB6"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[34]</w:t>
      </w:r>
      <w:r w:rsidRPr="00EF319B">
        <w:rPr>
          <w:rFonts w:ascii="Times New Roman" w:hAnsi="Times New Roman" w:cs="Times New Roman"/>
          <w:sz w:val="20"/>
          <w:szCs w:val="20"/>
        </w:rPr>
        <w:tab/>
        <w:t>E. Syguła, K. Piasecka, J. Łyczko, A. Białowiec, The potential of decision tree application in threshold analysis of hazardous volatile organic compound release from biochar: Implications for environmental risk assessment, Science of The Total Environment 998 (2025) 180252. https://doi.org/10.1016/j.scitotenv.2025.180252.</w:t>
      </w:r>
    </w:p>
    <w:p w14:paraId="2988CBCF"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[35]</w:t>
      </w:r>
      <w:r w:rsidRPr="00EF319B">
        <w:rPr>
          <w:rFonts w:ascii="Times New Roman" w:hAnsi="Times New Roman" w:cs="Times New Roman"/>
          <w:sz w:val="20"/>
          <w:szCs w:val="20"/>
        </w:rPr>
        <w:tab/>
        <w:t>K. Kim, J. Hong, A hybrid decision tree algorithm for mixed numeric and categorical data in regression analysis, Pattern Recognition Letters 98 (2017) 39–45. https://doi.org/10.1016/j.patrec.2017.08.011.</w:t>
      </w:r>
    </w:p>
    <w:p w14:paraId="7FFF890E"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[36]</w:t>
      </w:r>
      <w:r w:rsidRPr="00EF319B">
        <w:rPr>
          <w:rFonts w:ascii="Times New Roman" w:hAnsi="Times New Roman" w:cs="Times New Roman"/>
          <w:sz w:val="20"/>
          <w:szCs w:val="20"/>
        </w:rPr>
        <w:tab/>
        <w:t>J. Li, W. Zhang, T. Liu, L. Yang, H. Li, H. Peng, S. Jiang, X. Wang, L. Leng, Machine learning aided bio-oil production with high energy recovery and low nitrogen content from hydrothermal liquefaction of biomass with experiment verification, Chemical Engineering Journal 425 (2021) 130649. https://doi.org/10.1016/j.cej.2021.130649.</w:t>
      </w:r>
    </w:p>
    <w:p w14:paraId="0939DB85"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[37]</w:t>
      </w:r>
      <w:r w:rsidRPr="00EF319B">
        <w:rPr>
          <w:rFonts w:ascii="Times New Roman" w:hAnsi="Times New Roman" w:cs="Times New Roman"/>
          <w:sz w:val="20"/>
          <w:szCs w:val="20"/>
        </w:rPr>
        <w:tab/>
        <w:t>I. Bibers, O. Arreche, W. Alayed, M. Abdallah, Ensemble-IDS: An Ensemble Learning Framework for Enhancing AI-Based Network Intrusion Detection Tasks, Applied Sciences 15 (2025) 10579. https://doi.org/10.3390/app151910579.</w:t>
      </w:r>
    </w:p>
    <w:p w14:paraId="0BA7337E"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[38]</w:t>
      </w:r>
      <w:r w:rsidRPr="00EF319B">
        <w:rPr>
          <w:rFonts w:ascii="Times New Roman" w:hAnsi="Times New Roman" w:cs="Times New Roman"/>
          <w:sz w:val="20"/>
          <w:szCs w:val="20"/>
        </w:rPr>
        <w:tab/>
        <w:t>D.K. Jha, Smart screening of hydrogen storage capacities in MOFs using a tailored machine learning, Next Energy 9 (2025) 100431. https://doi.org/10.1016/j.nxener.2025.100431.</w:t>
      </w:r>
    </w:p>
    <w:p w14:paraId="286F28C4"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[39]</w:t>
      </w:r>
      <w:r w:rsidRPr="00EF319B">
        <w:rPr>
          <w:rFonts w:ascii="Times New Roman" w:hAnsi="Times New Roman" w:cs="Times New Roman"/>
          <w:sz w:val="20"/>
          <w:szCs w:val="20"/>
        </w:rPr>
        <w:tab/>
        <w:t>V.L. Deringer, A.P. Bartók, N. Bernstein, D.M. Wilkins, M. Ceriotti, G. Csányi, Gaussian Process Regression for Materials and Molecules, Chem. Rev. 121 (2021) 10073–10141. https://doi.org/10.1021/acs.chemrev.1c00022.</w:t>
      </w:r>
    </w:p>
    <w:p w14:paraId="4B7B9F53"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[40]</w:t>
      </w:r>
      <w:r w:rsidRPr="00EF319B">
        <w:rPr>
          <w:rFonts w:ascii="Times New Roman" w:hAnsi="Times New Roman" w:cs="Times New Roman"/>
          <w:sz w:val="20"/>
          <w:szCs w:val="20"/>
        </w:rPr>
        <w:tab/>
        <w:t>Z.M. Yaseen, M.M. Hameed, Z.H. Doost, Validation of machine learning models for heavy metals bioavailability prediction: A comparative study, Journal of Environmental Chemical Engineering 13 (2025) 116749. https://doi.org/10.1016/j.jece.2025.116749.</w:t>
      </w:r>
    </w:p>
    <w:p w14:paraId="609C0EDD"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[41]</w:t>
      </w:r>
      <w:r w:rsidRPr="00EF319B">
        <w:rPr>
          <w:rFonts w:ascii="Times New Roman" w:hAnsi="Times New Roman" w:cs="Times New Roman"/>
          <w:sz w:val="20"/>
          <w:szCs w:val="20"/>
        </w:rPr>
        <w:tab/>
        <w:t>E. Momeni, M.B. Dowlatshahi, F. Omidinasab, H. Maizir, D.J. Armaghani, Gaussian Process Regression Technique to Estimate the Pile Bearing Capacity, Arab J Sci Eng 45 (2020) 8255–8267. https://doi.org/10.1007/s13369-020-04683-4.</w:t>
      </w:r>
    </w:p>
    <w:p w14:paraId="5DF31AB6"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[42]</w:t>
      </w:r>
      <w:r w:rsidRPr="00EF319B">
        <w:rPr>
          <w:rFonts w:ascii="Times New Roman" w:hAnsi="Times New Roman" w:cs="Times New Roman"/>
          <w:sz w:val="20"/>
          <w:szCs w:val="20"/>
        </w:rPr>
        <w:tab/>
        <w:t>X. Li, W. Sun, C. Qin, Y. Yan, L. Zhang, J. Tu, Evaluation of supervised machine learning regression models for CFD-based surrogate modelling in indoor airflow field reconstruction, Building and Environment 267 (2025) 112173. https://doi.org/10.1016/j.buildenv.2024.112173.</w:t>
      </w:r>
    </w:p>
    <w:p w14:paraId="52549D92"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[43]</w:t>
      </w:r>
      <w:r w:rsidRPr="00EF319B">
        <w:rPr>
          <w:rFonts w:ascii="Times New Roman" w:hAnsi="Times New Roman" w:cs="Times New Roman"/>
          <w:sz w:val="20"/>
          <w:szCs w:val="20"/>
        </w:rPr>
        <w:tab/>
        <w:t>S. Emamgholizadeh, B. Mohammadi, New hybrid nature-based algorithm to integration support vector machine for prediction of soil cation exchange capacity, Soft Comput 25 (2021) 13451–13464. https://doi.org/10.1007/s00500-021-06095-4.</w:t>
      </w:r>
    </w:p>
    <w:p w14:paraId="132DC1A2"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[44]</w:t>
      </w:r>
      <w:r w:rsidRPr="00EF319B">
        <w:rPr>
          <w:rFonts w:ascii="Times New Roman" w:hAnsi="Times New Roman" w:cs="Times New Roman"/>
          <w:sz w:val="20"/>
          <w:szCs w:val="20"/>
        </w:rPr>
        <w:tab/>
        <w:t>A. Bahadar, R. Kanthasamy, H.H. Sait, M. Zwawi, M. Algarni, B.V. Ayodele, C.K. Cheng, L.J. Wei, Elucidating the effect of process parameters on the production of hydrogen-rich syngas by biomass and coal Co-gasification techniques: A multi-criteria modeling approach, Chemosphere 287 (2022) 132052. https://doi.org/10.1016/j.chemosphere.2021.132052.</w:t>
      </w:r>
    </w:p>
    <w:p w14:paraId="5D6A244A"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lastRenderedPageBreak/>
        <w:t>[45]</w:t>
      </w:r>
      <w:r w:rsidRPr="00EF319B">
        <w:rPr>
          <w:rFonts w:ascii="Times New Roman" w:hAnsi="Times New Roman" w:cs="Times New Roman"/>
          <w:sz w:val="20"/>
          <w:szCs w:val="20"/>
        </w:rPr>
        <w:tab/>
        <w:t>R. Guay-Hottin, L. Kardassevitch, H. Pham, G. Lajoie, M. Bonizzato, Robust prior-biased acquisition function for human-in-the-loop Bayesian optimization, Knowledge-Based Systems 311 (2025) 113039. https://doi.org/10.1016/j.knosys.2025.113039.</w:t>
      </w:r>
    </w:p>
    <w:p w14:paraId="4BFF0CD0"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[46]</w:t>
      </w:r>
      <w:r w:rsidRPr="00EF319B">
        <w:rPr>
          <w:rFonts w:ascii="Times New Roman" w:hAnsi="Times New Roman" w:cs="Times New Roman"/>
          <w:sz w:val="20"/>
          <w:szCs w:val="20"/>
        </w:rPr>
        <w:tab/>
        <w:t>B. Lei, T.Q. Kirk, A. Bhattacharya, D. Pati, X. Qian, R. Arroyave, B.K. Mallick, Bayesian optimization with adaptive surrogate models for automated experimental design, Npj Comput Mater 7 (2021) 194. https://doi.org/10.1038/s41524-021-00662-x.</w:t>
      </w:r>
    </w:p>
    <w:p w14:paraId="129B70EA"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[47]</w:t>
      </w:r>
      <w:r w:rsidRPr="00EF319B">
        <w:rPr>
          <w:rFonts w:ascii="Times New Roman" w:hAnsi="Times New Roman" w:cs="Times New Roman"/>
          <w:sz w:val="20"/>
          <w:szCs w:val="20"/>
        </w:rPr>
        <w:tab/>
        <w:t>D. Kerrigan, B. Barr, E. Bertini, PDPilot: Exploring Partial Dependence Plots Through Ranking, Filtering, and Clustering, IEEE Trans. Visual. Comput. Graphics 31 (2025) 7377–7390. https://doi.org/10.1109/TVCG.2025.3545025.</w:t>
      </w:r>
    </w:p>
    <w:p w14:paraId="70478351"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[48]</w:t>
      </w:r>
      <w:r w:rsidRPr="00EF319B">
        <w:rPr>
          <w:rFonts w:ascii="Times New Roman" w:hAnsi="Times New Roman" w:cs="Times New Roman"/>
          <w:sz w:val="20"/>
          <w:szCs w:val="20"/>
        </w:rPr>
        <w:tab/>
        <w:t>I. Karume, S. Bbumba, S. Tewolde, I.Z.T. Mukasa, M. Ntale, Impact of carbonization conditions and adsorbate nature on the performance of activated carbon in water treatment, BMC Chemistry 17 (2023) 162. https://doi.org/10.1186/s13065-023-01091-1.</w:t>
      </w:r>
    </w:p>
    <w:p w14:paraId="0285B11E"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[49]</w:t>
      </w:r>
      <w:r w:rsidRPr="00EF319B">
        <w:rPr>
          <w:rFonts w:ascii="Times New Roman" w:hAnsi="Times New Roman" w:cs="Times New Roman"/>
          <w:sz w:val="20"/>
          <w:szCs w:val="20"/>
        </w:rPr>
        <w:tab/>
        <w:t>N. Hamri, A. Imessaoudene, A. Hadadi, S. Cheikh, A. Boukerroui, J.-C. Bollinger, A. Amrane, H. Tahraoui, H.N. Tran, A.O. Ezzat, H.A. Al-Lohedan, L. Mouni, Enhanced Adsorption Capacity of Methylene Blue Dye onto Kaolin through Acid Treatment: Batch Adsorption and Machine Learning Studies, Water 16 (2024) 243. https://doi.org/10.3390/w16020243.</w:t>
      </w:r>
    </w:p>
    <w:p w14:paraId="5DE87495"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[50]</w:t>
      </w:r>
      <w:r w:rsidRPr="00EF319B">
        <w:rPr>
          <w:rFonts w:ascii="Times New Roman" w:hAnsi="Times New Roman" w:cs="Times New Roman"/>
          <w:sz w:val="20"/>
          <w:szCs w:val="20"/>
        </w:rPr>
        <w:tab/>
        <w:t>W. Zhu, F. Chen, L. Ye, X. Yang, Y. Song, H. Wang, Methylene blue and acid red adsorption on biochar made from modified sugarcane bagasse: A dynamic, equilibrium, and thermodynamic investigation, Adsorption Science &amp; Technology 42 (2024) 02636174241273522. https://doi.org/10.1177/02636174241273522.</w:t>
      </w:r>
    </w:p>
    <w:p w14:paraId="39CD6A2C"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[51]</w:t>
      </w:r>
      <w:r w:rsidRPr="00EF319B">
        <w:rPr>
          <w:rFonts w:ascii="Times New Roman" w:hAnsi="Times New Roman" w:cs="Times New Roman"/>
          <w:sz w:val="20"/>
          <w:szCs w:val="20"/>
        </w:rPr>
        <w:tab/>
        <w:t>Y. Luo, Z. Zheng, P. Wu, Y. Wu, Effect of different direct revegetation strategies on the mobility of heavy metals in artificial zinc smelting waste slag: Implications for phytoremediation, Chemosphere 286 (2022) 131678. https://doi.org/10.1016/j.chemosphere.2021.131678.</w:t>
      </w:r>
    </w:p>
    <w:p w14:paraId="186EF600"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[52]</w:t>
      </w:r>
      <w:r w:rsidRPr="00EF319B">
        <w:rPr>
          <w:rFonts w:ascii="Times New Roman" w:hAnsi="Times New Roman" w:cs="Times New Roman"/>
          <w:sz w:val="20"/>
          <w:szCs w:val="20"/>
        </w:rPr>
        <w:tab/>
        <w:t>M. Bellaj, K. Aziz, M. El Achaby, M. El Haddad, L. Gebrati, T.A. Kurniawan, Z. Chen, P.-S. Yap, F. Aziz, Cationic and anionic dyes adsorption from wastewater by clay-chitosan composite: An integrated experimental and modeling study, Chemical Engineering Science 285 (2024) 119615. https://doi.org/10.1016/j.ces.2023.119615.</w:t>
      </w:r>
    </w:p>
    <w:p w14:paraId="73E01392"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[53]</w:t>
      </w:r>
      <w:r w:rsidRPr="00EF319B">
        <w:rPr>
          <w:rFonts w:ascii="Times New Roman" w:hAnsi="Times New Roman" w:cs="Times New Roman"/>
          <w:sz w:val="20"/>
          <w:szCs w:val="20"/>
        </w:rPr>
        <w:tab/>
        <w:t>W. Zouhri, L. Homri, J.-Y. Dantan, Handling the impact of feature uncertainties on SVM: A robust approach based on Sobol sensitivity analysis, Expert Systems with Applications 189 (2022) 115691. https://doi.org/10.1016/j.eswa.2021.115691.</w:t>
      </w:r>
    </w:p>
    <w:p w14:paraId="765BC35E"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[54]</w:t>
      </w:r>
      <w:r w:rsidRPr="00EF319B">
        <w:rPr>
          <w:rFonts w:ascii="Times New Roman" w:hAnsi="Times New Roman" w:cs="Times New Roman"/>
          <w:sz w:val="20"/>
          <w:szCs w:val="20"/>
        </w:rPr>
        <w:tab/>
        <w:t>H. Zheng, X. Meng, Y. Yang, J. Chen, S. Huo, Bifunctional photocatalytic nanofiltration membranes with immobilized BaTiO3/Ti3C2T catalysts for the simultaneous separation and degradation of azo compounds, Journal of Environmental Chemical Engineering 11 (2023) 110064. https://doi.org/10.1016/j.jece.2023.110064.</w:t>
      </w:r>
    </w:p>
    <w:p w14:paraId="3962ECC1"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[55]</w:t>
      </w:r>
      <w:r w:rsidRPr="00EF319B">
        <w:rPr>
          <w:rFonts w:ascii="Times New Roman" w:hAnsi="Times New Roman" w:cs="Times New Roman"/>
          <w:sz w:val="20"/>
          <w:szCs w:val="20"/>
        </w:rPr>
        <w:tab/>
        <w:t>J. Latif, N. Chen, A. Saleem, K. Li, J. Qin, H. Yang, H. Jia, Machine learning for persistent free radicals in biochar: dual prediction of contents and types using regression and classification models, Carbon Res. 3 (2024) 39. https://doi.org/10.1007/s44246-024-00125-0.</w:t>
      </w:r>
    </w:p>
    <w:p w14:paraId="2321687B"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[56]</w:t>
      </w:r>
      <w:r w:rsidRPr="00EF319B">
        <w:rPr>
          <w:rFonts w:ascii="Times New Roman" w:hAnsi="Times New Roman" w:cs="Times New Roman"/>
          <w:sz w:val="20"/>
          <w:szCs w:val="20"/>
        </w:rPr>
        <w:tab/>
        <w:t>S. Chheda, W. Jeong, N. Hanikel, L. Gagliardi, J.I. Siepmann, Monte Carlo Simulations of Water Adsorption in Aluminum Oxide Rod-Based Metal–Organic Frameworks, J. Phys. Chem. C 127 (2023) 7837–7851. https://doi.org/10.1021/acs.jpcc.3c00354.</w:t>
      </w:r>
    </w:p>
    <w:p w14:paraId="53B1EB48"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[57]</w:t>
      </w:r>
      <w:r w:rsidRPr="00EF319B">
        <w:rPr>
          <w:rFonts w:ascii="Times New Roman" w:hAnsi="Times New Roman" w:cs="Times New Roman"/>
          <w:sz w:val="20"/>
          <w:szCs w:val="20"/>
        </w:rPr>
        <w:tab/>
        <w:t>M. Zubair, N.D. Mu’azu, N. Jarrah, N.I. Blaisi, H.A. Aziz, M. A. Al-Harthi, Adsorption Behavior and Mechanism of Methylene Blue, Crystal Violet, Eriochrome Black T, and Methyl Orange Dyes onto Biochar-Derived Date Palm Fronds Waste Produced at Different Pyrolysis Conditions, Water Air Soil Pollut 231 (2020) 240. https://doi.org/10.1007/s11270-020-04595-x.</w:t>
      </w:r>
    </w:p>
    <w:p w14:paraId="6B9C16A0"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[58]</w:t>
      </w:r>
      <w:r w:rsidRPr="00EF319B">
        <w:rPr>
          <w:rFonts w:ascii="Times New Roman" w:hAnsi="Times New Roman" w:cs="Times New Roman"/>
          <w:sz w:val="20"/>
          <w:szCs w:val="20"/>
        </w:rPr>
        <w:tab/>
        <w:t>M. Zeeshan, T. Javed, C. Kumari, A. Thumma, M. Wasim, M.B. Taj, I. Sharma, M.N. Haider, M. Batool, Investigating the interactions between dyes and porous/composite materials: A comprehensive study, Sustainable Chemistry for the Environment 9 (2025) 100217. https://doi.org/10.1016/j.scenv.2025.100217.</w:t>
      </w:r>
    </w:p>
    <w:p w14:paraId="5E1CE06C" w14:textId="77777777" w:rsidR="001E48B5" w:rsidRPr="00EF319B" w:rsidRDefault="001E48B5" w:rsidP="001E48B5">
      <w:pPr>
        <w:pStyle w:val="Bibliography"/>
        <w:rPr>
          <w:rFonts w:ascii="Times New Roman" w:hAnsi="Times New Roman" w:cs="Times New Roman"/>
          <w:sz w:val="20"/>
          <w:szCs w:val="20"/>
        </w:rPr>
      </w:pPr>
      <w:r w:rsidRPr="00EF319B">
        <w:rPr>
          <w:rFonts w:ascii="Times New Roman" w:hAnsi="Times New Roman" w:cs="Times New Roman"/>
          <w:sz w:val="20"/>
          <w:szCs w:val="20"/>
        </w:rPr>
        <w:t>[59]</w:t>
      </w:r>
      <w:r w:rsidRPr="00EF319B">
        <w:rPr>
          <w:rFonts w:ascii="Times New Roman" w:hAnsi="Times New Roman" w:cs="Times New Roman"/>
          <w:sz w:val="20"/>
          <w:szCs w:val="20"/>
        </w:rPr>
        <w:tab/>
        <w:t>S. Qiu, Q. Li, X. Li, J. Ma, L. Wu, X. Xie, L. Wu, S. Askari, N. Dewangan, J. Ashok, X. Gao, S. Kawi, Biomass‐Derived Carbon Materials for the Adsorption of Organic Pollutants, Advanced Sustainable Systems 8 (2024) 2300340. https://doi.org/10.1002/adsu.202300340.</w:t>
      </w:r>
    </w:p>
    <w:p w14:paraId="289DAE0E" w14:textId="4FE3C48F" w:rsidR="002F4646" w:rsidRPr="001A30F0" w:rsidRDefault="00E074A6" w:rsidP="00E074A6">
      <w:pPr>
        <w:jc w:val="both"/>
        <w:rPr>
          <w:rFonts w:ascii="Times New Roman" w:hAnsi="Times New Roman" w:cs="Times New Roman"/>
        </w:rPr>
      </w:pPr>
      <w:r w:rsidRPr="00EF319B">
        <w:rPr>
          <w:rFonts w:ascii="Times New Roman" w:hAnsi="Times New Roman" w:cs="Times New Roman"/>
          <w:sz w:val="20"/>
          <w:szCs w:val="20"/>
        </w:rPr>
        <w:fldChar w:fldCharType="end"/>
      </w:r>
    </w:p>
    <w:sectPr w:rsidR="002F4646" w:rsidRPr="001A30F0" w:rsidSect="007752A6">
      <w:headerReference w:type="default" r:id="rId20"/>
      <w:footerReference w:type="default" r:id="rId21"/>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7DA48" w14:textId="77777777" w:rsidR="000B12E9" w:rsidRPr="00EF319B" w:rsidRDefault="000B12E9">
      <w:pPr>
        <w:spacing w:after="0" w:line="240" w:lineRule="auto"/>
      </w:pPr>
      <w:r w:rsidRPr="00EF319B">
        <w:separator/>
      </w:r>
    </w:p>
  </w:endnote>
  <w:endnote w:type="continuationSeparator" w:id="0">
    <w:p w14:paraId="060EEF36" w14:textId="77777777" w:rsidR="000B12E9" w:rsidRPr="00EF319B" w:rsidRDefault="000B12E9">
      <w:pPr>
        <w:spacing w:after="0" w:line="240" w:lineRule="auto"/>
      </w:pPr>
      <w:r w:rsidRPr="00EF319B">
        <w:continuationSeparator/>
      </w:r>
    </w:p>
  </w:endnote>
  <w:endnote w:type="continuationNotice" w:id="1">
    <w:p w14:paraId="1E51EE66" w14:textId="77777777" w:rsidR="000B12E9" w:rsidRPr="00EF319B" w:rsidRDefault="000B12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250669"/>
      <w:docPartObj>
        <w:docPartGallery w:val="Page Numbers (Bottom of Page)"/>
        <w:docPartUnique/>
      </w:docPartObj>
    </w:sdtPr>
    <w:sdtEndPr>
      <w:rPr>
        <w:noProof/>
      </w:rPr>
    </w:sdtEndPr>
    <w:sdtContent>
      <w:p w14:paraId="0EB6370C" w14:textId="5C649EA1" w:rsidR="007752A6" w:rsidRDefault="007752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F03359" w14:textId="461D8C73" w:rsidR="7587CFD2" w:rsidRPr="00EF319B" w:rsidRDefault="7587CFD2" w:rsidP="7587C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35E73" w14:textId="77777777" w:rsidR="000B12E9" w:rsidRPr="00EF319B" w:rsidRDefault="000B12E9">
      <w:pPr>
        <w:spacing w:after="0" w:line="240" w:lineRule="auto"/>
      </w:pPr>
      <w:r w:rsidRPr="00EF319B">
        <w:separator/>
      </w:r>
    </w:p>
  </w:footnote>
  <w:footnote w:type="continuationSeparator" w:id="0">
    <w:p w14:paraId="2D3B600C" w14:textId="77777777" w:rsidR="000B12E9" w:rsidRPr="00EF319B" w:rsidRDefault="000B12E9">
      <w:pPr>
        <w:spacing w:after="0" w:line="240" w:lineRule="auto"/>
      </w:pPr>
      <w:r w:rsidRPr="00EF319B">
        <w:continuationSeparator/>
      </w:r>
    </w:p>
  </w:footnote>
  <w:footnote w:type="continuationNotice" w:id="1">
    <w:p w14:paraId="15134981" w14:textId="77777777" w:rsidR="000B12E9" w:rsidRPr="00EF319B" w:rsidRDefault="000B12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7587CFD2" w:rsidRPr="00EF319B" w14:paraId="070A24D9" w14:textId="77777777" w:rsidTr="7587CFD2">
      <w:trPr>
        <w:trHeight w:val="300"/>
      </w:trPr>
      <w:tc>
        <w:tcPr>
          <w:tcW w:w="2830" w:type="dxa"/>
        </w:tcPr>
        <w:p w14:paraId="2A3925D5" w14:textId="7676A4B6" w:rsidR="7587CFD2" w:rsidRPr="00EF319B" w:rsidRDefault="7587CFD2" w:rsidP="7587CFD2">
          <w:pPr>
            <w:pStyle w:val="Header"/>
            <w:ind w:left="-115"/>
          </w:pPr>
        </w:p>
      </w:tc>
      <w:tc>
        <w:tcPr>
          <w:tcW w:w="2830" w:type="dxa"/>
        </w:tcPr>
        <w:p w14:paraId="539BA994" w14:textId="7813FE88" w:rsidR="7587CFD2" w:rsidRPr="00EF319B" w:rsidRDefault="7587CFD2" w:rsidP="7587CFD2">
          <w:pPr>
            <w:pStyle w:val="Header"/>
            <w:jc w:val="center"/>
          </w:pPr>
        </w:p>
      </w:tc>
      <w:tc>
        <w:tcPr>
          <w:tcW w:w="2830" w:type="dxa"/>
        </w:tcPr>
        <w:p w14:paraId="56D60362" w14:textId="199E34A3" w:rsidR="7587CFD2" w:rsidRPr="00EF319B" w:rsidRDefault="7587CFD2" w:rsidP="7587CFD2">
          <w:pPr>
            <w:pStyle w:val="Header"/>
            <w:ind w:right="-115"/>
            <w:jc w:val="right"/>
          </w:pPr>
        </w:p>
      </w:tc>
    </w:tr>
  </w:tbl>
  <w:p w14:paraId="775297B1" w14:textId="343B42EA" w:rsidR="7587CFD2" w:rsidRPr="00EF319B" w:rsidRDefault="7587CFD2" w:rsidP="7587CF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F5B61"/>
    <w:multiLevelType w:val="hybridMultilevel"/>
    <w:tmpl w:val="C1624B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E231746"/>
    <w:multiLevelType w:val="hybridMultilevel"/>
    <w:tmpl w:val="B4DE3E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CA87F01"/>
    <w:multiLevelType w:val="multilevel"/>
    <w:tmpl w:val="C5CCC6D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4534A9D"/>
    <w:multiLevelType w:val="multilevel"/>
    <w:tmpl w:val="049E620E"/>
    <w:lvl w:ilvl="0">
      <w:start w:val="1"/>
      <w:numFmt w:val="decimal"/>
      <w:lvlText w:val="%1."/>
      <w:lvlJc w:val="left"/>
      <w:pPr>
        <w:ind w:left="216" w:hanging="216"/>
      </w:pPr>
      <w:rPr>
        <w:rFonts w:hint="default"/>
      </w:rPr>
    </w:lvl>
    <w:lvl w:ilvl="1">
      <w:start w:val="1"/>
      <w:numFmt w:val="decimal"/>
      <w:lvlText w:val="%1.%2."/>
      <w:lvlJc w:val="left"/>
      <w:pPr>
        <w:ind w:left="432" w:hanging="432"/>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2A80F87"/>
    <w:multiLevelType w:val="hybridMultilevel"/>
    <w:tmpl w:val="2B5002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40CC7CD"/>
    <w:multiLevelType w:val="hybridMultilevel"/>
    <w:tmpl w:val="EEA01974"/>
    <w:lvl w:ilvl="0" w:tplc="EFDE9D20">
      <w:start w:val="1"/>
      <w:numFmt w:val="decimal"/>
      <w:lvlText w:val="%1."/>
      <w:lvlJc w:val="left"/>
      <w:pPr>
        <w:ind w:left="720" w:hanging="360"/>
      </w:pPr>
    </w:lvl>
    <w:lvl w:ilvl="1" w:tplc="5A723D64">
      <w:start w:val="1"/>
      <w:numFmt w:val="lowerLetter"/>
      <w:lvlText w:val="%2."/>
      <w:lvlJc w:val="left"/>
      <w:pPr>
        <w:ind w:left="1440" w:hanging="360"/>
      </w:pPr>
    </w:lvl>
    <w:lvl w:ilvl="2" w:tplc="B152452C">
      <w:start w:val="1"/>
      <w:numFmt w:val="lowerRoman"/>
      <w:lvlText w:val="%3."/>
      <w:lvlJc w:val="right"/>
      <w:pPr>
        <w:ind w:left="2160" w:hanging="180"/>
      </w:pPr>
    </w:lvl>
    <w:lvl w:ilvl="3" w:tplc="30C0A39C">
      <w:start w:val="1"/>
      <w:numFmt w:val="decimal"/>
      <w:lvlText w:val="%4."/>
      <w:lvlJc w:val="left"/>
      <w:pPr>
        <w:ind w:left="2880" w:hanging="360"/>
      </w:pPr>
    </w:lvl>
    <w:lvl w:ilvl="4" w:tplc="1CC050B6">
      <w:start w:val="1"/>
      <w:numFmt w:val="lowerLetter"/>
      <w:lvlText w:val="%5."/>
      <w:lvlJc w:val="left"/>
      <w:pPr>
        <w:ind w:left="3600" w:hanging="360"/>
      </w:pPr>
    </w:lvl>
    <w:lvl w:ilvl="5" w:tplc="CDF6DD46">
      <w:start w:val="1"/>
      <w:numFmt w:val="lowerRoman"/>
      <w:lvlText w:val="%6."/>
      <w:lvlJc w:val="right"/>
      <w:pPr>
        <w:ind w:left="4320" w:hanging="180"/>
      </w:pPr>
    </w:lvl>
    <w:lvl w:ilvl="6" w:tplc="7304C4CE">
      <w:start w:val="1"/>
      <w:numFmt w:val="decimal"/>
      <w:lvlText w:val="%7."/>
      <w:lvlJc w:val="left"/>
      <w:pPr>
        <w:ind w:left="5040" w:hanging="360"/>
      </w:pPr>
    </w:lvl>
    <w:lvl w:ilvl="7" w:tplc="8C44B27E">
      <w:start w:val="1"/>
      <w:numFmt w:val="lowerLetter"/>
      <w:lvlText w:val="%8."/>
      <w:lvlJc w:val="left"/>
      <w:pPr>
        <w:ind w:left="5760" w:hanging="360"/>
      </w:pPr>
    </w:lvl>
    <w:lvl w:ilvl="8" w:tplc="29446EF0">
      <w:start w:val="1"/>
      <w:numFmt w:val="lowerRoman"/>
      <w:lvlText w:val="%9."/>
      <w:lvlJc w:val="right"/>
      <w:pPr>
        <w:ind w:left="6480" w:hanging="180"/>
      </w:pPr>
    </w:lvl>
  </w:abstractNum>
  <w:abstractNum w:abstractNumId="6" w15:restartNumberingAfterBreak="0">
    <w:nsid w:val="6AD65293"/>
    <w:multiLevelType w:val="hybridMultilevel"/>
    <w:tmpl w:val="3556A8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02999055">
    <w:abstractNumId w:val="5"/>
  </w:num>
  <w:num w:numId="2" w16cid:durableId="1044015229">
    <w:abstractNumId w:val="4"/>
  </w:num>
  <w:num w:numId="3" w16cid:durableId="965237687">
    <w:abstractNumId w:val="1"/>
  </w:num>
  <w:num w:numId="4" w16cid:durableId="718676336">
    <w:abstractNumId w:val="6"/>
  </w:num>
  <w:num w:numId="5" w16cid:durableId="1870608991">
    <w:abstractNumId w:val="0"/>
  </w:num>
  <w:num w:numId="6" w16cid:durableId="1388258137">
    <w:abstractNumId w:val="2"/>
  </w:num>
  <w:num w:numId="7" w16cid:durableId="1542091860">
    <w:abstractNumId w:val="3"/>
  </w:num>
  <w:num w:numId="8" w16cid:durableId="31275049">
    <w:abstractNumId w:val="3"/>
    <w:lvlOverride w:ilvl="0">
      <w:lvl w:ilvl="0">
        <w:start w:val="1"/>
        <w:numFmt w:val="decimal"/>
        <w:lvlText w:val="%1."/>
        <w:lvlJc w:val="left"/>
        <w:pPr>
          <w:ind w:left="216" w:hanging="216"/>
        </w:pPr>
        <w:rPr>
          <w:rFonts w:hint="default"/>
        </w:rPr>
      </w:lvl>
    </w:lvlOverride>
    <w:lvlOverride w:ilvl="1">
      <w:lvl w:ilvl="1">
        <w:start w:val="1"/>
        <w:numFmt w:val="decimal"/>
        <w:lvlText w:val="%1.%2."/>
        <w:lvlJc w:val="left"/>
        <w:pPr>
          <w:ind w:left="432" w:hanging="432"/>
        </w:pPr>
        <w:rPr>
          <w:rFonts w:ascii="Times New Roman" w:hAnsi="Times New Roman" w:hint="default"/>
          <w:b/>
          <w:i w:val="0"/>
          <w:sz w:val="20"/>
        </w:rPr>
      </w:lvl>
    </w:lvlOverride>
    <w:lvlOverride w:ilvl="2">
      <w:lvl w:ilvl="2">
        <w:start w:val="1"/>
        <w:numFmt w:val="decimal"/>
        <w:lvlText w:val="%3.%2"/>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wtTQ0MjGwMDQyNTFX0lEKTi0uzszPAykwNq0FALKSB9wtAAAA"/>
  </w:docVars>
  <w:rsids>
    <w:rsidRoot w:val="00683022"/>
    <w:rsid w:val="00000E80"/>
    <w:rsid w:val="00002587"/>
    <w:rsid w:val="000035AC"/>
    <w:rsid w:val="000038A5"/>
    <w:rsid w:val="000104C4"/>
    <w:rsid w:val="000108D3"/>
    <w:rsid w:val="000127CC"/>
    <w:rsid w:val="00017507"/>
    <w:rsid w:val="00017B56"/>
    <w:rsid w:val="00023C8D"/>
    <w:rsid w:val="000262FE"/>
    <w:rsid w:val="000303E9"/>
    <w:rsid w:val="000328B9"/>
    <w:rsid w:val="00034A19"/>
    <w:rsid w:val="00043630"/>
    <w:rsid w:val="00045D42"/>
    <w:rsid w:val="000461AE"/>
    <w:rsid w:val="00050E6C"/>
    <w:rsid w:val="00051D1E"/>
    <w:rsid w:val="00051D89"/>
    <w:rsid w:val="00054586"/>
    <w:rsid w:val="0005531B"/>
    <w:rsid w:val="00057C23"/>
    <w:rsid w:val="00060A17"/>
    <w:rsid w:val="00062F7C"/>
    <w:rsid w:val="000636FC"/>
    <w:rsid w:val="0006662D"/>
    <w:rsid w:val="00071E92"/>
    <w:rsid w:val="000723C6"/>
    <w:rsid w:val="00073F45"/>
    <w:rsid w:val="000813BD"/>
    <w:rsid w:val="00083690"/>
    <w:rsid w:val="00086244"/>
    <w:rsid w:val="00092842"/>
    <w:rsid w:val="00094FBB"/>
    <w:rsid w:val="000A2631"/>
    <w:rsid w:val="000A3D66"/>
    <w:rsid w:val="000A610F"/>
    <w:rsid w:val="000B12E9"/>
    <w:rsid w:val="000B1A2B"/>
    <w:rsid w:val="000C18DE"/>
    <w:rsid w:val="000C50B2"/>
    <w:rsid w:val="000D1348"/>
    <w:rsid w:val="000D71C2"/>
    <w:rsid w:val="000E0F2E"/>
    <w:rsid w:val="000E138A"/>
    <w:rsid w:val="000E18CD"/>
    <w:rsid w:val="000E214A"/>
    <w:rsid w:val="000E4F79"/>
    <w:rsid w:val="000F2906"/>
    <w:rsid w:val="00100782"/>
    <w:rsid w:val="00105FA5"/>
    <w:rsid w:val="00106B8E"/>
    <w:rsid w:val="00107E6A"/>
    <w:rsid w:val="00107F5A"/>
    <w:rsid w:val="00111D20"/>
    <w:rsid w:val="00112976"/>
    <w:rsid w:val="001159F2"/>
    <w:rsid w:val="00116BBF"/>
    <w:rsid w:val="00121AA9"/>
    <w:rsid w:val="001222E8"/>
    <w:rsid w:val="0012440A"/>
    <w:rsid w:val="001325FE"/>
    <w:rsid w:val="00132CC2"/>
    <w:rsid w:val="00143038"/>
    <w:rsid w:val="00151214"/>
    <w:rsid w:val="001518AE"/>
    <w:rsid w:val="00152C70"/>
    <w:rsid w:val="0015651B"/>
    <w:rsid w:val="001565BC"/>
    <w:rsid w:val="00157256"/>
    <w:rsid w:val="001604FF"/>
    <w:rsid w:val="001631D6"/>
    <w:rsid w:val="00163384"/>
    <w:rsid w:val="00164E45"/>
    <w:rsid w:val="00165F28"/>
    <w:rsid w:val="00166797"/>
    <w:rsid w:val="00170706"/>
    <w:rsid w:val="00170D20"/>
    <w:rsid w:val="00172B93"/>
    <w:rsid w:val="00183812"/>
    <w:rsid w:val="00186C02"/>
    <w:rsid w:val="001877E2"/>
    <w:rsid w:val="00191BF0"/>
    <w:rsid w:val="00192891"/>
    <w:rsid w:val="00192EBA"/>
    <w:rsid w:val="00193639"/>
    <w:rsid w:val="00194214"/>
    <w:rsid w:val="0019526F"/>
    <w:rsid w:val="001A30F0"/>
    <w:rsid w:val="001A49FF"/>
    <w:rsid w:val="001A4FC6"/>
    <w:rsid w:val="001B0981"/>
    <w:rsid w:val="001B1BE8"/>
    <w:rsid w:val="001B3D6B"/>
    <w:rsid w:val="001B651F"/>
    <w:rsid w:val="001C317A"/>
    <w:rsid w:val="001C4E10"/>
    <w:rsid w:val="001C5870"/>
    <w:rsid w:val="001C75D9"/>
    <w:rsid w:val="001D0EED"/>
    <w:rsid w:val="001D1528"/>
    <w:rsid w:val="001E1C9C"/>
    <w:rsid w:val="001E2B7D"/>
    <w:rsid w:val="001E48B5"/>
    <w:rsid w:val="001F0CB4"/>
    <w:rsid w:val="001F4334"/>
    <w:rsid w:val="001F7403"/>
    <w:rsid w:val="00200282"/>
    <w:rsid w:val="00203809"/>
    <w:rsid w:val="002041F0"/>
    <w:rsid w:val="00212516"/>
    <w:rsid w:val="0021267E"/>
    <w:rsid w:val="002127CE"/>
    <w:rsid w:val="00212E6E"/>
    <w:rsid w:val="00213CD8"/>
    <w:rsid w:val="0021411D"/>
    <w:rsid w:val="002149DD"/>
    <w:rsid w:val="00214CA7"/>
    <w:rsid w:val="002151FD"/>
    <w:rsid w:val="00216422"/>
    <w:rsid w:val="00220232"/>
    <w:rsid w:val="0022023A"/>
    <w:rsid w:val="002211BE"/>
    <w:rsid w:val="00222DA5"/>
    <w:rsid w:val="00224BF1"/>
    <w:rsid w:val="002278BD"/>
    <w:rsid w:val="002339F9"/>
    <w:rsid w:val="00233C01"/>
    <w:rsid w:val="0023786A"/>
    <w:rsid w:val="00246B6C"/>
    <w:rsid w:val="00250C03"/>
    <w:rsid w:val="0025260D"/>
    <w:rsid w:val="0025310C"/>
    <w:rsid w:val="00255320"/>
    <w:rsid w:val="002635EC"/>
    <w:rsid w:val="0027451D"/>
    <w:rsid w:val="002808AC"/>
    <w:rsid w:val="00280986"/>
    <w:rsid w:val="00283E1F"/>
    <w:rsid w:val="00285DF0"/>
    <w:rsid w:val="0028745F"/>
    <w:rsid w:val="00293B07"/>
    <w:rsid w:val="00294CEA"/>
    <w:rsid w:val="002976F9"/>
    <w:rsid w:val="002A2B54"/>
    <w:rsid w:val="002A39F3"/>
    <w:rsid w:val="002B160C"/>
    <w:rsid w:val="002B2BFC"/>
    <w:rsid w:val="002C54A5"/>
    <w:rsid w:val="002C6A9C"/>
    <w:rsid w:val="002E0E04"/>
    <w:rsid w:val="002E14A4"/>
    <w:rsid w:val="002E2E22"/>
    <w:rsid w:val="002E672A"/>
    <w:rsid w:val="002F0C92"/>
    <w:rsid w:val="002F2A73"/>
    <w:rsid w:val="002F2D81"/>
    <w:rsid w:val="002F4646"/>
    <w:rsid w:val="002F4D8B"/>
    <w:rsid w:val="00304216"/>
    <w:rsid w:val="003061E3"/>
    <w:rsid w:val="0030633C"/>
    <w:rsid w:val="003121A9"/>
    <w:rsid w:val="00313D5D"/>
    <w:rsid w:val="0031464C"/>
    <w:rsid w:val="00317C9F"/>
    <w:rsid w:val="003211A6"/>
    <w:rsid w:val="00322470"/>
    <w:rsid w:val="003225F1"/>
    <w:rsid w:val="0033247D"/>
    <w:rsid w:val="003336AA"/>
    <w:rsid w:val="0033595E"/>
    <w:rsid w:val="003369C5"/>
    <w:rsid w:val="00342124"/>
    <w:rsid w:val="00342888"/>
    <w:rsid w:val="00344AD7"/>
    <w:rsid w:val="0034783A"/>
    <w:rsid w:val="003515D9"/>
    <w:rsid w:val="003549B3"/>
    <w:rsid w:val="003621A1"/>
    <w:rsid w:val="00362B70"/>
    <w:rsid w:val="00366AA3"/>
    <w:rsid w:val="003754BE"/>
    <w:rsid w:val="00376F2B"/>
    <w:rsid w:val="00377239"/>
    <w:rsid w:val="00377AFB"/>
    <w:rsid w:val="00377D7F"/>
    <w:rsid w:val="0038101E"/>
    <w:rsid w:val="00385252"/>
    <w:rsid w:val="00391423"/>
    <w:rsid w:val="003949F9"/>
    <w:rsid w:val="00394F5D"/>
    <w:rsid w:val="00397319"/>
    <w:rsid w:val="003A2726"/>
    <w:rsid w:val="003A3710"/>
    <w:rsid w:val="003A42D6"/>
    <w:rsid w:val="003A4308"/>
    <w:rsid w:val="003B1BEC"/>
    <w:rsid w:val="003B4409"/>
    <w:rsid w:val="003C06D8"/>
    <w:rsid w:val="003C295F"/>
    <w:rsid w:val="003C3DDB"/>
    <w:rsid w:val="003C4C91"/>
    <w:rsid w:val="003C583D"/>
    <w:rsid w:val="003D677B"/>
    <w:rsid w:val="003D6C15"/>
    <w:rsid w:val="003F3575"/>
    <w:rsid w:val="003F770C"/>
    <w:rsid w:val="00402E6F"/>
    <w:rsid w:val="00403A4F"/>
    <w:rsid w:val="004043CD"/>
    <w:rsid w:val="0040639B"/>
    <w:rsid w:val="00413886"/>
    <w:rsid w:val="00413A6A"/>
    <w:rsid w:val="00421920"/>
    <w:rsid w:val="00421CB4"/>
    <w:rsid w:val="00421F51"/>
    <w:rsid w:val="004227CE"/>
    <w:rsid w:val="004279EE"/>
    <w:rsid w:val="0043004A"/>
    <w:rsid w:val="0043118B"/>
    <w:rsid w:val="0043156F"/>
    <w:rsid w:val="00432075"/>
    <w:rsid w:val="00433716"/>
    <w:rsid w:val="0043784A"/>
    <w:rsid w:val="00442307"/>
    <w:rsid w:val="004459CD"/>
    <w:rsid w:val="00445F4C"/>
    <w:rsid w:val="004461F3"/>
    <w:rsid w:val="004464F1"/>
    <w:rsid w:val="0045181F"/>
    <w:rsid w:val="00452568"/>
    <w:rsid w:val="00453A0A"/>
    <w:rsid w:val="0045453A"/>
    <w:rsid w:val="00461694"/>
    <w:rsid w:val="00466A38"/>
    <w:rsid w:val="00467E9F"/>
    <w:rsid w:val="004706D8"/>
    <w:rsid w:val="00471662"/>
    <w:rsid w:val="004734E4"/>
    <w:rsid w:val="004804A7"/>
    <w:rsid w:val="00482AA4"/>
    <w:rsid w:val="00482C23"/>
    <w:rsid w:val="004839A6"/>
    <w:rsid w:val="00485672"/>
    <w:rsid w:val="0049092E"/>
    <w:rsid w:val="00490C35"/>
    <w:rsid w:val="00494116"/>
    <w:rsid w:val="00495722"/>
    <w:rsid w:val="004A0BDA"/>
    <w:rsid w:val="004B110C"/>
    <w:rsid w:val="004B42DD"/>
    <w:rsid w:val="004B43B3"/>
    <w:rsid w:val="004B6E0D"/>
    <w:rsid w:val="004C0EAA"/>
    <w:rsid w:val="004C706C"/>
    <w:rsid w:val="004C7D30"/>
    <w:rsid w:val="004D01E4"/>
    <w:rsid w:val="004D37C1"/>
    <w:rsid w:val="004D7DFA"/>
    <w:rsid w:val="004E4AA0"/>
    <w:rsid w:val="004E6D04"/>
    <w:rsid w:val="004E74B9"/>
    <w:rsid w:val="004F1F14"/>
    <w:rsid w:val="004F2D71"/>
    <w:rsid w:val="004F7D94"/>
    <w:rsid w:val="004F7F29"/>
    <w:rsid w:val="00504FE9"/>
    <w:rsid w:val="005060FD"/>
    <w:rsid w:val="00525BBF"/>
    <w:rsid w:val="00533B63"/>
    <w:rsid w:val="00534090"/>
    <w:rsid w:val="00537D85"/>
    <w:rsid w:val="00537EE8"/>
    <w:rsid w:val="00537F2B"/>
    <w:rsid w:val="0054326B"/>
    <w:rsid w:val="00546C92"/>
    <w:rsid w:val="005517AE"/>
    <w:rsid w:val="005536A1"/>
    <w:rsid w:val="00556274"/>
    <w:rsid w:val="005608EB"/>
    <w:rsid w:val="005617A9"/>
    <w:rsid w:val="00562D19"/>
    <w:rsid w:val="00563E9A"/>
    <w:rsid w:val="005649CC"/>
    <w:rsid w:val="00566459"/>
    <w:rsid w:val="005672BE"/>
    <w:rsid w:val="00574AEF"/>
    <w:rsid w:val="00590661"/>
    <w:rsid w:val="005907D3"/>
    <w:rsid w:val="00591460"/>
    <w:rsid w:val="005921AE"/>
    <w:rsid w:val="005930B0"/>
    <w:rsid w:val="00593A16"/>
    <w:rsid w:val="00595447"/>
    <w:rsid w:val="005958DF"/>
    <w:rsid w:val="005A04BB"/>
    <w:rsid w:val="005A0625"/>
    <w:rsid w:val="005A0A64"/>
    <w:rsid w:val="005A0B30"/>
    <w:rsid w:val="005A2ED1"/>
    <w:rsid w:val="005B78CC"/>
    <w:rsid w:val="005C2316"/>
    <w:rsid w:val="005C68FE"/>
    <w:rsid w:val="005D10BC"/>
    <w:rsid w:val="005D2705"/>
    <w:rsid w:val="005E12FD"/>
    <w:rsid w:val="005E2F31"/>
    <w:rsid w:val="005E3453"/>
    <w:rsid w:val="005E41AC"/>
    <w:rsid w:val="005E7436"/>
    <w:rsid w:val="005E78DA"/>
    <w:rsid w:val="005E79A2"/>
    <w:rsid w:val="006127A0"/>
    <w:rsid w:val="00620188"/>
    <w:rsid w:val="00620822"/>
    <w:rsid w:val="00622889"/>
    <w:rsid w:val="00623049"/>
    <w:rsid w:val="0062313A"/>
    <w:rsid w:val="00630390"/>
    <w:rsid w:val="00631034"/>
    <w:rsid w:val="00632B4E"/>
    <w:rsid w:val="0063687D"/>
    <w:rsid w:val="006400B9"/>
    <w:rsid w:val="00645C5A"/>
    <w:rsid w:val="00646CF5"/>
    <w:rsid w:val="00655636"/>
    <w:rsid w:val="00664AFC"/>
    <w:rsid w:val="00670625"/>
    <w:rsid w:val="00683022"/>
    <w:rsid w:val="00690FCF"/>
    <w:rsid w:val="006A0A95"/>
    <w:rsid w:val="006A2E6B"/>
    <w:rsid w:val="006B4DD9"/>
    <w:rsid w:val="006B6085"/>
    <w:rsid w:val="006C0D93"/>
    <w:rsid w:val="006C56DC"/>
    <w:rsid w:val="006C5D08"/>
    <w:rsid w:val="006C73AB"/>
    <w:rsid w:val="006D3665"/>
    <w:rsid w:val="006D67F6"/>
    <w:rsid w:val="006D6CED"/>
    <w:rsid w:val="006E07E3"/>
    <w:rsid w:val="006E0B4C"/>
    <w:rsid w:val="006E2F52"/>
    <w:rsid w:val="006F03EA"/>
    <w:rsid w:val="006F1EB0"/>
    <w:rsid w:val="00700770"/>
    <w:rsid w:val="00707CD1"/>
    <w:rsid w:val="0071218A"/>
    <w:rsid w:val="00714CBF"/>
    <w:rsid w:val="00716084"/>
    <w:rsid w:val="0071724F"/>
    <w:rsid w:val="0071729A"/>
    <w:rsid w:val="00717FC7"/>
    <w:rsid w:val="00720C5D"/>
    <w:rsid w:val="007304D5"/>
    <w:rsid w:val="00735DAF"/>
    <w:rsid w:val="0073707A"/>
    <w:rsid w:val="00737105"/>
    <w:rsid w:val="00737309"/>
    <w:rsid w:val="0075054B"/>
    <w:rsid w:val="007515A8"/>
    <w:rsid w:val="007526C7"/>
    <w:rsid w:val="0075406F"/>
    <w:rsid w:val="00755DA4"/>
    <w:rsid w:val="00756630"/>
    <w:rsid w:val="00757A95"/>
    <w:rsid w:val="00761A8D"/>
    <w:rsid w:val="007752A6"/>
    <w:rsid w:val="00776C3B"/>
    <w:rsid w:val="00782130"/>
    <w:rsid w:val="007821F6"/>
    <w:rsid w:val="007822EC"/>
    <w:rsid w:val="00784C46"/>
    <w:rsid w:val="00785815"/>
    <w:rsid w:val="00786F74"/>
    <w:rsid w:val="0079195A"/>
    <w:rsid w:val="007937C0"/>
    <w:rsid w:val="00796811"/>
    <w:rsid w:val="007A0673"/>
    <w:rsid w:val="007A0B65"/>
    <w:rsid w:val="007A0BBF"/>
    <w:rsid w:val="007B23CB"/>
    <w:rsid w:val="007B6334"/>
    <w:rsid w:val="007B6594"/>
    <w:rsid w:val="007B71D3"/>
    <w:rsid w:val="007C4A6B"/>
    <w:rsid w:val="007C6E4A"/>
    <w:rsid w:val="007D05E5"/>
    <w:rsid w:val="007D0CA3"/>
    <w:rsid w:val="007E1D1D"/>
    <w:rsid w:val="007E4EC8"/>
    <w:rsid w:val="007F2DCA"/>
    <w:rsid w:val="007F63F7"/>
    <w:rsid w:val="008019E8"/>
    <w:rsid w:val="0080481D"/>
    <w:rsid w:val="0081333D"/>
    <w:rsid w:val="00816F4D"/>
    <w:rsid w:val="00820D6D"/>
    <w:rsid w:val="00822608"/>
    <w:rsid w:val="0082435B"/>
    <w:rsid w:val="00825460"/>
    <w:rsid w:val="00825B2B"/>
    <w:rsid w:val="00826ADB"/>
    <w:rsid w:val="00827FDB"/>
    <w:rsid w:val="00835AF9"/>
    <w:rsid w:val="00842F79"/>
    <w:rsid w:val="008516AA"/>
    <w:rsid w:val="008518C3"/>
    <w:rsid w:val="0085194F"/>
    <w:rsid w:val="00853AC8"/>
    <w:rsid w:val="00861A5A"/>
    <w:rsid w:val="00862BDE"/>
    <w:rsid w:val="00863376"/>
    <w:rsid w:val="00866A26"/>
    <w:rsid w:val="0086794E"/>
    <w:rsid w:val="00870D81"/>
    <w:rsid w:val="0087205D"/>
    <w:rsid w:val="008734BC"/>
    <w:rsid w:val="008750F6"/>
    <w:rsid w:val="00876973"/>
    <w:rsid w:val="0088198C"/>
    <w:rsid w:val="008846DE"/>
    <w:rsid w:val="00884D93"/>
    <w:rsid w:val="00885852"/>
    <w:rsid w:val="00886324"/>
    <w:rsid w:val="00887E0C"/>
    <w:rsid w:val="00890F78"/>
    <w:rsid w:val="00893B25"/>
    <w:rsid w:val="008946C6"/>
    <w:rsid w:val="008A012D"/>
    <w:rsid w:val="008A2F5D"/>
    <w:rsid w:val="008A30EE"/>
    <w:rsid w:val="008A38C3"/>
    <w:rsid w:val="008A3CF8"/>
    <w:rsid w:val="008A469C"/>
    <w:rsid w:val="008A6511"/>
    <w:rsid w:val="008B1B0D"/>
    <w:rsid w:val="008B384C"/>
    <w:rsid w:val="008B423F"/>
    <w:rsid w:val="008B43C8"/>
    <w:rsid w:val="008B7782"/>
    <w:rsid w:val="008C0607"/>
    <w:rsid w:val="008C0907"/>
    <w:rsid w:val="008C1916"/>
    <w:rsid w:val="008C1A72"/>
    <w:rsid w:val="008C3BF3"/>
    <w:rsid w:val="008C4E37"/>
    <w:rsid w:val="008D1F4F"/>
    <w:rsid w:val="008E0BBB"/>
    <w:rsid w:val="008E3E01"/>
    <w:rsid w:val="008E4F8D"/>
    <w:rsid w:val="008E61E2"/>
    <w:rsid w:val="008F5CB6"/>
    <w:rsid w:val="008F5D29"/>
    <w:rsid w:val="008F6131"/>
    <w:rsid w:val="00911694"/>
    <w:rsid w:val="00912905"/>
    <w:rsid w:val="00915DC7"/>
    <w:rsid w:val="0092084D"/>
    <w:rsid w:val="00922489"/>
    <w:rsid w:val="009228EC"/>
    <w:rsid w:val="00922AFF"/>
    <w:rsid w:val="0092421B"/>
    <w:rsid w:val="00935A2D"/>
    <w:rsid w:val="0094192E"/>
    <w:rsid w:val="009465CB"/>
    <w:rsid w:val="00950BCA"/>
    <w:rsid w:val="009516E7"/>
    <w:rsid w:val="0095579B"/>
    <w:rsid w:val="00957332"/>
    <w:rsid w:val="00957396"/>
    <w:rsid w:val="009600DF"/>
    <w:rsid w:val="009616D1"/>
    <w:rsid w:val="00962812"/>
    <w:rsid w:val="00974A6F"/>
    <w:rsid w:val="00974CE3"/>
    <w:rsid w:val="00975428"/>
    <w:rsid w:val="00975A02"/>
    <w:rsid w:val="00976517"/>
    <w:rsid w:val="00976E71"/>
    <w:rsid w:val="00981B6E"/>
    <w:rsid w:val="00984325"/>
    <w:rsid w:val="00987118"/>
    <w:rsid w:val="0099087C"/>
    <w:rsid w:val="009919A2"/>
    <w:rsid w:val="009942FD"/>
    <w:rsid w:val="00996B73"/>
    <w:rsid w:val="009976C7"/>
    <w:rsid w:val="009A3AE4"/>
    <w:rsid w:val="009A628D"/>
    <w:rsid w:val="009B1AD9"/>
    <w:rsid w:val="009B38D6"/>
    <w:rsid w:val="009C1571"/>
    <w:rsid w:val="009C3627"/>
    <w:rsid w:val="009C56BA"/>
    <w:rsid w:val="009C74D0"/>
    <w:rsid w:val="009C75C0"/>
    <w:rsid w:val="009D1462"/>
    <w:rsid w:val="009D2D56"/>
    <w:rsid w:val="009D4ADE"/>
    <w:rsid w:val="009D6DE0"/>
    <w:rsid w:val="009E6DD9"/>
    <w:rsid w:val="009F38DE"/>
    <w:rsid w:val="00A00613"/>
    <w:rsid w:val="00A054C7"/>
    <w:rsid w:val="00A05F90"/>
    <w:rsid w:val="00A07B83"/>
    <w:rsid w:val="00A11517"/>
    <w:rsid w:val="00A250EB"/>
    <w:rsid w:val="00A27E13"/>
    <w:rsid w:val="00A3027E"/>
    <w:rsid w:val="00A3194B"/>
    <w:rsid w:val="00A37ABB"/>
    <w:rsid w:val="00A37E76"/>
    <w:rsid w:val="00A404F2"/>
    <w:rsid w:val="00A408E7"/>
    <w:rsid w:val="00A50961"/>
    <w:rsid w:val="00A547E4"/>
    <w:rsid w:val="00A611AD"/>
    <w:rsid w:val="00A61FDD"/>
    <w:rsid w:val="00A67A50"/>
    <w:rsid w:val="00A67D87"/>
    <w:rsid w:val="00A70812"/>
    <w:rsid w:val="00A80C15"/>
    <w:rsid w:val="00A81ACF"/>
    <w:rsid w:val="00A8201E"/>
    <w:rsid w:val="00A923DA"/>
    <w:rsid w:val="00A94F22"/>
    <w:rsid w:val="00A9711D"/>
    <w:rsid w:val="00AA097C"/>
    <w:rsid w:val="00AA0996"/>
    <w:rsid w:val="00AA1B68"/>
    <w:rsid w:val="00AA1B8B"/>
    <w:rsid w:val="00AA39F5"/>
    <w:rsid w:val="00AA3FDF"/>
    <w:rsid w:val="00AA461E"/>
    <w:rsid w:val="00AA6201"/>
    <w:rsid w:val="00AB3A57"/>
    <w:rsid w:val="00AB44B9"/>
    <w:rsid w:val="00AB6ECA"/>
    <w:rsid w:val="00AC7AE3"/>
    <w:rsid w:val="00AD413B"/>
    <w:rsid w:val="00AD54FC"/>
    <w:rsid w:val="00AD7880"/>
    <w:rsid w:val="00AE5A71"/>
    <w:rsid w:val="00AE687D"/>
    <w:rsid w:val="00AF22A3"/>
    <w:rsid w:val="00AF25DC"/>
    <w:rsid w:val="00AF2644"/>
    <w:rsid w:val="00B01CB7"/>
    <w:rsid w:val="00B03855"/>
    <w:rsid w:val="00B06539"/>
    <w:rsid w:val="00B110DD"/>
    <w:rsid w:val="00B159F4"/>
    <w:rsid w:val="00B17D8D"/>
    <w:rsid w:val="00B23702"/>
    <w:rsid w:val="00B24C85"/>
    <w:rsid w:val="00B25813"/>
    <w:rsid w:val="00B372FC"/>
    <w:rsid w:val="00B42102"/>
    <w:rsid w:val="00B45A90"/>
    <w:rsid w:val="00B45B6A"/>
    <w:rsid w:val="00B465DC"/>
    <w:rsid w:val="00B52CE1"/>
    <w:rsid w:val="00B5303B"/>
    <w:rsid w:val="00B57D3D"/>
    <w:rsid w:val="00B63E06"/>
    <w:rsid w:val="00B66021"/>
    <w:rsid w:val="00B7302C"/>
    <w:rsid w:val="00B803F7"/>
    <w:rsid w:val="00B846D5"/>
    <w:rsid w:val="00B84E43"/>
    <w:rsid w:val="00B85644"/>
    <w:rsid w:val="00B868CA"/>
    <w:rsid w:val="00B96C53"/>
    <w:rsid w:val="00BA16C1"/>
    <w:rsid w:val="00BA3C13"/>
    <w:rsid w:val="00BA50DC"/>
    <w:rsid w:val="00BB15D3"/>
    <w:rsid w:val="00BB15E5"/>
    <w:rsid w:val="00BB21F3"/>
    <w:rsid w:val="00BB38C3"/>
    <w:rsid w:val="00BB5CD9"/>
    <w:rsid w:val="00BC46CD"/>
    <w:rsid w:val="00BC55C2"/>
    <w:rsid w:val="00BD1C0C"/>
    <w:rsid w:val="00BD1F60"/>
    <w:rsid w:val="00BD25B6"/>
    <w:rsid w:val="00BD477C"/>
    <w:rsid w:val="00BD572D"/>
    <w:rsid w:val="00BE00D9"/>
    <w:rsid w:val="00BE1A8D"/>
    <w:rsid w:val="00BE44B8"/>
    <w:rsid w:val="00BE5159"/>
    <w:rsid w:val="00BF3F06"/>
    <w:rsid w:val="00BF4595"/>
    <w:rsid w:val="00BF7C17"/>
    <w:rsid w:val="00C0290A"/>
    <w:rsid w:val="00C031AC"/>
    <w:rsid w:val="00C10781"/>
    <w:rsid w:val="00C13232"/>
    <w:rsid w:val="00C156C4"/>
    <w:rsid w:val="00C208A9"/>
    <w:rsid w:val="00C22673"/>
    <w:rsid w:val="00C22958"/>
    <w:rsid w:val="00C331A2"/>
    <w:rsid w:val="00C34B29"/>
    <w:rsid w:val="00C364AD"/>
    <w:rsid w:val="00C40B72"/>
    <w:rsid w:val="00C41295"/>
    <w:rsid w:val="00C41FAE"/>
    <w:rsid w:val="00C423B1"/>
    <w:rsid w:val="00C442E3"/>
    <w:rsid w:val="00C45E49"/>
    <w:rsid w:val="00C51056"/>
    <w:rsid w:val="00C51226"/>
    <w:rsid w:val="00C555BF"/>
    <w:rsid w:val="00C577CF"/>
    <w:rsid w:val="00C65732"/>
    <w:rsid w:val="00C734E9"/>
    <w:rsid w:val="00C747C1"/>
    <w:rsid w:val="00C75551"/>
    <w:rsid w:val="00C76B68"/>
    <w:rsid w:val="00C837D9"/>
    <w:rsid w:val="00C85A23"/>
    <w:rsid w:val="00C87372"/>
    <w:rsid w:val="00C96D69"/>
    <w:rsid w:val="00C977C6"/>
    <w:rsid w:val="00CA3735"/>
    <w:rsid w:val="00CA67A7"/>
    <w:rsid w:val="00CB3B25"/>
    <w:rsid w:val="00CB7CB2"/>
    <w:rsid w:val="00CC21CF"/>
    <w:rsid w:val="00CC238B"/>
    <w:rsid w:val="00CC58F9"/>
    <w:rsid w:val="00CD2F41"/>
    <w:rsid w:val="00CD4265"/>
    <w:rsid w:val="00CD4608"/>
    <w:rsid w:val="00CD5488"/>
    <w:rsid w:val="00CD7342"/>
    <w:rsid w:val="00CE0ACD"/>
    <w:rsid w:val="00CE2662"/>
    <w:rsid w:val="00CF3BD9"/>
    <w:rsid w:val="00CF7AA7"/>
    <w:rsid w:val="00D02B32"/>
    <w:rsid w:val="00D11D61"/>
    <w:rsid w:val="00D11EC7"/>
    <w:rsid w:val="00D14AE2"/>
    <w:rsid w:val="00D20D26"/>
    <w:rsid w:val="00D26449"/>
    <w:rsid w:val="00D30D2A"/>
    <w:rsid w:val="00D320B1"/>
    <w:rsid w:val="00D36553"/>
    <w:rsid w:val="00D44022"/>
    <w:rsid w:val="00D455CA"/>
    <w:rsid w:val="00D45B4C"/>
    <w:rsid w:val="00D4649F"/>
    <w:rsid w:val="00D5158B"/>
    <w:rsid w:val="00D51ECC"/>
    <w:rsid w:val="00D525B2"/>
    <w:rsid w:val="00D54712"/>
    <w:rsid w:val="00D563D6"/>
    <w:rsid w:val="00D61E5C"/>
    <w:rsid w:val="00D66719"/>
    <w:rsid w:val="00D74038"/>
    <w:rsid w:val="00D754A8"/>
    <w:rsid w:val="00D765AA"/>
    <w:rsid w:val="00D7662E"/>
    <w:rsid w:val="00D76A61"/>
    <w:rsid w:val="00D82DF5"/>
    <w:rsid w:val="00D84832"/>
    <w:rsid w:val="00D8512F"/>
    <w:rsid w:val="00D85A59"/>
    <w:rsid w:val="00D90714"/>
    <w:rsid w:val="00D90853"/>
    <w:rsid w:val="00D90A9C"/>
    <w:rsid w:val="00D919D5"/>
    <w:rsid w:val="00D926BA"/>
    <w:rsid w:val="00D9562F"/>
    <w:rsid w:val="00D965E2"/>
    <w:rsid w:val="00D96643"/>
    <w:rsid w:val="00DA12AF"/>
    <w:rsid w:val="00DA1E02"/>
    <w:rsid w:val="00DA3D42"/>
    <w:rsid w:val="00DB1C02"/>
    <w:rsid w:val="00DB75B8"/>
    <w:rsid w:val="00DC2A09"/>
    <w:rsid w:val="00DC4CC1"/>
    <w:rsid w:val="00DD01AB"/>
    <w:rsid w:val="00DD3FDD"/>
    <w:rsid w:val="00DD5E47"/>
    <w:rsid w:val="00DD7E0D"/>
    <w:rsid w:val="00DE1E8A"/>
    <w:rsid w:val="00DE52DA"/>
    <w:rsid w:val="00DE7EB3"/>
    <w:rsid w:val="00DF2322"/>
    <w:rsid w:val="00DF669D"/>
    <w:rsid w:val="00DF7530"/>
    <w:rsid w:val="00E00AAB"/>
    <w:rsid w:val="00E0164B"/>
    <w:rsid w:val="00E03554"/>
    <w:rsid w:val="00E05105"/>
    <w:rsid w:val="00E05A06"/>
    <w:rsid w:val="00E074A6"/>
    <w:rsid w:val="00E100D9"/>
    <w:rsid w:val="00E13B3D"/>
    <w:rsid w:val="00E14117"/>
    <w:rsid w:val="00E143BA"/>
    <w:rsid w:val="00E16B74"/>
    <w:rsid w:val="00E245D0"/>
    <w:rsid w:val="00E249F6"/>
    <w:rsid w:val="00E27778"/>
    <w:rsid w:val="00E304BB"/>
    <w:rsid w:val="00E4409B"/>
    <w:rsid w:val="00E46520"/>
    <w:rsid w:val="00E51FD8"/>
    <w:rsid w:val="00E536BB"/>
    <w:rsid w:val="00E5521C"/>
    <w:rsid w:val="00E631DC"/>
    <w:rsid w:val="00E64289"/>
    <w:rsid w:val="00E711A5"/>
    <w:rsid w:val="00E71D86"/>
    <w:rsid w:val="00E80D12"/>
    <w:rsid w:val="00E83E66"/>
    <w:rsid w:val="00E87176"/>
    <w:rsid w:val="00E907BA"/>
    <w:rsid w:val="00E96345"/>
    <w:rsid w:val="00E97DB9"/>
    <w:rsid w:val="00EA19D0"/>
    <w:rsid w:val="00EA1E11"/>
    <w:rsid w:val="00EA43C7"/>
    <w:rsid w:val="00EA455A"/>
    <w:rsid w:val="00EA52AB"/>
    <w:rsid w:val="00EB04BC"/>
    <w:rsid w:val="00EB1032"/>
    <w:rsid w:val="00EC6B46"/>
    <w:rsid w:val="00ED29B9"/>
    <w:rsid w:val="00ED37D1"/>
    <w:rsid w:val="00ED772D"/>
    <w:rsid w:val="00EE0571"/>
    <w:rsid w:val="00EE1FD2"/>
    <w:rsid w:val="00EE509B"/>
    <w:rsid w:val="00EE59D3"/>
    <w:rsid w:val="00EF319B"/>
    <w:rsid w:val="00EF32DD"/>
    <w:rsid w:val="00EF4784"/>
    <w:rsid w:val="00EF6231"/>
    <w:rsid w:val="00F016E8"/>
    <w:rsid w:val="00F02895"/>
    <w:rsid w:val="00F0324F"/>
    <w:rsid w:val="00F07099"/>
    <w:rsid w:val="00F1394B"/>
    <w:rsid w:val="00F14751"/>
    <w:rsid w:val="00F14CB7"/>
    <w:rsid w:val="00F16FDD"/>
    <w:rsid w:val="00F17081"/>
    <w:rsid w:val="00F2111A"/>
    <w:rsid w:val="00F24BCC"/>
    <w:rsid w:val="00F26842"/>
    <w:rsid w:val="00F306C1"/>
    <w:rsid w:val="00F3229B"/>
    <w:rsid w:val="00F35532"/>
    <w:rsid w:val="00F35C8C"/>
    <w:rsid w:val="00F4026B"/>
    <w:rsid w:val="00F4367E"/>
    <w:rsid w:val="00F45F17"/>
    <w:rsid w:val="00F467D6"/>
    <w:rsid w:val="00F47574"/>
    <w:rsid w:val="00F508BA"/>
    <w:rsid w:val="00F50CC6"/>
    <w:rsid w:val="00F52A29"/>
    <w:rsid w:val="00F55EDE"/>
    <w:rsid w:val="00F61F94"/>
    <w:rsid w:val="00F647E3"/>
    <w:rsid w:val="00F64C07"/>
    <w:rsid w:val="00F6695C"/>
    <w:rsid w:val="00F81F84"/>
    <w:rsid w:val="00F83C5B"/>
    <w:rsid w:val="00F90B7E"/>
    <w:rsid w:val="00F912CD"/>
    <w:rsid w:val="00F96E2F"/>
    <w:rsid w:val="00F96F51"/>
    <w:rsid w:val="00FA2C14"/>
    <w:rsid w:val="00FA6956"/>
    <w:rsid w:val="00FB14E7"/>
    <w:rsid w:val="00FB1B1D"/>
    <w:rsid w:val="00FB347A"/>
    <w:rsid w:val="00FB5178"/>
    <w:rsid w:val="00FB51CA"/>
    <w:rsid w:val="00FB7776"/>
    <w:rsid w:val="00FC2793"/>
    <w:rsid w:val="00FC5634"/>
    <w:rsid w:val="00FC5B4F"/>
    <w:rsid w:val="00FC5C06"/>
    <w:rsid w:val="00FD061D"/>
    <w:rsid w:val="00FE1E21"/>
    <w:rsid w:val="00FE2167"/>
    <w:rsid w:val="00FE493A"/>
    <w:rsid w:val="00FE63E1"/>
    <w:rsid w:val="00FE6B13"/>
    <w:rsid w:val="00FF378C"/>
    <w:rsid w:val="00FF4A92"/>
    <w:rsid w:val="00FF50B4"/>
    <w:rsid w:val="03D1AEFB"/>
    <w:rsid w:val="0B27FC94"/>
    <w:rsid w:val="101DBDA6"/>
    <w:rsid w:val="160AA2CD"/>
    <w:rsid w:val="16ABE928"/>
    <w:rsid w:val="190405FA"/>
    <w:rsid w:val="1DE836FB"/>
    <w:rsid w:val="22BD4733"/>
    <w:rsid w:val="23A22BBA"/>
    <w:rsid w:val="2A019B3A"/>
    <w:rsid w:val="2D5755F1"/>
    <w:rsid w:val="2EDBE678"/>
    <w:rsid w:val="383F06EC"/>
    <w:rsid w:val="3A7027EC"/>
    <w:rsid w:val="3B165649"/>
    <w:rsid w:val="3D108F33"/>
    <w:rsid w:val="3DB713DE"/>
    <w:rsid w:val="403A1CBC"/>
    <w:rsid w:val="449DEACE"/>
    <w:rsid w:val="46350C41"/>
    <w:rsid w:val="46E24CBE"/>
    <w:rsid w:val="47D0DCA2"/>
    <w:rsid w:val="4896B2D1"/>
    <w:rsid w:val="496CAD03"/>
    <w:rsid w:val="4B199345"/>
    <w:rsid w:val="4F660F87"/>
    <w:rsid w:val="52E9ADC6"/>
    <w:rsid w:val="5CD6BE66"/>
    <w:rsid w:val="5E97A549"/>
    <w:rsid w:val="5F646F35"/>
    <w:rsid w:val="61682072"/>
    <w:rsid w:val="628DFCE4"/>
    <w:rsid w:val="63D9B5FE"/>
    <w:rsid w:val="67E53A88"/>
    <w:rsid w:val="6A7A6F2C"/>
    <w:rsid w:val="6C87AAE0"/>
    <w:rsid w:val="6F280280"/>
    <w:rsid w:val="716F3295"/>
    <w:rsid w:val="727E4197"/>
    <w:rsid w:val="7587CFD2"/>
    <w:rsid w:val="7B072BF7"/>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8BCE7"/>
  <w15:chartTrackingRefBased/>
  <w15:docId w15:val="{B5FAAE75-8744-48D5-B018-23CB53939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23A"/>
    <w:pPr>
      <w:spacing w:line="278" w:lineRule="auto"/>
    </w:pPr>
    <w:rPr>
      <w:kern w:val="2"/>
      <w:sz w:val="24"/>
      <w:szCs w:val="24"/>
      <w:lang w:val="en-US"/>
      <w14:ligatures w14:val="standardContextual"/>
    </w:rPr>
  </w:style>
  <w:style w:type="paragraph" w:styleId="Heading1">
    <w:name w:val="heading 1"/>
    <w:basedOn w:val="Normal"/>
    <w:next w:val="Normal"/>
    <w:link w:val="Heading1Char"/>
    <w:uiPriority w:val="9"/>
    <w:qFormat/>
    <w:rsid w:val="00F322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C23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C238B"/>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83022"/>
    <w:rPr>
      <w:color w:val="0000FF"/>
      <w:u w:val="single"/>
    </w:rPr>
  </w:style>
  <w:style w:type="character" w:styleId="Emphasis">
    <w:name w:val="Emphasis"/>
    <w:basedOn w:val="DefaultParagraphFont"/>
    <w:uiPriority w:val="20"/>
    <w:qFormat/>
    <w:rsid w:val="00683022"/>
    <w:rPr>
      <w:i/>
      <w:iCs/>
    </w:rPr>
  </w:style>
  <w:style w:type="paragraph" w:styleId="ListParagraph">
    <w:name w:val="List Paragraph"/>
    <w:basedOn w:val="Normal"/>
    <w:uiPriority w:val="34"/>
    <w:qFormat/>
    <w:rsid w:val="00683022"/>
    <w:pPr>
      <w:ind w:left="720"/>
      <w:contextualSpacing/>
    </w:pPr>
  </w:style>
  <w:style w:type="character" w:customStyle="1" w:styleId="Heading1Char">
    <w:name w:val="Heading 1 Char"/>
    <w:basedOn w:val="DefaultParagraphFont"/>
    <w:link w:val="Heading1"/>
    <w:uiPriority w:val="9"/>
    <w:rsid w:val="00F3229B"/>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2Char">
    <w:name w:val="Heading 2 Char"/>
    <w:basedOn w:val="DefaultParagraphFont"/>
    <w:link w:val="Heading2"/>
    <w:uiPriority w:val="9"/>
    <w:rsid w:val="00CC238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C238B"/>
    <w:rPr>
      <w:rFonts w:asciiTheme="majorHAnsi" w:eastAsiaTheme="majorEastAsia" w:hAnsiTheme="majorHAnsi" w:cstheme="majorBidi"/>
      <w:color w:val="1F3763" w:themeColor="accent1" w:themeShade="7F"/>
      <w:sz w:val="24"/>
      <w:szCs w:val="24"/>
    </w:rPr>
  </w:style>
  <w:style w:type="paragraph" w:styleId="Header">
    <w:name w:val="header"/>
    <w:basedOn w:val="Normal"/>
    <w:uiPriority w:val="99"/>
    <w:unhideWhenUsed/>
    <w:rsid w:val="7587CFD2"/>
    <w:pPr>
      <w:tabs>
        <w:tab w:val="center" w:pos="4680"/>
        <w:tab w:val="right" w:pos="9360"/>
      </w:tabs>
      <w:spacing w:after="0" w:line="240" w:lineRule="auto"/>
    </w:pPr>
  </w:style>
  <w:style w:type="paragraph" w:styleId="Footer">
    <w:name w:val="footer"/>
    <w:basedOn w:val="Normal"/>
    <w:link w:val="FooterChar"/>
    <w:uiPriority w:val="99"/>
    <w:unhideWhenUsed/>
    <w:rsid w:val="7587CFD2"/>
    <w:pPr>
      <w:tabs>
        <w:tab w:val="center" w:pos="4680"/>
        <w:tab w:val="right" w:pos="9360"/>
      </w:tabs>
      <w:spacing w:after="0" w:line="240" w:lineRule="auto"/>
    </w:pPr>
  </w:style>
  <w:style w:type="paragraph" w:styleId="Bibliography">
    <w:name w:val="Bibliography"/>
    <w:basedOn w:val="Normal"/>
    <w:next w:val="Normal"/>
    <w:uiPriority w:val="37"/>
    <w:unhideWhenUsed/>
    <w:rsid w:val="0022023A"/>
    <w:pPr>
      <w:tabs>
        <w:tab w:val="left" w:pos="504"/>
      </w:tabs>
      <w:spacing w:after="0" w:line="240" w:lineRule="auto"/>
      <w:ind w:left="504" w:hanging="504"/>
    </w:pPr>
  </w:style>
  <w:style w:type="paragraph" w:styleId="NormalWeb">
    <w:name w:val="Normal (Web)"/>
    <w:basedOn w:val="Normal"/>
    <w:uiPriority w:val="99"/>
    <w:semiHidden/>
    <w:unhideWhenUsed/>
    <w:rsid w:val="0022023A"/>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Caption">
    <w:name w:val="caption"/>
    <w:basedOn w:val="Normal"/>
    <w:next w:val="Normal"/>
    <w:uiPriority w:val="35"/>
    <w:unhideWhenUsed/>
    <w:qFormat/>
    <w:rsid w:val="0022023A"/>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4706D8"/>
    <w:rPr>
      <w:color w:val="808080"/>
    </w:rPr>
  </w:style>
  <w:style w:type="character" w:customStyle="1" w:styleId="FooterChar">
    <w:name w:val="Footer Char"/>
    <w:basedOn w:val="DefaultParagraphFont"/>
    <w:link w:val="Footer"/>
    <w:uiPriority w:val="99"/>
    <w:rsid w:val="007752A6"/>
    <w:rPr>
      <w:kern w:val="2"/>
      <w:sz w:val="24"/>
      <w:szCs w:val="24"/>
      <w:lang w:val="en-US"/>
      <w14:ligatures w14:val="standardContextual"/>
    </w:rPr>
  </w:style>
  <w:style w:type="character" w:styleId="LineNumber">
    <w:name w:val="line number"/>
    <w:basedOn w:val="DefaultParagraphFont"/>
    <w:uiPriority w:val="99"/>
    <w:semiHidden/>
    <w:unhideWhenUsed/>
    <w:rsid w:val="00775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tif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tiff"/><Relationship Id="rId2" Type="http://schemas.openxmlformats.org/officeDocument/2006/relationships/customXml" Target="../customXml/item2.xml"/><Relationship Id="rId16" Type="http://schemas.openxmlformats.org/officeDocument/2006/relationships/image" Target="media/image5.tif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asir.ahmad@scme.nust.edu.pk" TargetMode="Externa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mailto:yasir@utb.cz" TargetMode="External"/><Relationship Id="rId19" Type="http://schemas.openxmlformats.org/officeDocument/2006/relationships/image" Target="media/image8.tif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34333E9-2B3E-472A-B2AE-CAF9D30E7D1C}">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3DF349D31E0E244A43C3FEC85F3BDE7" ma:contentTypeVersion="15" ma:contentTypeDescription="Vytvoří nový dokument" ma:contentTypeScope="" ma:versionID="3ee66a3aa2f168224249b74068297011">
  <xsd:schema xmlns:xsd="http://www.w3.org/2001/XMLSchema" xmlns:xs="http://www.w3.org/2001/XMLSchema" xmlns:p="http://schemas.microsoft.com/office/2006/metadata/properties" xmlns:ns3="532308e5-efa3-4741-a724-261cee6c7e8a" xmlns:ns4="f8ed81d3-bb90-4df2-b3ec-a979e8116fe2" targetNamespace="http://schemas.microsoft.com/office/2006/metadata/properties" ma:root="true" ma:fieldsID="1085491d5337db1745ccc1f078c9dbe8" ns3:_="" ns4:_="">
    <xsd:import namespace="532308e5-efa3-4741-a724-261cee6c7e8a"/>
    <xsd:import namespace="f8ed81d3-bb90-4df2-b3ec-a979e8116fe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308e5-efa3-4741-a724-261cee6c7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ed81d3-bb90-4df2-b3ec-a979e8116fe2"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SharingHintHash" ma:index="14"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27F7BF-D251-47F2-927B-0E76B839A00A}">
  <ds:schemaRefs>
    <ds:schemaRef ds:uri="http://schemas.openxmlformats.org/officeDocument/2006/bibliography"/>
  </ds:schemaRefs>
</ds:datastoreItem>
</file>

<file path=customXml/itemProps2.xml><?xml version="1.0" encoding="utf-8"?>
<ds:datastoreItem xmlns:ds="http://schemas.openxmlformats.org/officeDocument/2006/customXml" ds:itemID="{F38B3A43-03F3-4280-BA7D-A4A336519507}">
  <ds:schemaRefs>
    <ds:schemaRef ds:uri="http://schemas.microsoft.com/sharepoint/v3/contenttype/forms"/>
  </ds:schemaRefs>
</ds:datastoreItem>
</file>

<file path=customXml/itemProps3.xml><?xml version="1.0" encoding="utf-8"?>
<ds:datastoreItem xmlns:ds="http://schemas.openxmlformats.org/officeDocument/2006/customXml" ds:itemID="{6A684EEE-5678-489F-AE67-3B0E03CEE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308e5-efa3-4741-a724-261cee6c7e8a"/>
    <ds:schemaRef ds:uri="f8ed81d3-bb90-4df2-b3ec-a979e8116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23102</Words>
  <Characters>131687</Characters>
  <Application>Microsoft Office Word</Application>
  <DocSecurity>0</DocSecurity>
  <Lines>1097</Lines>
  <Paragraphs>308</Paragraphs>
  <ScaleCrop>false</ScaleCrop>
  <Company>Universidad de Cantabria</Company>
  <LinksUpToDate>false</LinksUpToDate>
  <CharactersWithSpaces>154481</CharactersWithSpaces>
  <SharedDoc>false</SharedDoc>
  <HLinks>
    <vt:vector size="12" baseType="variant">
      <vt:variant>
        <vt:i4>3407962</vt:i4>
      </vt:variant>
      <vt:variant>
        <vt:i4>3</vt:i4>
      </vt:variant>
      <vt:variant>
        <vt:i4>0</vt:i4>
      </vt:variant>
      <vt:variant>
        <vt:i4>5</vt:i4>
      </vt:variant>
      <vt:variant>
        <vt:lpwstr>mailto:nasir.ahmad@scme.nust.edu.pk</vt:lpwstr>
      </vt:variant>
      <vt:variant>
        <vt:lpwstr/>
      </vt:variant>
      <vt:variant>
        <vt:i4>7209048</vt:i4>
      </vt:variant>
      <vt:variant>
        <vt:i4>0</vt:i4>
      </vt:variant>
      <vt:variant>
        <vt:i4>0</vt:i4>
      </vt:variant>
      <vt:variant>
        <vt:i4>5</vt:i4>
      </vt:variant>
      <vt:variant>
        <vt:lpwstr>mailto:yasir@utb.cz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Yasir</dc:creator>
  <cp:keywords/>
  <dc:description/>
  <cp:lastModifiedBy>Muhammad Yasir</cp:lastModifiedBy>
  <cp:revision>17</cp:revision>
  <dcterms:created xsi:type="dcterms:W3CDTF">2026-03-18T13:23:00Z</dcterms:created>
  <dcterms:modified xsi:type="dcterms:W3CDTF">2026-07-05T15:27:00Z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0x01010003DF349D31E0E244A43C3FEC85F3BDE7</vt:lpwstr>
  </property>
  <property fmtid="{D5CDD505-2E9C-101B-9397-08002B2CF9AE}" pid="3" name="Mendeley Document_1">
    <vt:lpwstr>True</vt:lpwstr>
  </property>
  <property fmtid="{D5CDD505-2E9C-101B-9397-08002B2CF9AE}" pid="4" name="Mendeley Citation Style_1">
    <vt:lpwstr>http://www.zotero.org/styles/journal-of-water-process-engineering</vt:lpwstr>
  </property>
  <property fmtid="{D5CDD505-2E9C-101B-9397-08002B2CF9AE}" pid="5" name="Mendeley Unique User Id_1">
    <vt:lpwstr>d8addf60-0683-3724-bbac-0e221494dc70</vt:lpwstr>
  </property>
  <property fmtid="{D5CDD505-2E9C-101B-9397-08002B2CF9AE}" pid="6" name="Mendeley Recent Style Id 0_1">
    <vt:lpwstr>http://www.zotero.org/styles/colloids-and-surfaces-a-physicochemical-and-engineering-aspects</vt:lpwstr>
  </property>
  <property fmtid="{D5CDD505-2E9C-101B-9397-08002B2CF9AE}" pid="7" name="Mendeley Recent Style Name 0_1">
    <vt:lpwstr>Colloids and Surfaces A: Physicochemical and Engineering Aspects</vt:lpwstr>
  </property>
  <property fmtid="{D5CDD505-2E9C-101B-9397-08002B2CF9AE}" pid="8" name="Mendeley Recent Style Id 1_1">
    <vt:lpwstr>http://www.zotero.org/styles/journal-of-environmental-chemical-engineering</vt:lpwstr>
  </property>
  <property fmtid="{D5CDD505-2E9C-101B-9397-08002B2CF9AE}" pid="9" name="Mendeley Recent Style Name 1_1">
    <vt:lpwstr>Journal of Environmental Chemical Engineering</vt:lpwstr>
  </property>
  <property fmtid="{D5CDD505-2E9C-101B-9397-08002B2CF9AE}" pid="10" name="Mendeley Recent Style Id 2_1">
    <vt:lpwstr>http://www.zotero.org/styles/journal-of-membrane-science</vt:lpwstr>
  </property>
  <property fmtid="{D5CDD505-2E9C-101B-9397-08002B2CF9AE}" pid="11" name="Mendeley Recent Style Name 2_1">
    <vt:lpwstr>Journal of Membrane Science</vt:lpwstr>
  </property>
  <property fmtid="{D5CDD505-2E9C-101B-9397-08002B2CF9AE}" pid="12" name="Mendeley Recent Style Id 3_1">
    <vt:lpwstr>http://www.zotero.org/styles/journal-of-water-process-engineering</vt:lpwstr>
  </property>
  <property fmtid="{D5CDD505-2E9C-101B-9397-08002B2CF9AE}" pid="13" name="Mendeley Recent Style Name 3_1">
    <vt:lpwstr>Journal of Water Process Engineering</vt:lpwstr>
  </property>
  <property fmtid="{D5CDD505-2E9C-101B-9397-08002B2CF9AE}" pid="14" name="Mendeley Recent Style Id 4_1">
    <vt:lpwstr>http://www.zotero.org/styles/materials-letters</vt:lpwstr>
  </property>
  <property fmtid="{D5CDD505-2E9C-101B-9397-08002B2CF9AE}" pid="15" name="Mendeley Recent Style Name 4_1">
    <vt:lpwstr>Materials Letters</vt:lpwstr>
  </property>
  <property fmtid="{D5CDD505-2E9C-101B-9397-08002B2CF9AE}" pid="16" name="Mendeley Recent Style Id 5_1">
    <vt:lpwstr>http://www.zotero.org/styles/materials-today-sustainability</vt:lpwstr>
  </property>
  <property fmtid="{D5CDD505-2E9C-101B-9397-08002B2CF9AE}" pid="17" name="Mendeley Recent Style Name 5_1">
    <vt:lpwstr>Materials Today Sustainability</vt:lpwstr>
  </property>
  <property fmtid="{D5CDD505-2E9C-101B-9397-08002B2CF9AE}" pid="18" name="Mendeley Recent Style Id 6_1">
    <vt:lpwstr>http://www.zotero.org/styles/nature</vt:lpwstr>
  </property>
  <property fmtid="{D5CDD505-2E9C-101B-9397-08002B2CF9AE}" pid="19" name="Mendeley Recent Style Name 6_1">
    <vt:lpwstr>Nature</vt:lpwstr>
  </property>
  <property fmtid="{D5CDD505-2E9C-101B-9397-08002B2CF9AE}" pid="20" name="Mendeley Recent Style Id 7_1">
    <vt:lpwstr>http://www.zotero.org/styles/reactive-and-functional-polymers</vt:lpwstr>
  </property>
  <property fmtid="{D5CDD505-2E9C-101B-9397-08002B2CF9AE}" pid="21" name="Mendeley Recent Style Name 7_1">
    <vt:lpwstr>Reactive and Functional Polymers</vt:lpwstr>
  </property>
  <property fmtid="{D5CDD505-2E9C-101B-9397-08002B2CF9AE}" pid="22" name="Mendeley Recent Style Id 8_1">
    <vt:lpwstr>http://www.zotero.org/styles/surface-science</vt:lpwstr>
  </property>
  <property fmtid="{D5CDD505-2E9C-101B-9397-08002B2CF9AE}" pid="23" name="Mendeley Recent Style Name 8_1">
    <vt:lpwstr>Surface Science</vt:lpwstr>
  </property>
  <property fmtid="{D5CDD505-2E9C-101B-9397-08002B2CF9AE}" pid="24" name="Mendeley Recent Style Id 9_1">
    <vt:lpwstr>http://www.zotero.org/styles/express-polymer-letters</vt:lpwstr>
  </property>
  <property fmtid="{D5CDD505-2E9C-101B-9397-08002B2CF9AE}" pid="25" name="Mendeley Recent Style Name 9_1">
    <vt:lpwstr>eXPRESS Polymer Letters</vt:lpwstr>
  </property>
  <property fmtid="{D5CDD505-2E9C-101B-9397-08002B2CF9AE}" pid="26" name="GrammarlyDocumentId">
    <vt:lpwstr>3c2ddf4386b5c24c629a03ff7a64531ad75c023f3cb198fe771787bb7c8f77ae</vt:lpwstr>
  </property>
  <property fmtid="{D5CDD505-2E9C-101B-9397-08002B2CF9AE}" pid="27" name="_activity">
    <vt:lpwstr/>
  </property>
  <property fmtid="{D5CDD505-2E9C-101B-9397-08002B2CF9AE}" pid="28" name="ZOTERO_PREF_1">
    <vt:lpwstr>&lt;data data-version="3" zotero-version="6.0.36"&gt;&lt;session id="J6of7Jlr"/&gt;&lt;style id="http://www.zotero.org/styles/materials-letters" hasBibliography="1" bibliographyStyleHasBeenSet="1"/&gt;&lt;prefs&gt;&lt;pref name="fieldType" value="Field"/&gt;&lt;/prefs&gt;&lt;/data&gt;</vt:lpwstr>
  </property>
</Properties>
</file>